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7AECA" w14:textId="5F3DB42C" w:rsidR="005D4F07" w:rsidRPr="00335C57" w:rsidRDefault="003E066B">
      <w:pPr>
        <w:jc w:val="center"/>
        <w:rPr>
          <w:rFonts w:ascii="Times New Roman" w:eastAsia="黑体" w:hAnsi="Times New Roman" w:cs="Times New Roman"/>
          <w:b/>
          <w:sz w:val="32"/>
          <w:szCs w:val="32"/>
        </w:rPr>
      </w:pPr>
      <w:bookmarkStart w:id="0" w:name="_Hlk192367665"/>
      <w:r w:rsidRPr="00335C57">
        <w:rPr>
          <w:rFonts w:ascii="Times New Roman" w:eastAsia="黑体" w:hAnsi="Times New Roman" w:cs="Times New Roman" w:hint="eastAsia"/>
          <w:b/>
          <w:sz w:val="32"/>
          <w:szCs w:val="32"/>
        </w:rPr>
        <w:t>多自由度耦合震动</w:t>
      </w:r>
      <w:r w:rsidRPr="00335C57">
        <w:rPr>
          <w:rFonts w:ascii="Times New Roman" w:eastAsia="黑体" w:hAnsi="Times New Roman" w:cs="Times New Roman"/>
          <w:b/>
          <w:sz w:val="32"/>
          <w:szCs w:val="32"/>
        </w:rPr>
        <w:t>环境下</w:t>
      </w:r>
      <w:r w:rsidRPr="00335C57">
        <w:rPr>
          <w:rFonts w:ascii="Times New Roman" w:eastAsia="黑体" w:hAnsi="Times New Roman" w:cs="Times New Roman" w:hint="eastAsia"/>
          <w:b/>
          <w:sz w:val="32"/>
          <w:szCs w:val="32"/>
        </w:rPr>
        <w:t>的</w:t>
      </w:r>
      <w:r w:rsidRPr="00335C57">
        <w:rPr>
          <w:rFonts w:ascii="Times New Roman" w:eastAsia="黑体" w:hAnsi="Times New Roman" w:cs="Times New Roman"/>
          <w:b/>
          <w:sz w:val="32"/>
          <w:szCs w:val="32"/>
        </w:rPr>
        <w:t>近距激光通信系统</w:t>
      </w:r>
      <w:r w:rsidRPr="00335C57">
        <w:rPr>
          <w:rFonts w:ascii="Times New Roman" w:eastAsia="黑体" w:hAnsi="Times New Roman" w:cs="Times New Roman" w:hint="eastAsia"/>
          <w:b/>
          <w:sz w:val="32"/>
          <w:szCs w:val="32"/>
        </w:rPr>
        <w:t>设计与验证</w:t>
      </w:r>
    </w:p>
    <w:bookmarkEnd w:id="0"/>
    <w:p w14:paraId="0C993F1F" w14:textId="77777777" w:rsidR="005D4F07" w:rsidRDefault="003E066B">
      <w:pPr>
        <w:jc w:val="center"/>
        <w:rPr>
          <w:rFonts w:ascii="Times New Roman" w:eastAsia="楷体" w:hAnsi="Times New Roman" w:cs="Times New Roman"/>
          <w:b/>
          <w:sz w:val="24"/>
          <w:szCs w:val="24"/>
        </w:rPr>
      </w:pPr>
      <w:r>
        <w:rPr>
          <w:rFonts w:ascii="Times New Roman" w:eastAsia="楷体" w:hAnsi="Times New Roman" w:cs="Times New Roman"/>
          <w:b/>
          <w:sz w:val="24"/>
          <w:szCs w:val="24"/>
        </w:rPr>
        <w:t>何晓垒</w:t>
      </w:r>
      <w:r>
        <w:rPr>
          <w:rFonts w:ascii="Times New Roman" w:eastAsia="楷体" w:hAnsi="Times New Roman" w:cs="Times New Roman" w:hint="eastAsia"/>
          <w:b/>
          <w:sz w:val="28"/>
          <w:szCs w:val="28"/>
          <w:vertAlign w:val="superscript"/>
        </w:rPr>
        <w:t>1</w:t>
      </w:r>
      <w:r w:rsidR="00F55620">
        <w:rPr>
          <w:rFonts w:ascii="Times New Roman" w:eastAsia="楷体" w:hAnsi="Times New Roman" w:cs="Times New Roman" w:hint="eastAsia"/>
          <w:b/>
          <w:sz w:val="24"/>
          <w:szCs w:val="24"/>
        </w:rPr>
        <w:t>，</w:t>
      </w:r>
      <w:r>
        <w:rPr>
          <w:rFonts w:ascii="Times New Roman" w:eastAsia="楷体" w:hAnsi="Times New Roman" w:cs="Times New Roman" w:hint="eastAsia"/>
          <w:b/>
          <w:sz w:val="24"/>
          <w:szCs w:val="24"/>
        </w:rPr>
        <w:t>王振</w:t>
      </w:r>
      <w:r>
        <w:rPr>
          <w:rFonts w:ascii="Times New Roman" w:eastAsia="楷体" w:hAnsi="Times New Roman" w:cs="Times New Roman" w:hint="eastAsia"/>
          <w:b/>
          <w:sz w:val="24"/>
          <w:szCs w:val="24"/>
          <w:vertAlign w:val="superscript"/>
        </w:rPr>
        <w:t>1</w:t>
      </w:r>
      <w:r w:rsidR="00F55620">
        <w:rPr>
          <w:rFonts w:ascii="Times New Roman" w:eastAsia="楷体" w:hAnsi="Times New Roman" w:cs="Times New Roman" w:hint="eastAsia"/>
          <w:b/>
          <w:sz w:val="24"/>
          <w:szCs w:val="24"/>
        </w:rPr>
        <w:t>，</w:t>
      </w:r>
      <w:r>
        <w:rPr>
          <w:rFonts w:ascii="Times New Roman" w:eastAsia="楷体" w:hAnsi="Times New Roman" w:cs="Times New Roman" w:hint="eastAsia"/>
          <w:b/>
          <w:sz w:val="24"/>
          <w:szCs w:val="24"/>
        </w:rPr>
        <w:t>钱阳</w:t>
      </w:r>
      <w:r>
        <w:rPr>
          <w:rFonts w:ascii="Times New Roman" w:eastAsia="楷体" w:hAnsi="Times New Roman" w:cs="Times New Roman" w:hint="eastAsia"/>
          <w:b/>
          <w:sz w:val="24"/>
          <w:szCs w:val="24"/>
          <w:vertAlign w:val="superscript"/>
        </w:rPr>
        <w:t>1</w:t>
      </w:r>
      <w:r w:rsidR="00F55620">
        <w:rPr>
          <w:rFonts w:ascii="Times New Roman" w:eastAsia="楷体" w:hAnsi="Times New Roman" w:cs="Times New Roman" w:hint="eastAsia"/>
          <w:b/>
          <w:sz w:val="24"/>
          <w:szCs w:val="24"/>
        </w:rPr>
        <w:t>，</w:t>
      </w:r>
      <w:r>
        <w:rPr>
          <w:rFonts w:ascii="Times New Roman" w:eastAsia="楷体" w:hAnsi="Times New Roman" w:cs="Times New Roman" w:hint="eastAsia"/>
          <w:b/>
          <w:sz w:val="24"/>
          <w:szCs w:val="24"/>
        </w:rPr>
        <w:t>苏瑞芝</w:t>
      </w:r>
      <w:r>
        <w:rPr>
          <w:rFonts w:ascii="Times New Roman" w:eastAsia="楷体" w:hAnsi="Times New Roman" w:cs="Times New Roman" w:hint="eastAsia"/>
          <w:b/>
          <w:sz w:val="24"/>
          <w:szCs w:val="24"/>
          <w:vertAlign w:val="superscript"/>
        </w:rPr>
        <w:t>1</w:t>
      </w:r>
      <w:r w:rsidR="00F55620">
        <w:rPr>
          <w:rFonts w:ascii="Times New Roman" w:eastAsia="楷体" w:hAnsi="Times New Roman" w:cs="Times New Roman" w:hint="eastAsia"/>
          <w:b/>
          <w:sz w:val="24"/>
          <w:szCs w:val="24"/>
        </w:rPr>
        <w:t>，</w:t>
      </w:r>
      <w:r>
        <w:rPr>
          <w:rFonts w:ascii="Times New Roman" w:eastAsia="楷体" w:hAnsi="Times New Roman" w:cs="Times New Roman" w:hint="eastAsia"/>
          <w:b/>
          <w:sz w:val="24"/>
          <w:szCs w:val="24"/>
        </w:rPr>
        <w:t>邱成</w:t>
      </w:r>
      <w:r>
        <w:rPr>
          <w:rFonts w:ascii="Times New Roman" w:eastAsia="楷体" w:hAnsi="Times New Roman" w:cs="Times New Roman" w:hint="eastAsia"/>
          <w:b/>
          <w:sz w:val="24"/>
          <w:szCs w:val="24"/>
          <w:vertAlign w:val="superscript"/>
        </w:rPr>
        <w:t>2</w:t>
      </w:r>
    </w:p>
    <w:p w14:paraId="6E174387" w14:textId="77777777" w:rsidR="005D4F07" w:rsidRDefault="003E066B">
      <w:pPr>
        <w:ind w:firstLineChars="350" w:firstLine="525"/>
        <w:jc w:val="center"/>
        <w:rPr>
          <w:rFonts w:ascii="Times New Roman" w:eastAsia="宋体" w:hAnsi="Times New Roman" w:cs="Times New Roman"/>
          <w:sz w:val="15"/>
          <w:szCs w:val="15"/>
        </w:rPr>
      </w:pPr>
      <w:r>
        <w:rPr>
          <w:rFonts w:ascii="Times New Roman" w:eastAsia="宋体" w:hAnsi="Times New Roman" w:cs="Times New Roman"/>
          <w:sz w:val="15"/>
          <w:szCs w:val="15"/>
        </w:rPr>
        <w:t>（</w:t>
      </w:r>
      <w:r>
        <w:rPr>
          <w:rFonts w:ascii="Times New Roman" w:eastAsia="宋体" w:hAnsi="Times New Roman" w:cs="Times New Roman" w:hint="eastAsia"/>
          <w:sz w:val="15"/>
          <w:szCs w:val="15"/>
        </w:rPr>
        <w:t>1.</w:t>
      </w:r>
      <w:r>
        <w:rPr>
          <w:rFonts w:ascii="Times New Roman" w:eastAsia="宋体" w:hAnsi="Times New Roman" w:cs="Times New Roman"/>
          <w:sz w:val="15"/>
          <w:szCs w:val="15"/>
        </w:rPr>
        <w:t>中国电子科技集团公司第三十四研究所，桂林</w:t>
      </w:r>
      <w:r>
        <w:rPr>
          <w:rFonts w:ascii="Times New Roman" w:eastAsia="宋体" w:hAnsi="Times New Roman" w:cs="Times New Roman"/>
          <w:sz w:val="15"/>
          <w:szCs w:val="15"/>
        </w:rPr>
        <w:t xml:space="preserve"> 541004</w:t>
      </w:r>
      <w:r>
        <w:rPr>
          <w:rFonts w:ascii="Times New Roman" w:eastAsia="宋体" w:hAnsi="Times New Roman" w:cs="Times New Roman" w:hint="eastAsia"/>
          <w:sz w:val="15"/>
          <w:szCs w:val="15"/>
        </w:rPr>
        <w:t>；</w:t>
      </w:r>
      <w:r>
        <w:rPr>
          <w:rFonts w:ascii="Times New Roman" w:eastAsia="宋体" w:hAnsi="Times New Roman" w:cs="Times New Roman" w:hint="eastAsia"/>
          <w:sz w:val="15"/>
          <w:szCs w:val="15"/>
        </w:rPr>
        <w:t xml:space="preserve">2. </w:t>
      </w:r>
      <w:r>
        <w:rPr>
          <w:rFonts w:ascii="Times New Roman" w:eastAsia="宋体" w:hAnsi="Times New Roman" w:cs="Times New Roman" w:hint="eastAsia"/>
          <w:sz w:val="15"/>
          <w:szCs w:val="15"/>
        </w:rPr>
        <w:t>广西计量检测研究院，南宁</w:t>
      </w:r>
      <w:r>
        <w:rPr>
          <w:rFonts w:ascii="Times New Roman" w:eastAsia="宋体" w:hAnsi="Times New Roman" w:cs="Times New Roman" w:hint="eastAsia"/>
          <w:sz w:val="15"/>
          <w:szCs w:val="15"/>
        </w:rPr>
        <w:t xml:space="preserve"> 530022</w:t>
      </w:r>
      <w:r>
        <w:rPr>
          <w:rFonts w:ascii="Times New Roman" w:eastAsia="宋体" w:hAnsi="Times New Roman" w:cs="Times New Roman"/>
          <w:sz w:val="15"/>
          <w:szCs w:val="15"/>
        </w:rPr>
        <w:t>）</w:t>
      </w:r>
    </w:p>
    <w:p w14:paraId="0D8685E3" w14:textId="77777777" w:rsidR="005D4F07" w:rsidRDefault="005D4F07">
      <w:pPr>
        <w:rPr>
          <w:rFonts w:ascii="Times New Roman" w:eastAsia="宋体" w:hAnsi="Times New Roman" w:cs="Times New Roman"/>
          <w:b/>
          <w:szCs w:val="21"/>
        </w:rPr>
      </w:pPr>
    </w:p>
    <w:p w14:paraId="7CCB020B" w14:textId="77777777" w:rsidR="005D4F07" w:rsidRDefault="003E066B">
      <w:pPr>
        <w:rPr>
          <w:rFonts w:ascii="Times New Roman" w:eastAsia="宋体" w:hAnsi="Times New Roman" w:cs="Times New Roman"/>
          <w:bCs/>
          <w:sz w:val="18"/>
          <w:szCs w:val="18"/>
        </w:rPr>
      </w:pPr>
      <w:r>
        <w:rPr>
          <w:rFonts w:ascii="Times New Roman" w:eastAsia="宋体" w:hAnsi="Times New Roman" w:cs="Times New Roman" w:hint="eastAsia"/>
          <w:b/>
          <w:sz w:val="18"/>
          <w:szCs w:val="18"/>
        </w:rPr>
        <w:t>摘要：</w:t>
      </w:r>
      <w:r>
        <w:rPr>
          <w:rFonts w:ascii="Times New Roman" w:eastAsia="宋体" w:hAnsi="Times New Roman" w:cs="Times New Roman"/>
          <w:bCs/>
          <w:sz w:val="18"/>
          <w:szCs w:val="18"/>
        </w:rPr>
        <w:t>随着</w:t>
      </w:r>
      <w:r>
        <w:rPr>
          <w:rFonts w:ascii="Times New Roman" w:eastAsia="宋体" w:hAnsi="Times New Roman" w:cs="Times New Roman" w:hint="eastAsia"/>
          <w:bCs/>
          <w:sz w:val="18"/>
          <w:szCs w:val="18"/>
        </w:rPr>
        <w:t>商业</w:t>
      </w:r>
      <w:r>
        <w:rPr>
          <w:rFonts w:ascii="Times New Roman" w:eastAsia="宋体" w:hAnsi="Times New Roman" w:cs="Times New Roman"/>
          <w:bCs/>
          <w:sz w:val="18"/>
          <w:szCs w:val="18"/>
        </w:rPr>
        <w:t>航天技术的快速发展，</w:t>
      </w:r>
      <w:r>
        <w:rPr>
          <w:rFonts w:ascii="Times New Roman" w:eastAsia="宋体" w:hAnsi="Times New Roman" w:cs="Times New Roman" w:hint="eastAsia"/>
          <w:bCs/>
          <w:sz w:val="18"/>
          <w:szCs w:val="18"/>
        </w:rPr>
        <w:t>商业航天器中</w:t>
      </w:r>
      <w:r>
        <w:rPr>
          <w:rFonts w:ascii="Times New Roman" w:eastAsia="宋体" w:hAnsi="Times New Roman" w:cs="Times New Roman"/>
          <w:bCs/>
          <w:sz w:val="18"/>
          <w:szCs w:val="18"/>
        </w:rPr>
        <w:t>舱段间</w:t>
      </w:r>
      <w:r>
        <w:rPr>
          <w:rFonts w:ascii="Times New Roman" w:eastAsia="宋体" w:hAnsi="Times New Roman" w:cs="Times New Roman" w:hint="eastAsia"/>
          <w:bCs/>
          <w:sz w:val="18"/>
          <w:szCs w:val="18"/>
        </w:rPr>
        <w:t>的</w:t>
      </w:r>
      <w:r>
        <w:rPr>
          <w:rFonts w:ascii="Times New Roman" w:eastAsia="宋体" w:hAnsi="Times New Roman" w:cs="Times New Roman"/>
          <w:bCs/>
          <w:sz w:val="18"/>
          <w:szCs w:val="18"/>
        </w:rPr>
        <w:t>通信系统应用需求日益增加。本文针对</w:t>
      </w:r>
      <w:r>
        <w:rPr>
          <w:rFonts w:ascii="Times New Roman" w:eastAsia="宋体" w:hAnsi="Times New Roman" w:cs="Times New Roman" w:hint="eastAsia"/>
          <w:bCs/>
          <w:sz w:val="18"/>
          <w:szCs w:val="18"/>
        </w:rPr>
        <w:t>商业航天中</w:t>
      </w:r>
      <w:r>
        <w:rPr>
          <w:rFonts w:ascii="Times New Roman" w:eastAsia="宋体" w:hAnsi="Times New Roman" w:cs="Times New Roman"/>
          <w:bCs/>
          <w:sz w:val="18"/>
          <w:szCs w:val="18"/>
        </w:rPr>
        <w:t>舱段间的</w:t>
      </w:r>
      <w:r>
        <w:rPr>
          <w:rFonts w:ascii="Times New Roman" w:eastAsia="宋体" w:hAnsi="Times New Roman" w:cs="Times New Roman" w:hint="eastAsia"/>
          <w:bCs/>
          <w:sz w:val="18"/>
          <w:szCs w:val="18"/>
        </w:rPr>
        <w:t>通信提出一种集</w:t>
      </w:r>
      <w:r>
        <w:rPr>
          <w:rFonts w:ascii="Times New Roman" w:eastAsia="宋体" w:hAnsi="Times New Roman" w:cs="Times New Roman"/>
          <w:bCs/>
          <w:sz w:val="18"/>
          <w:szCs w:val="18"/>
        </w:rPr>
        <w:t>高效的通信</w:t>
      </w:r>
      <w:r>
        <w:rPr>
          <w:rFonts w:ascii="Times New Roman" w:eastAsia="宋体" w:hAnsi="Times New Roman" w:cs="Times New Roman" w:hint="eastAsia"/>
          <w:bCs/>
          <w:sz w:val="18"/>
          <w:szCs w:val="18"/>
        </w:rPr>
        <w:t>和防抖动</w:t>
      </w:r>
      <w:r>
        <w:rPr>
          <w:rFonts w:ascii="Times New Roman" w:eastAsia="宋体" w:hAnsi="Times New Roman" w:cs="Times New Roman"/>
          <w:bCs/>
          <w:sz w:val="18"/>
          <w:szCs w:val="18"/>
        </w:rPr>
        <w:t>一体化设计方案</w:t>
      </w:r>
      <w:r>
        <w:rPr>
          <w:rFonts w:ascii="Times New Roman" w:eastAsia="宋体" w:hAnsi="Times New Roman" w:cs="Times New Roman" w:hint="eastAsia"/>
          <w:bCs/>
          <w:sz w:val="18"/>
          <w:szCs w:val="18"/>
        </w:rPr>
        <w:t>的</w:t>
      </w:r>
      <w:r>
        <w:rPr>
          <w:rFonts w:ascii="Times New Roman" w:eastAsia="宋体" w:hAnsi="Times New Roman" w:cs="Times New Roman"/>
          <w:bCs/>
          <w:sz w:val="18"/>
          <w:szCs w:val="18"/>
        </w:rPr>
        <w:t>近距激光通信系统。该系统在</w:t>
      </w:r>
      <w:r>
        <w:rPr>
          <w:rFonts w:ascii="Times New Roman" w:eastAsia="宋体" w:hAnsi="Times New Roman" w:cs="Times New Roman" w:hint="eastAsia"/>
          <w:bCs/>
          <w:sz w:val="18"/>
          <w:szCs w:val="18"/>
        </w:rPr>
        <w:t>高频多自由度且高频震动的情况下</w:t>
      </w:r>
      <w:r>
        <w:rPr>
          <w:rFonts w:ascii="Times New Roman" w:eastAsia="宋体" w:hAnsi="Times New Roman" w:cs="Times New Roman"/>
          <w:bCs/>
          <w:sz w:val="18"/>
          <w:szCs w:val="18"/>
        </w:rPr>
        <w:t>面临光学元件变形、光路稳定性下降等挑战，通过采用</w:t>
      </w:r>
      <w:r>
        <w:rPr>
          <w:rFonts w:ascii="Times New Roman" w:eastAsia="宋体" w:hAnsi="Times New Roman" w:cs="Times New Roman" w:hint="eastAsia"/>
          <w:bCs/>
          <w:sz w:val="18"/>
          <w:szCs w:val="18"/>
        </w:rPr>
        <w:t>独特的光路设计、大发散角以及自适应算法等</w:t>
      </w:r>
      <w:r>
        <w:rPr>
          <w:rFonts w:ascii="Times New Roman" w:eastAsia="宋体" w:hAnsi="Times New Roman" w:cs="Times New Roman"/>
          <w:bCs/>
          <w:sz w:val="18"/>
          <w:szCs w:val="18"/>
        </w:rPr>
        <w:t>，有效抑制了</w:t>
      </w:r>
      <w:r>
        <w:rPr>
          <w:rFonts w:ascii="Times New Roman" w:eastAsia="宋体" w:hAnsi="Times New Roman" w:cs="Times New Roman" w:hint="eastAsia"/>
          <w:bCs/>
          <w:sz w:val="18"/>
          <w:szCs w:val="18"/>
        </w:rPr>
        <w:t>震动</w:t>
      </w:r>
      <w:r>
        <w:rPr>
          <w:rFonts w:ascii="Times New Roman" w:eastAsia="宋体" w:hAnsi="Times New Roman" w:cs="Times New Roman"/>
          <w:bCs/>
          <w:sz w:val="18"/>
          <w:szCs w:val="18"/>
        </w:rPr>
        <w:t>对光学系统的影响。实验结果表明</w:t>
      </w:r>
      <w:r>
        <w:rPr>
          <w:rFonts w:ascii="Times New Roman" w:eastAsia="宋体" w:hAnsi="Times New Roman" w:cs="Times New Roman" w:hint="eastAsia"/>
          <w:bCs/>
          <w:sz w:val="18"/>
          <w:szCs w:val="18"/>
        </w:rPr>
        <w:t>，震动角度偏移在±</w:t>
      </w:r>
      <w:r>
        <w:rPr>
          <w:rFonts w:ascii="Times New Roman" w:eastAsia="宋体" w:hAnsi="Times New Roman" w:cs="Times New Roman" w:hint="eastAsia"/>
          <w:bCs/>
          <w:sz w:val="18"/>
          <w:szCs w:val="18"/>
        </w:rPr>
        <w:t>20</w:t>
      </w:r>
      <w:r>
        <w:rPr>
          <w:rFonts w:ascii="Times New Roman" w:eastAsia="宋体" w:hAnsi="Times New Roman" w:cs="Times New Roman" w:hint="eastAsia"/>
          <w:bCs/>
          <w:sz w:val="18"/>
          <w:szCs w:val="18"/>
        </w:rPr>
        <w:t>°，横向位移小于</w:t>
      </w:r>
      <w:r>
        <w:rPr>
          <w:rFonts w:ascii="Times New Roman" w:eastAsia="宋体" w:hAnsi="Times New Roman" w:cs="Times New Roman" w:hint="eastAsia"/>
          <w:bCs/>
          <w:sz w:val="18"/>
          <w:szCs w:val="18"/>
        </w:rPr>
        <w:t>200mm</w:t>
      </w:r>
      <w:r>
        <w:rPr>
          <w:rFonts w:ascii="Times New Roman" w:eastAsia="宋体" w:hAnsi="Times New Roman" w:cs="Times New Roman" w:hint="eastAsia"/>
          <w:bCs/>
          <w:sz w:val="18"/>
          <w:szCs w:val="18"/>
        </w:rPr>
        <w:t>，纵向位移小于</w:t>
      </w:r>
      <w:r>
        <w:rPr>
          <w:rFonts w:ascii="Times New Roman" w:eastAsia="宋体" w:hAnsi="Times New Roman" w:cs="Times New Roman" w:hint="eastAsia"/>
          <w:bCs/>
          <w:sz w:val="18"/>
          <w:szCs w:val="18"/>
        </w:rPr>
        <w:t>10mm</w:t>
      </w:r>
      <w:r>
        <w:rPr>
          <w:rFonts w:ascii="Times New Roman" w:eastAsia="宋体" w:hAnsi="Times New Roman" w:cs="Times New Roman" w:hint="eastAsia"/>
          <w:bCs/>
          <w:sz w:val="18"/>
          <w:szCs w:val="18"/>
        </w:rPr>
        <w:t>情况下</w:t>
      </w:r>
      <w:r>
        <w:rPr>
          <w:rFonts w:ascii="Times New Roman" w:eastAsia="宋体" w:hAnsi="Times New Roman" w:cs="Times New Roman"/>
          <w:bCs/>
          <w:sz w:val="18"/>
          <w:szCs w:val="18"/>
        </w:rPr>
        <w:t>，光斑质量与通信性能均满足设计要求。本文的研究为</w:t>
      </w:r>
      <w:r>
        <w:rPr>
          <w:rFonts w:ascii="Times New Roman" w:eastAsia="宋体" w:hAnsi="Times New Roman" w:cs="Times New Roman" w:hint="eastAsia"/>
          <w:bCs/>
          <w:sz w:val="18"/>
          <w:szCs w:val="18"/>
        </w:rPr>
        <w:t>高频多自由度耦合震动</w:t>
      </w:r>
      <w:r>
        <w:rPr>
          <w:rFonts w:ascii="Times New Roman" w:eastAsia="宋体" w:hAnsi="Times New Roman" w:cs="Times New Roman"/>
          <w:bCs/>
          <w:sz w:val="18"/>
          <w:szCs w:val="18"/>
        </w:rPr>
        <w:t>环境下</w:t>
      </w:r>
      <w:r>
        <w:rPr>
          <w:rFonts w:ascii="Times New Roman" w:eastAsia="宋体" w:hAnsi="Times New Roman" w:cs="Times New Roman" w:hint="eastAsia"/>
          <w:bCs/>
          <w:sz w:val="18"/>
          <w:szCs w:val="18"/>
        </w:rPr>
        <w:t>的商业航天中</w:t>
      </w:r>
      <w:r>
        <w:rPr>
          <w:rFonts w:ascii="Times New Roman" w:eastAsia="宋体" w:hAnsi="Times New Roman" w:cs="Times New Roman"/>
          <w:bCs/>
          <w:sz w:val="18"/>
          <w:szCs w:val="18"/>
        </w:rPr>
        <w:t>舱段间激光通信系统的设计与实现提供了理论依据和技术支持，对提升航天器在极端环境下的通信可靠性具有重要意义。</w:t>
      </w:r>
    </w:p>
    <w:p w14:paraId="131A6320" w14:textId="77777777" w:rsidR="005D4F07" w:rsidRDefault="003E066B">
      <w:pPr>
        <w:rPr>
          <w:rFonts w:ascii="Times New Roman" w:eastAsia="宋体" w:hAnsi="Times New Roman" w:cs="Times New Roman"/>
          <w:bCs/>
          <w:sz w:val="18"/>
          <w:szCs w:val="18"/>
        </w:rPr>
      </w:pPr>
      <w:r>
        <w:rPr>
          <w:rFonts w:ascii="Times New Roman" w:eastAsia="宋体" w:hAnsi="Times New Roman" w:cs="Times New Roman"/>
          <w:b/>
          <w:sz w:val="18"/>
          <w:szCs w:val="18"/>
        </w:rPr>
        <w:t>关键词：</w:t>
      </w:r>
      <w:r>
        <w:rPr>
          <w:rFonts w:ascii="Times New Roman" w:eastAsia="宋体" w:hAnsi="Times New Roman" w:cs="Times New Roman" w:hint="eastAsia"/>
          <w:bCs/>
          <w:sz w:val="18"/>
          <w:szCs w:val="18"/>
        </w:rPr>
        <w:t>多自由度、耦合震动</w:t>
      </w:r>
      <w:r>
        <w:rPr>
          <w:rFonts w:ascii="Times New Roman" w:eastAsia="宋体" w:hAnsi="Times New Roman" w:cs="Times New Roman"/>
          <w:bCs/>
          <w:sz w:val="18"/>
          <w:szCs w:val="18"/>
        </w:rPr>
        <w:t>、近距</w:t>
      </w:r>
      <w:r>
        <w:rPr>
          <w:rFonts w:ascii="Times New Roman" w:eastAsia="宋体" w:hAnsi="Times New Roman" w:cs="Times New Roman" w:hint="eastAsia"/>
          <w:bCs/>
          <w:sz w:val="18"/>
          <w:szCs w:val="18"/>
        </w:rPr>
        <w:t>、</w:t>
      </w:r>
      <w:r>
        <w:rPr>
          <w:rFonts w:ascii="Times New Roman" w:eastAsia="宋体" w:hAnsi="Times New Roman" w:cs="Times New Roman"/>
          <w:bCs/>
          <w:sz w:val="18"/>
          <w:szCs w:val="18"/>
        </w:rPr>
        <w:t>激光通信、光学稳定性</w:t>
      </w:r>
      <w:r>
        <w:rPr>
          <w:rFonts w:ascii="Times New Roman" w:eastAsia="宋体" w:hAnsi="Times New Roman" w:cs="Times New Roman" w:hint="eastAsia"/>
          <w:bCs/>
          <w:sz w:val="18"/>
          <w:szCs w:val="18"/>
        </w:rPr>
        <w:t>、</w:t>
      </w:r>
    </w:p>
    <w:p w14:paraId="7659714D" w14:textId="77777777" w:rsidR="005D4F07" w:rsidRDefault="005D4F07"/>
    <w:p w14:paraId="605C9D64" w14:textId="77777777" w:rsidR="005D4F07" w:rsidRDefault="003E066B">
      <w:pPr>
        <w:jc w:val="center"/>
        <w:rPr>
          <w:rFonts w:ascii="Times New Roman" w:eastAsia="宋体" w:hAnsi="Times New Roman" w:cs="Times New Roman"/>
          <w:b/>
          <w:bCs/>
          <w:sz w:val="32"/>
          <w:szCs w:val="32"/>
        </w:rPr>
      </w:pPr>
      <w:r>
        <w:rPr>
          <w:rFonts w:ascii="Times New Roman" w:eastAsia="宋体" w:hAnsi="Times New Roman" w:cs="Times New Roman"/>
          <w:b/>
          <w:bCs/>
          <w:sz w:val="32"/>
          <w:szCs w:val="32"/>
        </w:rPr>
        <w:t>Design and Verification of Close</w:t>
      </w:r>
      <w:r>
        <w:rPr>
          <w:rFonts w:ascii="Times New Roman" w:eastAsia="宋体" w:hAnsi="Times New Roman" w:cs="Times New Roman" w:hint="eastAsia"/>
          <w:b/>
          <w:bCs/>
          <w:sz w:val="32"/>
          <w:szCs w:val="32"/>
        </w:rPr>
        <w:t>-</w:t>
      </w:r>
      <w:r>
        <w:rPr>
          <w:rFonts w:ascii="Times New Roman" w:eastAsia="宋体" w:hAnsi="Times New Roman" w:cs="Times New Roman"/>
          <w:b/>
          <w:bCs/>
          <w:sz w:val="32"/>
          <w:szCs w:val="32"/>
        </w:rPr>
        <w:t xml:space="preserve">range </w:t>
      </w:r>
      <w:r>
        <w:rPr>
          <w:rFonts w:ascii="Times New Roman" w:eastAsia="宋体" w:hAnsi="Times New Roman" w:cs="Times New Roman" w:hint="eastAsia"/>
          <w:b/>
          <w:bCs/>
          <w:sz w:val="32"/>
          <w:szCs w:val="32"/>
        </w:rPr>
        <w:t xml:space="preserve">laser </w:t>
      </w:r>
      <w:r>
        <w:rPr>
          <w:rFonts w:ascii="Times New Roman" w:eastAsia="宋体" w:hAnsi="Times New Roman" w:cs="Times New Roman"/>
          <w:b/>
          <w:bCs/>
          <w:sz w:val="32"/>
          <w:szCs w:val="32"/>
        </w:rPr>
        <w:t>Communication Systems under Multi-Degree-of-Freedom Coupled Vibration Conditions</w:t>
      </w:r>
    </w:p>
    <w:p w14:paraId="5C0F006F" w14:textId="77777777" w:rsidR="005D4F07" w:rsidRDefault="003E066B">
      <w:pPr>
        <w:jc w:val="center"/>
        <w:rPr>
          <w:rFonts w:ascii="Times New Roman" w:eastAsia="宋体" w:hAnsi="Times New Roman" w:cs="Times New Roman"/>
          <w:b/>
          <w:szCs w:val="21"/>
        </w:rPr>
      </w:pPr>
      <w:r>
        <w:rPr>
          <w:rFonts w:ascii="Times New Roman" w:eastAsia="宋体" w:hAnsi="Times New Roman" w:cs="Times New Roman"/>
          <w:b/>
          <w:szCs w:val="21"/>
        </w:rPr>
        <w:t>He Xiaolei</w:t>
      </w:r>
      <w:r>
        <w:rPr>
          <w:rFonts w:ascii="Times New Roman" w:eastAsia="宋体" w:hAnsi="Times New Roman" w:cs="Times New Roman" w:hint="eastAsia"/>
          <w:b/>
          <w:szCs w:val="21"/>
          <w:vertAlign w:val="superscript"/>
        </w:rPr>
        <w:t>1</w:t>
      </w:r>
      <w:r>
        <w:rPr>
          <w:rFonts w:ascii="Times New Roman" w:eastAsia="宋体" w:hAnsi="Times New Roman" w:cs="Times New Roman" w:hint="eastAsia"/>
          <w:b/>
          <w:szCs w:val="21"/>
        </w:rPr>
        <w:t>, Wang Zhen</w:t>
      </w:r>
      <w:r>
        <w:rPr>
          <w:rFonts w:ascii="Times New Roman" w:eastAsia="宋体" w:hAnsi="Times New Roman" w:cs="Times New Roman" w:hint="eastAsia"/>
          <w:b/>
          <w:szCs w:val="21"/>
          <w:vertAlign w:val="superscript"/>
        </w:rPr>
        <w:t>1</w:t>
      </w:r>
      <w:r>
        <w:rPr>
          <w:rFonts w:ascii="Times New Roman" w:eastAsia="宋体" w:hAnsi="Times New Roman" w:cs="Times New Roman" w:hint="eastAsia"/>
          <w:b/>
          <w:szCs w:val="21"/>
        </w:rPr>
        <w:t>, Qian Yang</w:t>
      </w:r>
      <w:r>
        <w:rPr>
          <w:rFonts w:ascii="Times New Roman" w:eastAsia="宋体" w:hAnsi="Times New Roman" w:cs="Times New Roman" w:hint="eastAsia"/>
          <w:b/>
          <w:szCs w:val="21"/>
          <w:vertAlign w:val="superscript"/>
        </w:rPr>
        <w:t>1</w:t>
      </w:r>
      <w:r>
        <w:rPr>
          <w:rFonts w:ascii="Times New Roman" w:eastAsia="宋体" w:hAnsi="Times New Roman" w:cs="Times New Roman" w:hint="eastAsia"/>
          <w:b/>
          <w:szCs w:val="21"/>
        </w:rPr>
        <w:t>, Su Ruizhi</w:t>
      </w:r>
      <w:r>
        <w:rPr>
          <w:rFonts w:ascii="Times New Roman" w:eastAsia="宋体" w:hAnsi="Times New Roman" w:cs="Times New Roman" w:hint="eastAsia"/>
          <w:b/>
          <w:szCs w:val="21"/>
          <w:vertAlign w:val="superscript"/>
        </w:rPr>
        <w:t>1</w:t>
      </w:r>
      <w:r>
        <w:rPr>
          <w:rFonts w:ascii="Times New Roman" w:eastAsia="宋体" w:hAnsi="Times New Roman" w:cs="Times New Roman" w:hint="eastAsia"/>
          <w:b/>
          <w:szCs w:val="21"/>
        </w:rPr>
        <w:t>, Qiu Cheng</w:t>
      </w:r>
      <w:r>
        <w:rPr>
          <w:rFonts w:ascii="Times New Roman" w:eastAsia="宋体" w:hAnsi="Times New Roman" w:cs="Times New Roman" w:hint="eastAsia"/>
          <w:b/>
          <w:szCs w:val="21"/>
          <w:vertAlign w:val="superscript"/>
        </w:rPr>
        <w:t>2</w:t>
      </w:r>
    </w:p>
    <w:p w14:paraId="46908CDF" w14:textId="77777777" w:rsidR="005D4F07" w:rsidRDefault="003E066B">
      <w:pPr>
        <w:jc w:val="center"/>
        <w:rPr>
          <w:rFonts w:ascii="Times New Roman" w:eastAsia="宋体" w:hAnsi="Times New Roman" w:cs="Times New Roman"/>
          <w:b/>
          <w:sz w:val="15"/>
          <w:szCs w:val="15"/>
        </w:rPr>
      </w:pPr>
      <w:r>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1.</w:t>
      </w:r>
      <w:r>
        <w:rPr>
          <w:rFonts w:ascii="Times New Roman" w:eastAsia="宋体" w:hAnsi="Times New Roman" w:cs="Times New Roman"/>
          <w:b/>
          <w:sz w:val="15"/>
          <w:szCs w:val="15"/>
        </w:rPr>
        <w:t>The 34th Research Institute of China Electronics Technology Group Corporation, Guilin 541004</w:t>
      </w:r>
      <w:r>
        <w:rPr>
          <w:rFonts w:ascii="Times New Roman" w:eastAsia="宋体" w:hAnsi="Times New Roman" w:cs="Times New Roman" w:hint="eastAsia"/>
          <w:b/>
          <w:sz w:val="15"/>
          <w:szCs w:val="15"/>
        </w:rPr>
        <w:t xml:space="preserve">; 2. </w:t>
      </w:r>
      <w:r>
        <w:rPr>
          <w:rFonts w:ascii="Times New Roman" w:eastAsia="宋体" w:hAnsi="Times New Roman" w:cs="Times New Roman"/>
          <w:b/>
          <w:sz w:val="15"/>
          <w:szCs w:val="15"/>
        </w:rPr>
        <w:t>Guangxi Institute of Metrology &amp; Measurement</w:t>
      </w:r>
      <w:r>
        <w:rPr>
          <w:rFonts w:ascii="Times New Roman" w:eastAsia="宋体" w:hAnsi="Times New Roman" w:cs="Times New Roman" w:hint="eastAsia"/>
          <w:b/>
          <w:sz w:val="15"/>
          <w:szCs w:val="15"/>
        </w:rPr>
        <w:t>, Nanning 530022)</w:t>
      </w:r>
    </w:p>
    <w:p w14:paraId="32792C17" w14:textId="77777777" w:rsidR="005D4F07" w:rsidRDefault="005D4F07">
      <w:pPr>
        <w:adjustRightInd w:val="0"/>
        <w:snapToGrid w:val="0"/>
        <w:ind w:leftChars="250" w:left="525" w:rightChars="250" w:right="525"/>
        <w:jc w:val="center"/>
        <w:rPr>
          <w:rFonts w:ascii="Times New Roman" w:eastAsia="宋体" w:hAnsi="Times New Roman" w:cs="Times New Roman"/>
          <w:b/>
          <w:strike/>
          <w:szCs w:val="21"/>
        </w:rPr>
      </w:pPr>
    </w:p>
    <w:p w14:paraId="6D9D4977" w14:textId="77777777" w:rsidR="005D4F07" w:rsidRDefault="003E066B">
      <w:pPr>
        <w:rPr>
          <w:rFonts w:ascii="Times New Roman" w:eastAsia="宋体" w:hAnsi="Times New Roman" w:cs="Times New Roman"/>
          <w:bCs/>
          <w:sz w:val="18"/>
          <w:szCs w:val="18"/>
        </w:rPr>
      </w:pPr>
      <w:r>
        <w:rPr>
          <w:rFonts w:ascii="Times New Roman" w:eastAsia="宋体" w:hAnsi="Times New Roman" w:cs="Times New Roman"/>
          <w:b/>
          <w:bCs/>
          <w:sz w:val="18"/>
          <w:szCs w:val="18"/>
        </w:rPr>
        <w:t>Abstract:</w:t>
      </w:r>
      <w:r>
        <w:rPr>
          <w:rFonts w:ascii="Times New Roman" w:eastAsia="宋体" w:hAnsi="Times New Roman" w:cs="Times New Roman"/>
          <w:b/>
          <w:sz w:val="18"/>
          <w:szCs w:val="18"/>
        </w:rPr>
        <w:t> </w:t>
      </w:r>
      <w:r>
        <w:rPr>
          <w:rFonts w:ascii="Times New Roman" w:eastAsia="宋体" w:hAnsi="Times New Roman" w:cs="Times New Roman"/>
          <w:bCs/>
          <w:sz w:val="18"/>
          <w:szCs w:val="18"/>
        </w:rPr>
        <w:t xml:space="preserve">With the rapid advancement of commercial aerospace technology, the demand for communication systems between modules in commercial spacecraft is increasingly growing. This paper proposes a </w:t>
      </w:r>
      <w:r>
        <w:rPr>
          <w:rFonts w:ascii="Times New Roman" w:eastAsia="宋体" w:hAnsi="Times New Roman" w:cs="Times New Roman" w:hint="eastAsia"/>
          <w:bCs/>
          <w:sz w:val="18"/>
          <w:szCs w:val="18"/>
        </w:rPr>
        <w:t>close</w:t>
      </w:r>
      <w:r>
        <w:rPr>
          <w:rFonts w:ascii="Times New Roman" w:eastAsia="宋体" w:hAnsi="Times New Roman" w:cs="Times New Roman"/>
          <w:bCs/>
          <w:sz w:val="18"/>
          <w:szCs w:val="18"/>
        </w:rPr>
        <w:t>-range laser communication system that integrates an efficient communication and anti-jitter design for inter-module communication in commercial aerospace. The system faces challenges such as optical component deformation and decreased optical path stability under high-frequency, multi-degree-of-freedom, and high-frequency vibration conditions. By employing a unique optical path design, large divergence angles, and adaptive algorithms, the system effectively mitigates the impact of vibrations on the optical system. Experimental results show that with vibration angle deviations within ±20°, lateral displacements less than 200mm, and longitudinal displacements less than 10mm, the spot quality and communication performance meet the design requirements. The research in this paper provides a theoretical basis and technical support for the design and implementation of laser communication systems between modules in commercial aerospace under high-frequency, multi-degree-of-freedom coupled vibration environments, and is of significant importance for enhancing the communication reliability of spacecraft in extreme conditions.</w:t>
      </w:r>
    </w:p>
    <w:p w14:paraId="461855A3" w14:textId="77777777" w:rsidR="005D4F07" w:rsidRDefault="003E066B">
      <w:pPr>
        <w:rPr>
          <w:rFonts w:ascii="Times New Roman" w:eastAsia="宋体" w:hAnsi="Times New Roman" w:cs="Times New Roman"/>
          <w:bCs/>
          <w:sz w:val="18"/>
          <w:szCs w:val="18"/>
        </w:rPr>
      </w:pPr>
      <w:r>
        <w:rPr>
          <w:rFonts w:ascii="Times New Roman" w:eastAsia="宋体" w:hAnsi="Times New Roman" w:cs="Times New Roman"/>
          <w:b/>
          <w:sz w:val="18"/>
          <w:szCs w:val="18"/>
        </w:rPr>
        <w:t>Keywords: </w:t>
      </w:r>
      <w:r>
        <w:rPr>
          <w:rFonts w:ascii="Times New Roman" w:eastAsia="宋体" w:hAnsi="Times New Roman" w:cs="Times New Roman"/>
          <w:bCs/>
          <w:sz w:val="18"/>
          <w:szCs w:val="18"/>
        </w:rPr>
        <w:t xml:space="preserve">multi-degree-of-freedom </w:t>
      </w:r>
      <w:r>
        <w:rPr>
          <w:rFonts w:ascii="Times New Roman" w:eastAsia="宋体" w:hAnsi="Times New Roman" w:cs="Times New Roman" w:hint="eastAsia"/>
          <w:bCs/>
          <w:sz w:val="18"/>
          <w:szCs w:val="18"/>
        </w:rPr>
        <w:t>,</w:t>
      </w:r>
      <w:r>
        <w:rPr>
          <w:rFonts w:ascii="Times New Roman" w:eastAsia="宋体" w:hAnsi="Times New Roman" w:cs="Times New Roman"/>
          <w:bCs/>
          <w:sz w:val="18"/>
          <w:szCs w:val="18"/>
        </w:rPr>
        <w:t>coupled vibration, close-range</w:t>
      </w:r>
      <w:r>
        <w:rPr>
          <w:rFonts w:ascii="Times New Roman" w:eastAsia="宋体" w:hAnsi="Times New Roman" w:cs="Times New Roman" w:hint="eastAsia"/>
          <w:bCs/>
          <w:sz w:val="18"/>
          <w:szCs w:val="18"/>
        </w:rPr>
        <w:t>,</w:t>
      </w:r>
      <w:r>
        <w:rPr>
          <w:rFonts w:ascii="Times New Roman" w:eastAsia="宋体" w:hAnsi="Times New Roman" w:cs="Times New Roman"/>
          <w:bCs/>
          <w:sz w:val="18"/>
          <w:szCs w:val="18"/>
        </w:rPr>
        <w:t xml:space="preserve"> laser communication, optical stability</w:t>
      </w:r>
    </w:p>
    <w:p w14:paraId="2E9A2E59" w14:textId="77777777" w:rsidR="005D4F07" w:rsidRDefault="005D4F07">
      <w:pPr>
        <w:rPr>
          <w:rFonts w:ascii="Times New Roman" w:eastAsia="宋体" w:hAnsi="Times New Roman" w:cs="Times New Roman"/>
          <w:b/>
          <w:sz w:val="18"/>
          <w:szCs w:val="18"/>
        </w:rPr>
      </w:pPr>
    </w:p>
    <w:p w14:paraId="6BF0E7E4" w14:textId="77777777" w:rsidR="005D4F07" w:rsidRDefault="003E066B">
      <w:pPr>
        <w:pStyle w:val="af9"/>
        <w:numPr>
          <w:ilvl w:val="0"/>
          <w:numId w:val="4"/>
        </w:numPr>
        <w:rPr>
          <w:rFonts w:ascii="Times New Roman" w:eastAsia="宋体" w:hAnsi="Times New Roman" w:cs="Times New Roman"/>
          <w:b/>
          <w:sz w:val="24"/>
          <w:szCs w:val="24"/>
        </w:rPr>
      </w:pPr>
      <w:r>
        <w:rPr>
          <w:rFonts w:ascii="Times New Roman" w:eastAsia="宋体" w:hAnsi="Times New Roman" w:cs="Times New Roman" w:hint="eastAsia"/>
          <w:b/>
          <w:sz w:val="24"/>
          <w:szCs w:val="24"/>
        </w:rPr>
        <w:t>引言</w:t>
      </w:r>
    </w:p>
    <w:p w14:paraId="13FD14AF" w14:textId="184B9FE9" w:rsidR="005D4F07" w:rsidRPr="001C7302" w:rsidRDefault="001C7302">
      <w:pPr>
        <w:ind w:firstLineChars="200" w:firstLine="420"/>
        <w:rPr>
          <w:rFonts w:ascii="Times New Roman" w:eastAsia="宋体" w:hAnsi="Times New Roman" w:cs="Times New Roman"/>
          <w:color w:val="404040"/>
          <w:shd w:val="clear" w:color="auto" w:fill="FFFFFF"/>
        </w:rPr>
      </w:pPr>
      <w:r w:rsidRPr="001C7302">
        <w:rPr>
          <w:rFonts w:ascii="Times New Roman" w:eastAsia="宋体" w:hAnsi="Times New Roman" w:cs="Times New Roman"/>
          <w:color w:val="404040"/>
          <w:shd w:val="clear" w:color="auto" w:fill="FFFFFF"/>
        </w:rPr>
        <w:t>随着商业航天的快速发展，航天器在多级火箭分离、飞船对接与脱离等任务对高可靠性近距离通信的需求日益迫切。传统脱插连接器存在解锁可靠性低、非正常脱落等风险</w:t>
      </w:r>
      <w:r w:rsidRPr="001C7302">
        <w:rPr>
          <w:rFonts w:ascii="Times New Roman" w:eastAsia="宋体" w:hAnsi="Times New Roman" w:cs="Times New Roman"/>
          <w:color w:val="404040"/>
          <w:shd w:val="clear" w:color="auto" w:fill="FFFFFF"/>
          <w:vertAlign w:val="superscript"/>
        </w:rPr>
        <w:t>[1-3]</w:t>
      </w:r>
      <w:r w:rsidRPr="001C7302">
        <w:rPr>
          <w:rFonts w:ascii="Times New Roman" w:eastAsia="宋体" w:hAnsi="Times New Roman" w:cs="Times New Roman"/>
          <w:color w:val="404040"/>
          <w:shd w:val="clear" w:color="auto" w:fill="FFFFFF"/>
        </w:rPr>
        <w:t>，难以满足无人化、高效率的应用需求。此外，这些工作环境常伴随高频震动等极端条件</w:t>
      </w:r>
      <w:r w:rsidRPr="001C7302">
        <w:rPr>
          <w:rFonts w:ascii="Times New Roman" w:eastAsia="宋体" w:hAnsi="Times New Roman" w:cs="Times New Roman"/>
          <w:color w:val="404040"/>
          <w:shd w:val="clear" w:color="auto" w:fill="FFFFFF"/>
          <w:vertAlign w:val="superscript"/>
        </w:rPr>
        <w:t>[4]</w:t>
      </w:r>
      <w:r w:rsidRPr="001C7302">
        <w:rPr>
          <w:rFonts w:ascii="Times New Roman" w:eastAsia="宋体" w:hAnsi="Times New Roman" w:cs="Times New Roman"/>
          <w:color w:val="404040"/>
          <w:shd w:val="clear" w:color="auto" w:fill="FFFFFF"/>
        </w:rPr>
        <w:t>，进一步增加了通信系统的设计难度。虽然激光通信技术凭借高传输速率和高安全性优势</w:t>
      </w:r>
      <w:r w:rsidRPr="001C7302">
        <w:rPr>
          <w:rFonts w:ascii="Times New Roman" w:eastAsia="宋体" w:hAnsi="Times New Roman" w:cs="Times New Roman"/>
          <w:color w:val="404040"/>
          <w:shd w:val="clear" w:color="auto" w:fill="FFFFFF"/>
          <w:vertAlign w:val="superscript"/>
        </w:rPr>
        <w:t>[5-6]</w:t>
      </w:r>
      <w:r w:rsidRPr="001C7302">
        <w:rPr>
          <w:rFonts w:ascii="Times New Roman" w:eastAsia="宋体" w:hAnsi="Times New Roman" w:cs="Times New Roman"/>
          <w:color w:val="404040"/>
          <w:shd w:val="clear" w:color="auto" w:fill="FFFFFF"/>
        </w:rPr>
        <w:t>成为理想解决方案，但在震动环境下，激光波束易发生偏移，可能导致通信中断</w:t>
      </w:r>
      <w:r w:rsidRPr="00862025">
        <w:rPr>
          <w:rFonts w:ascii="Times New Roman" w:eastAsia="宋体" w:hAnsi="Times New Roman" w:cs="Times New Roman"/>
          <w:color w:val="404040"/>
          <w:shd w:val="clear" w:color="auto" w:fill="FFFFFF"/>
          <w:vertAlign w:val="superscript"/>
        </w:rPr>
        <w:t>[7]</w:t>
      </w:r>
      <w:r w:rsidRPr="001C7302">
        <w:rPr>
          <w:rFonts w:ascii="Times New Roman" w:eastAsia="宋体" w:hAnsi="Times New Roman" w:cs="Times New Roman"/>
          <w:color w:val="404040"/>
          <w:shd w:val="clear" w:color="auto" w:fill="FFFFFF"/>
        </w:rPr>
        <w:t>。针对这</w:t>
      </w:r>
      <w:r w:rsidRPr="001C7302">
        <w:rPr>
          <w:rFonts w:ascii="Times New Roman" w:eastAsia="宋体" w:hAnsi="Times New Roman" w:cs="Times New Roman"/>
          <w:color w:val="404040"/>
          <w:shd w:val="clear" w:color="auto" w:fill="FFFFFF"/>
        </w:rPr>
        <w:lastRenderedPageBreak/>
        <w:t>一问题，本文提出一种多自由度耦合震动环境</w:t>
      </w:r>
      <w:r w:rsidR="00862025">
        <w:rPr>
          <w:rFonts w:ascii="Times New Roman" w:eastAsia="宋体" w:hAnsi="Times New Roman" w:cs="Times New Roman" w:hint="eastAsia"/>
          <w:color w:val="404040"/>
          <w:shd w:val="clear" w:color="auto" w:fill="FFFFFF"/>
        </w:rPr>
        <w:t>下</w:t>
      </w:r>
      <w:r w:rsidRPr="001C7302">
        <w:rPr>
          <w:rFonts w:ascii="Times New Roman" w:eastAsia="宋体" w:hAnsi="Times New Roman" w:cs="Times New Roman"/>
          <w:color w:val="404040"/>
          <w:shd w:val="clear" w:color="auto" w:fill="FFFFFF"/>
        </w:rPr>
        <w:t>的近距激光通信系统。</w:t>
      </w:r>
    </w:p>
    <w:p w14:paraId="6F0F44FA" w14:textId="77777777" w:rsidR="001C7302" w:rsidRDefault="001C7302">
      <w:pPr>
        <w:ind w:firstLineChars="200" w:firstLine="420"/>
        <w:rPr>
          <w:rFonts w:ascii="Times New Roman" w:eastAsia="宋体" w:hAnsi="Times New Roman" w:cs="Times New Roman"/>
          <w:bCs/>
          <w:kern w:val="0"/>
          <w:szCs w:val="21"/>
        </w:rPr>
      </w:pPr>
    </w:p>
    <w:p w14:paraId="37D62EFF" w14:textId="77777777" w:rsidR="005D4F07" w:rsidRPr="00862025" w:rsidRDefault="003E066B" w:rsidP="00862025">
      <w:pPr>
        <w:pStyle w:val="af9"/>
        <w:numPr>
          <w:ilvl w:val="0"/>
          <w:numId w:val="4"/>
        </w:numPr>
        <w:rPr>
          <w:rFonts w:ascii="Times New Roman" w:eastAsia="宋体" w:hAnsi="Times New Roman" w:cs="Times New Roman"/>
          <w:b/>
          <w:sz w:val="24"/>
          <w:szCs w:val="24"/>
        </w:rPr>
      </w:pPr>
      <w:r w:rsidRPr="00862025">
        <w:rPr>
          <w:rFonts w:ascii="Times New Roman" w:eastAsia="宋体" w:hAnsi="Times New Roman" w:cs="Times New Roman" w:hint="eastAsia"/>
          <w:b/>
          <w:sz w:val="24"/>
          <w:szCs w:val="24"/>
        </w:rPr>
        <w:t>系统</w:t>
      </w:r>
      <w:r w:rsidR="002A25DC" w:rsidRPr="00862025">
        <w:rPr>
          <w:rFonts w:ascii="Times New Roman" w:eastAsia="宋体" w:hAnsi="Times New Roman" w:cs="Times New Roman" w:hint="eastAsia"/>
          <w:b/>
          <w:sz w:val="24"/>
          <w:szCs w:val="24"/>
        </w:rPr>
        <w:t>设计与</w:t>
      </w:r>
      <w:r w:rsidRPr="00862025">
        <w:rPr>
          <w:rFonts w:ascii="Times New Roman" w:eastAsia="宋体" w:hAnsi="Times New Roman" w:cs="Times New Roman" w:hint="eastAsia"/>
          <w:b/>
          <w:sz w:val="24"/>
          <w:szCs w:val="24"/>
        </w:rPr>
        <w:t>工作原理</w:t>
      </w:r>
    </w:p>
    <w:p w14:paraId="2ED5B000" w14:textId="3EA93B47" w:rsidR="005D4F07" w:rsidRDefault="00557F35">
      <w:pPr>
        <w:ind w:firstLineChars="200" w:firstLine="420"/>
        <w:rPr>
          <w:rFonts w:ascii="Times New Roman" w:eastAsia="宋体" w:hAnsi="Times New Roman" w:cs="Times New Roman"/>
          <w:bCs/>
          <w:kern w:val="0"/>
          <w:szCs w:val="21"/>
        </w:rPr>
      </w:pPr>
      <w:r w:rsidRPr="00557F35">
        <w:rPr>
          <w:rFonts w:ascii="宋体" w:eastAsia="宋体" w:hAnsi="宋体" w:cs="Segoe UI"/>
          <w:color w:val="404040"/>
          <w:shd w:val="clear" w:color="auto" w:fill="FFFFFF"/>
        </w:rPr>
        <w:t>本文提出的</w:t>
      </w:r>
      <w:r w:rsidR="00C41238">
        <w:rPr>
          <w:rFonts w:ascii="Segoe UI" w:hAnsi="Segoe UI" w:cs="Segoe UI"/>
          <w:color w:val="404040"/>
          <w:shd w:val="clear" w:color="auto" w:fill="FFFFFF"/>
        </w:rPr>
        <w:t>多自由度耦合震动环境下的近距激光通信系统，其核心创新在于无线激光通信模块的优化设计。</w:t>
      </w:r>
      <w:r w:rsidR="00C41238">
        <w:rPr>
          <w:rFonts w:ascii="宋体" w:eastAsia="宋体" w:hAnsi="宋体" w:cs="Segoe UI" w:hint="eastAsia"/>
          <w:color w:val="404040"/>
          <w:shd w:val="clear" w:color="auto" w:fill="FFFFFF"/>
        </w:rPr>
        <w:t>模块</w:t>
      </w:r>
      <w:r w:rsidR="00C41238">
        <w:rPr>
          <w:rFonts w:ascii="宋体" w:eastAsia="宋体" w:hAnsi="宋体" w:cs="Segoe UI"/>
          <w:color w:val="404040"/>
          <w:shd w:val="clear" w:color="auto" w:fill="FFFFFF"/>
        </w:rPr>
        <w:t>功能组成图</w:t>
      </w:r>
      <w:r w:rsidRPr="00557F35">
        <w:rPr>
          <w:rFonts w:ascii="宋体" w:eastAsia="宋体" w:hAnsi="宋体" w:cs="Segoe UI"/>
          <w:color w:val="404040"/>
          <w:shd w:val="clear" w:color="auto" w:fill="FFFFFF"/>
        </w:rPr>
        <w:t>如图1所示</w:t>
      </w:r>
      <w:r w:rsidR="00C41238">
        <w:rPr>
          <w:rFonts w:ascii="宋体" w:eastAsia="宋体" w:hAnsi="宋体" w:cs="Segoe UI" w:hint="eastAsia"/>
          <w:color w:val="404040"/>
          <w:shd w:val="clear" w:color="auto" w:fill="FFFFFF"/>
        </w:rPr>
        <w:t>。</w:t>
      </w:r>
      <w:r w:rsidRPr="00557F35">
        <w:rPr>
          <w:rFonts w:ascii="宋体" w:eastAsia="宋体" w:hAnsi="宋体" w:cs="Segoe UI"/>
          <w:color w:val="404040"/>
          <w:shd w:val="clear" w:color="auto" w:fill="FFFFFF"/>
        </w:rPr>
        <w:t>该模块</w:t>
      </w:r>
      <w:r w:rsidR="00C41238">
        <w:rPr>
          <w:rFonts w:ascii="Segoe UI" w:hAnsi="Segoe UI" w:cs="Segoe UI"/>
          <w:color w:val="404040"/>
          <w:shd w:val="clear" w:color="auto" w:fill="FFFFFF"/>
        </w:rPr>
        <w:t>采用发射端和接收端的双模块架构</w:t>
      </w:r>
      <w:r w:rsidRPr="00557F35">
        <w:rPr>
          <w:rFonts w:ascii="宋体" w:eastAsia="宋体" w:hAnsi="宋体" w:cs="Segoe UI"/>
          <w:color w:val="404040"/>
          <w:shd w:val="clear" w:color="auto" w:fill="FFFFFF"/>
        </w:rPr>
        <w:t>：发射端通过无线激光发射电路将业务数据调制到光信号上，经大气（或其</w:t>
      </w:r>
      <w:r>
        <w:rPr>
          <w:rFonts w:ascii="宋体" w:eastAsia="宋体" w:hAnsi="宋体" w:cs="Segoe UI" w:hint="eastAsia"/>
          <w:color w:val="404040"/>
          <w:shd w:val="clear" w:color="auto" w:fill="FFFFFF"/>
        </w:rPr>
        <w:t>它</w:t>
      </w:r>
      <w:r w:rsidRPr="00557F35">
        <w:rPr>
          <w:rFonts w:ascii="宋体" w:eastAsia="宋体" w:hAnsi="宋体" w:cs="Segoe UI"/>
          <w:color w:val="404040"/>
          <w:shd w:val="clear" w:color="auto" w:fill="FFFFFF"/>
        </w:rPr>
        <w:t>介质）传输后，由接收端的探测电路完成光信号接收与数据转换</w:t>
      </w:r>
      <w:r w:rsidR="003E066B">
        <w:rPr>
          <w:rFonts w:ascii="Times New Roman" w:eastAsia="宋体" w:hAnsi="Times New Roman" w:cs="Times New Roman" w:hint="eastAsia"/>
          <w:bCs/>
          <w:kern w:val="0"/>
          <w:szCs w:val="21"/>
          <w:vertAlign w:val="superscript"/>
        </w:rPr>
        <w:t>[8]</w:t>
      </w:r>
      <w:r w:rsidR="003E066B">
        <w:rPr>
          <w:rFonts w:ascii="Times New Roman" w:eastAsia="宋体" w:hAnsi="Times New Roman" w:cs="Times New Roman" w:hint="eastAsia"/>
          <w:bCs/>
          <w:kern w:val="0"/>
          <w:szCs w:val="21"/>
        </w:rPr>
        <w:t>。</w:t>
      </w:r>
    </w:p>
    <w:p w14:paraId="56CDAECA" w14:textId="7EF68393" w:rsidR="005D4F07" w:rsidRDefault="00666976" w:rsidP="00666976">
      <w:pPr>
        <w:ind w:firstLineChars="200" w:firstLine="420"/>
        <w:rPr>
          <w:rFonts w:ascii="Times New Roman" w:eastAsia="宋体" w:hAnsi="Times New Roman" w:cs="Times New Roman"/>
          <w:bCs/>
          <w:kern w:val="0"/>
          <w:szCs w:val="21"/>
        </w:rPr>
      </w:pPr>
      <w:r>
        <w:rPr>
          <w:rFonts w:hint="eastAsia"/>
        </w:rPr>
        <w:object w:dxaOrig="22081" w:dyaOrig="4620" w14:anchorId="13763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pt;height:87pt" o:ole="">
            <v:imagedata r:id="rId7" o:title=""/>
          </v:shape>
          <o:OLEObject Type="Embed" ProgID="Visio.Drawing.15" ShapeID="_x0000_i1025" DrawAspect="Content" ObjectID="_1813586978" r:id="rId8"/>
        </w:object>
      </w:r>
    </w:p>
    <w:p w14:paraId="2BB75D77" w14:textId="77777777" w:rsidR="005D4F07" w:rsidRDefault="00D371A0">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模块</w:t>
      </w:r>
      <w:r w:rsidR="003E066B">
        <w:rPr>
          <w:rFonts w:ascii="Times New Roman" w:eastAsia="宋体" w:hAnsi="Times New Roman" w:cs="Times New Roman" w:hint="eastAsia"/>
          <w:b/>
          <w:sz w:val="15"/>
          <w:szCs w:val="15"/>
        </w:rPr>
        <w:t>功能组成图</w:t>
      </w:r>
    </w:p>
    <w:p w14:paraId="1592D584" w14:textId="162C2F0E" w:rsidR="00ED2348" w:rsidRPr="000158E7" w:rsidRDefault="006A678A" w:rsidP="005966C1">
      <w:pPr>
        <w:ind w:firstLineChars="200" w:firstLine="420"/>
        <w:rPr>
          <w:rFonts w:ascii="Times New Roman" w:eastAsia="宋体" w:hAnsi="Times New Roman" w:cs="Times New Roman"/>
          <w:bCs/>
          <w:color w:val="000000" w:themeColor="text1"/>
          <w:kern w:val="0"/>
          <w:szCs w:val="21"/>
        </w:rPr>
      </w:pPr>
      <w:r w:rsidRPr="000158E7">
        <w:rPr>
          <w:rFonts w:ascii="Times New Roman" w:eastAsia="宋体" w:hAnsi="Times New Roman" w:cs="Times New Roman"/>
          <w:color w:val="000000" w:themeColor="text1"/>
          <w:shd w:val="clear" w:color="auto" w:fill="FFFFFF"/>
        </w:rPr>
        <w:t>模块功能组成图中，</w:t>
      </w:r>
      <w:r w:rsidR="000B3CBE" w:rsidRPr="000158E7">
        <w:rPr>
          <w:rFonts w:ascii="Times New Roman" w:eastAsia="宋体" w:hAnsi="Times New Roman" w:cs="Times New Roman"/>
          <w:color w:val="000000" w:themeColor="text1"/>
          <w:shd w:val="clear" w:color="auto" w:fill="FFFFFF"/>
        </w:rPr>
        <w:t>光学天线</w:t>
      </w:r>
      <w:r w:rsidR="00C41238" w:rsidRPr="000158E7">
        <w:rPr>
          <w:rFonts w:ascii="Times New Roman" w:eastAsia="宋体" w:hAnsi="Times New Roman" w:cs="Times New Roman"/>
          <w:color w:val="000000" w:themeColor="text1"/>
          <w:shd w:val="clear" w:color="auto" w:fill="FFFFFF"/>
        </w:rPr>
        <w:t>模块包含</w:t>
      </w:r>
      <w:r w:rsidR="00C41238" w:rsidRPr="000158E7">
        <w:rPr>
          <w:rStyle w:val="aff"/>
          <w:rFonts w:ascii="Times New Roman" w:eastAsia="宋体" w:hAnsi="Times New Roman" w:cs="Times New Roman"/>
          <w:b w:val="0"/>
          <w:color w:val="000000" w:themeColor="text1"/>
          <w:shd w:val="clear" w:color="auto" w:fill="FFFFFF"/>
        </w:rPr>
        <w:t>发射</w:t>
      </w:r>
      <w:r w:rsidR="00C41238" w:rsidRPr="000158E7">
        <w:rPr>
          <w:rStyle w:val="aff"/>
          <w:rFonts w:ascii="Times New Roman" w:eastAsia="宋体" w:hAnsi="Times New Roman" w:cs="Times New Roman"/>
          <w:b w:val="0"/>
          <w:color w:val="000000" w:themeColor="text1"/>
          <w:shd w:val="clear" w:color="auto" w:fill="FFFFFF"/>
        </w:rPr>
        <w:t>光路</w:t>
      </w:r>
      <w:r w:rsidR="00C41238" w:rsidRPr="000158E7">
        <w:rPr>
          <w:rFonts w:ascii="Times New Roman" w:eastAsia="宋体" w:hAnsi="Times New Roman" w:cs="Times New Roman"/>
          <w:color w:val="000000" w:themeColor="text1"/>
          <w:shd w:val="clear" w:color="auto" w:fill="FFFFFF"/>
        </w:rPr>
        <w:t>（含扩束系统）和</w:t>
      </w:r>
      <w:r w:rsidR="00C41238" w:rsidRPr="000158E7">
        <w:rPr>
          <w:rFonts w:ascii="Times New Roman" w:eastAsia="宋体" w:hAnsi="Times New Roman" w:cs="Times New Roman"/>
          <w:color w:val="000000" w:themeColor="text1"/>
          <w:shd w:val="clear" w:color="auto" w:fill="FFFFFF"/>
        </w:rPr>
        <w:t> </w:t>
      </w:r>
      <w:r w:rsidR="00C41238" w:rsidRPr="000158E7">
        <w:rPr>
          <w:rStyle w:val="aff"/>
          <w:rFonts w:ascii="Times New Roman" w:eastAsia="宋体" w:hAnsi="Times New Roman" w:cs="Times New Roman"/>
          <w:b w:val="0"/>
          <w:color w:val="000000" w:themeColor="text1"/>
          <w:shd w:val="clear" w:color="auto" w:fill="FFFFFF"/>
        </w:rPr>
        <w:t>接收</w:t>
      </w:r>
      <w:r w:rsidR="00C41238" w:rsidRPr="000158E7">
        <w:rPr>
          <w:rStyle w:val="aff"/>
          <w:rFonts w:ascii="Times New Roman" w:eastAsia="宋体" w:hAnsi="Times New Roman" w:cs="Times New Roman"/>
          <w:b w:val="0"/>
          <w:color w:val="000000" w:themeColor="text1"/>
          <w:shd w:val="clear" w:color="auto" w:fill="FFFFFF"/>
        </w:rPr>
        <w:t>光路</w:t>
      </w:r>
      <w:r w:rsidR="00C41238" w:rsidRPr="000158E7">
        <w:rPr>
          <w:rFonts w:ascii="Times New Roman" w:eastAsia="宋体" w:hAnsi="Times New Roman" w:cs="Times New Roman"/>
          <w:color w:val="000000" w:themeColor="text1"/>
          <w:shd w:val="clear" w:color="auto" w:fill="FFFFFF"/>
        </w:rPr>
        <w:t>（含聚焦透镜）</w:t>
      </w:r>
      <w:r w:rsidR="003779EE" w:rsidRPr="000158E7">
        <w:rPr>
          <w:rFonts w:ascii="Times New Roman" w:eastAsia="宋体" w:hAnsi="Times New Roman" w:cs="Times New Roman"/>
          <w:color w:val="000000" w:themeColor="text1"/>
          <w:shd w:val="clear" w:color="auto" w:fill="FFFFFF"/>
        </w:rPr>
        <w:t>，共同完成信号光的发射与接收功能。</w:t>
      </w:r>
      <w:r w:rsidR="00C41238" w:rsidRPr="000158E7">
        <w:rPr>
          <w:rFonts w:ascii="Times New Roman" w:eastAsia="宋体" w:hAnsi="Times New Roman" w:cs="Times New Roman"/>
          <w:color w:val="000000" w:themeColor="text1"/>
          <w:shd w:val="clear" w:color="auto" w:fill="FFFFFF"/>
        </w:rPr>
        <w:t>其</w:t>
      </w:r>
      <w:r w:rsidR="000B3CBE" w:rsidRPr="000158E7">
        <w:rPr>
          <w:rFonts w:ascii="Times New Roman" w:eastAsia="宋体" w:hAnsi="Times New Roman" w:cs="Times New Roman"/>
          <w:color w:val="000000" w:themeColor="text1"/>
          <w:shd w:val="clear" w:color="auto" w:fill="FFFFFF"/>
        </w:rPr>
        <w:t>设计要点是提高发射和接收效率。</w:t>
      </w:r>
      <w:r w:rsidR="003779EE" w:rsidRPr="000158E7">
        <w:rPr>
          <w:rFonts w:ascii="Times New Roman" w:eastAsia="宋体" w:hAnsi="Times New Roman" w:cs="Times New Roman"/>
          <w:color w:val="000000" w:themeColor="text1"/>
          <w:shd w:val="clear" w:color="auto" w:fill="FFFFFF"/>
        </w:rPr>
        <w:t>发射</w:t>
      </w:r>
      <w:r w:rsidR="003779EE" w:rsidRPr="000158E7">
        <w:rPr>
          <w:rFonts w:ascii="Times New Roman" w:eastAsia="宋体" w:hAnsi="Times New Roman" w:cs="Times New Roman"/>
          <w:color w:val="000000" w:themeColor="text1"/>
          <w:shd w:val="clear" w:color="auto" w:fill="FFFFFF"/>
        </w:rPr>
        <w:t>光路中</w:t>
      </w:r>
      <w:r w:rsidR="003779EE" w:rsidRPr="000158E7">
        <w:rPr>
          <w:rFonts w:ascii="Times New Roman" w:eastAsia="宋体" w:hAnsi="Times New Roman" w:cs="Times New Roman"/>
          <w:color w:val="000000" w:themeColor="text1"/>
          <w:shd w:val="clear" w:color="auto" w:fill="FFFFFF"/>
        </w:rPr>
        <w:t>的扩束系统首先完成光束整形与发散角控制，接收端信号跟踪光路依次执行粗对准（通过扩束</w:t>
      </w:r>
      <w:r w:rsidR="003779EE" w:rsidRPr="000158E7">
        <w:rPr>
          <w:rFonts w:ascii="Times New Roman" w:eastAsia="宋体" w:hAnsi="Times New Roman" w:cs="Times New Roman"/>
          <w:color w:val="000000" w:themeColor="text1"/>
          <w:shd w:val="clear" w:color="auto" w:fill="FFFFFF"/>
        </w:rPr>
        <w:t>/</w:t>
      </w:r>
      <w:r w:rsidR="003779EE" w:rsidRPr="000158E7">
        <w:rPr>
          <w:rFonts w:ascii="Times New Roman" w:eastAsia="宋体" w:hAnsi="Times New Roman" w:cs="Times New Roman"/>
          <w:color w:val="000000" w:themeColor="text1"/>
          <w:shd w:val="clear" w:color="auto" w:fill="FFFFFF"/>
        </w:rPr>
        <w:t>缩束系统）和精对准（控制收发光轴指向）</w:t>
      </w:r>
      <w:r w:rsidR="003779EE" w:rsidRPr="000158E7">
        <w:rPr>
          <w:rFonts w:ascii="Times New Roman" w:eastAsia="宋体" w:hAnsi="Times New Roman" w:cs="Times New Roman"/>
          <w:color w:val="000000" w:themeColor="text1"/>
          <w:shd w:val="clear" w:color="auto" w:fill="FFFFFF"/>
        </w:rPr>
        <w:t>2</w:t>
      </w:r>
      <w:r w:rsidR="003779EE" w:rsidRPr="000158E7">
        <w:rPr>
          <w:rFonts w:ascii="Times New Roman" w:eastAsia="宋体" w:hAnsi="Times New Roman" w:cs="Times New Roman"/>
          <w:color w:val="000000" w:themeColor="text1"/>
          <w:shd w:val="clear" w:color="auto" w:fill="FFFFFF"/>
        </w:rPr>
        <w:t>个阶段，确保激光链路可靠建立。系统设计在保证光束覆盖范围的同时维持了足够的能量密度以满足通信质量要求</w:t>
      </w:r>
      <w:r w:rsidR="00DF1C0B" w:rsidRPr="000158E7">
        <w:rPr>
          <w:rFonts w:ascii="Times New Roman" w:eastAsia="宋体" w:hAnsi="Times New Roman" w:cs="Times New Roman"/>
          <w:color w:val="000000" w:themeColor="text1"/>
          <w:shd w:val="clear" w:color="auto" w:fill="FFFFFF"/>
          <w:vertAlign w:val="superscript"/>
        </w:rPr>
        <w:t>[9]</w:t>
      </w:r>
      <w:r w:rsidR="003779EE" w:rsidRPr="000158E7">
        <w:rPr>
          <w:rFonts w:ascii="Times New Roman" w:eastAsia="宋体" w:hAnsi="Times New Roman" w:cs="Times New Roman"/>
          <w:color w:val="000000" w:themeColor="text1"/>
          <w:shd w:val="clear" w:color="auto" w:fill="FFFFFF"/>
        </w:rPr>
        <w:t xml:space="preserve"> </w:t>
      </w:r>
      <w:r w:rsidR="003779EE" w:rsidRPr="000158E7">
        <w:rPr>
          <w:rFonts w:ascii="Times New Roman" w:eastAsia="宋体" w:hAnsi="Times New Roman" w:cs="Times New Roman"/>
          <w:color w:val="000000" w:themeColor="text1"/>
          <w:shd w:val="clear" w:color="auto" w:fill="FFFFFF"/>
        </w:rPr>
        <w:t>，接收端</w:t>
      </w:r>
      <w:r w:rsidR="003779EE" w:rsidRPr="000158E7">
        <w:rPr>
          <w:rFonts w:ascii="Times New Roman" w:eastAsia="宋体" w:hAnsi="Times New Roman" w:cs="Times New Roman"/>
          <w:color w:val="000000" w:themeColor="text1"/>
          <w:shd w:val="clear" w:color="auto" w:fill="FFFFFF"/>
        </w:rPr>
        <w:t>的</w:t>
      </w:r>
      <w:r w:rsidR="003779EE" w:rsidRPr="000158E7">
        <w:rPr>
          <w:rFonts w:ascii="Times New Roman" w:eastAsia="宋体" w:hAnsi="Times New Roman" w:cs="Times New Roman"/>
          <w:color w:val="000000" w:themeColor="text1"/>
          <w:shd w:val="clear" w:color="auto" w:fill="FFFFFF"/>
        </w:rPr>
        <w:t>光学</w:t>
      </w:r>
      <w:r w:rsidR="003779EE" w:rsidRPr="000158E7">
        <w:rPr>
          <w:rFonts w:ascii="Times New Roman" w:eastAsia="宋体" w:hAnsi="Times New Roman" w:cs="Times New Roman"/>
          <w:color w:val="000000" w:themeColor="text1"/>
          <w:shd w:val="clear" w:color="auto" w:fill="FFFFFF"/>
        </w:rPr>
        <w:t>天线模块</w:t>
      </w:r>
      <w:r w:rsidR="003779EE" w:rsidRPr="000158E7">
        <w:rPr>
          <w:rFonts w:ascii="Times New Roman" w:eastAsia="宋体" w:hAnsi="Times New Roman" w:cs="Times New Roman"/>
          <w:color w:val="000000" w:themeColor="text1"/>
          <w:shd w:val="clear" w:color="auto" w:fill="FFFFFF"/>
        </w:rPr>
        <w:t>将入射光束高效聚焦耦合至光电探测器并转换为电信号输出</w:t>
      </w:r>
      <w:r w:rsidR="003E066B" w:rsidRPr="000158E7">
        <w:rPr>
          <w:rFonts w:ascii="Times New Roman" w:eastAsia="宋体" w:hAnsi="Times New Roman" w:cs="Times New Roman"/>
          <w:bCs/>
          <w:color w:val="000000" w:themeColor="text1"/>
          <w:kern w:val="0"/>
          <w:szCs w:val="21"/>
          <w:vertAlign w:val="superscript"/>
        </w:rPr>
        <w:t>[10-11]</w:t>
      </w:r>
      <w:r w:rsidR="003E066B" w:rsidRPr="000158E7">
        <w:rPr>
          <w:rFonts w:ascii="Times New Roman" w:eastAsia="宋体" w:hAnsi="Times New Roman" w:cs="Times New Roman"/>
          <w:bCs/>
          <w:color w:val="000000" w:themeColor="text1"/>
          <w:kern w:val="0"/>
          <w:szCs w:val="21"/>
        </w:rPr>
        <w:t>。</w:t>
      </w:r>
      <w:r w:rsidR="00ED2348" w:rsidRPr="000158E7">
        <w:rPr>
          <w:rFonts w:ascii="Times New Roman" w:eastAsia="宋体" w:hAnsi="Times New Roman" w:cs="Times New Roman"/>
          <w:color w:val="000000" w:themeColor="text1"/>
          <w:shd w:val="clear" w:color="auto" w:fill="FFFFFF"/>
        </w:rPr>
        <w:t>但在多自由度耦合震动环境下，光学天线中的激光波束易发生偏移，可能导致通信中断，影响产品在震动环境下的可靠性、鲁棒性。</w:t>
      </w:r>
      <w:r w:rsidR="00850FF5" w:rsidRPr="000158E7">
        <w:rPr>
          <w:rFonts w:ascii="Times New Roman" w:eastAsia="宋体" w:hAnsi="Times New Roman" w:cs="Times New Roman"/>
          <w:color w:val="000000" w:themeColor="text1"/>
          <w:shd w:val="clear" w:color="auto" w:fill="FFFFFF"/>
        </w:rPr>
        <w:t>针对此问题，本文对</w:t>
      </w:r>
      <w:r w:rsidR="005966C1" w:rsidRPr="000158E7">
        <w:rPr>
          <w:rFonts w:ascii="Times New Roman" w:eastAsia="宋体" w:hAnsi="Times New Roman" w:cs="Times New Roman"/>
          <w:color w:val="000000" w:themeColor="text1"/>
          <w:shd w:val="clear" w:color="auto" w:fill="FFFFFF"/>
        </w:rPr>
        <w:t>光学天线中的</w:t>
      </w:r>
      <w:r w:rsidR="00850FF5" w:rsidRPr="000158E7">
        <w:rPr>
          <w:rFonts w:ascii="Times New Roman" w:eastAsia="宋体" w:hAnsi="Times New Roman" w:cs="Times New Roman"/>
          <w:color w:val="000000" w:themeColor="text1"/>
          <w:shd w:val="clear" w:color="auto" w:fill="FFFFFF"/>
        </w:rPr>
        <w:t>扩束系统进行优化，使其在满足高速通信需求的情况下，兼顾其抗震动特性，提升产品在复杂震动环境下的可靠性。</w:t>
      </w:r>
    </w:p>
    <w:p w14:paraId="401BE405" w14:textId="49D029B6" w:rsidR="006E763C" w:rsidRDefault="006E763C" w:rsidP="006E763C">
      <w:pPr>
        <w:pStyle w:val="21"/>
        <w:ind w:left="0" w:firstLine="0"/>
        <w:jc w:val="left"/>
        <w:rPr>
          <w:rFonts w:hint="eastAsia"/>
        </w:rPr>
      </w:pPr>
      <w:r>
        <w:rPr>
          <w:rFonts w:hint="eastAsia"/>
        </w:rPr>
        <w:t>1.1</w:t>
      </w:r>
      <w:r>
        <w:t xml:space="preserve"> </w:t>
      </w:r>
      <w:r w:rsidR="003E066B">
        <w:rPr>
          <w:rFonts w:hint="eastAsia"/>
        </w:rPr>
        <w:t>光路设计</w:t>
      </w:r>
      <w:commentRangeStart w:id="1"/>
      <w:commentRangeEnd w:id="1"/>
    </w:p>
    <w:p w14:paraId="3F2F75CE" w14:textId="58E08366" w:rsidR="00E308FB" w:rsidRPr="00F41475" w:rsidRDefault="00183E94">
      <w:pPr>
        <w:ind w:firstLineChars="200" w:firstLine="420"/>
        <w:rPr>
          <w:rFonts w:ascii="宋体" w:eastAsia="宋体" w:hAnsi="宋体" w:cs="Times New Roman"/>
          <w:bCs/>
          <w:color w:val="000000" w:themeColor="text1"/>
          <w:kern w:val="0"/>
          <w:szCs w:val="21"/>
        </w:rPr>
      </w:pPr>
      <w:r w:rsidRPr="00F41475">
        <w:rPr>
          <w:rFonts w:ascii="宋体" w:eastAsia="宋体" w:hAnsi="宋体" w:cs="Segoe UI"/>
          <w:color w:val="000000" w:themeColor="text1"/>
          <w:shd w:val="clear" w:color="auto" w:fill="FFFFFF"/>
        </w:rPr>
        <w:t>本</w:t>
      </w:r>
      <w:r w:rsidRPr="00F41475">
        <w:rPr>
          <w:rFonts w:ascii="宋体" w:eastAsia="宋体" w:hAnsi="宋体" w:cs="Segoe UI" w:hint="eastAsia"/>
          <w:color w:val="000000" w:themeColor="text1"/>
          <w:shd w:val="clear" w:color="auto" w:fill="FFFFFF"/>
        </w:rPr>
        <w:t>文</w:t>
      </w:r>
      <w:r w:rsidRPr="00F41475">
        <w:rPr>
          <w:rFonts w:ascii="宋体" w:eastAsia="宋体" w:hAnsi="宋体" w:cs="Segoe UI"/>
          <w:color w:val="000000" w:themeColor="text1"/>
          <w:shd w:val="clear" w:color="auto" w:fill="FFFFFF"/>
        </w:rPr>
        <w:t>针对多自由度耦合震动环境下的激光通信需求，对光路设计中的扩束系统进行了重点优化。与常规设计相比，创新性地采用直径Φ25mm的非球面透镜作为聚焦镜，</w:t>
      </w:r>
      <w:r w:rsidR="0012387B" w:rsidRPr="00F41475">
        <w:rPr>
          <w:rFonts w:ascii="宋体" w:eastAsia="宋体" w:hAnsi="宋体" w:cs="Times New Roman" w:hint="eastAsia"/>
          <w:color w:val="000000" w:themeColor="text1"/>
          <w:shd w:val="clear" w:color="auto" w:fill="FFFFFF"/>
        </w:rPr>
        <w:t>增大接收增益，同时满足大的视场接收要求。</w:t>
      </w:r>
      <w:r w:rsidR="00E308FB" w:rsidRPr="00F41475">
        <w:rPr>
          <w:rFonts w:ascii="宋体" w:eastAsia="宋体" w:hAnsi="宋体" w:cs="Times New Roman" w:hint="eastAsia"/>
          <w:color w:val="000000" w:themeColor="text1"/>
          <w:shd w:val="clear" w:color="auto" w:fill="FFFFFF"/>
        </w:rPr>
        <w:t>使其在满足高速通信需求的情况下，兼顾其抗震动特性，同时满足偏移、偏转状态下信号光耦合入探测器光敏面的要求。</w:t>
      </w:r>
    </w:p>
    <w:p w14:paraId="7A5A767B" w14:textId="48D9A16A" w:rsidR="005D4F07" w:rsidRDefault="00F41475">
      <w:pPr>
        <w:ind w:firstLineChars="200" w:firstLine="424"/>
        <w:rPr>
          <w:rFonts w:ascii="Times New Roman" w:eastAsia="宋体" w:hAnsi="Times New Roman" w:cs="Times New Roman"/>
          <w:bCs/>
          <w:kern w:val="0"/>
          <w:szCs w:val="21"/>
        </w:rPr>
      </w:pPr>
      <w:r w:rsidRPr="00F41475">
        <w:rPr>
          <w:rFonts w:ascii="宋体" w:eastAsia="宋体" w:hAnsi="宋体"/>
          <w:color w:val="000000" w:themeColor="text1"/>
          <w:spacing w:val="1"/>
          <w:shd w:val="clear" w:color="auto" w:fill="FFFFFF"/>
        </w:rPr>
        <w:t>由于两端收发模块之间的安装距离较近且光传输距离短，同时存在高频的多自由度耦合震动，因此需要对发射光进行扩束处理，以增加信号光的覆盖面积。这样即使组件在Y轴和Z轴上产生一定的位移，也能保证所需的信号接收功率得到满足。</w:t>
      </w:r>
      <w:r w:rsidR="003E066B" w:rsidRPr="00F41475">
        <w:rPr>
          <w:rFonts w:ascii="宋体" w:eastAsia="宋体" w:hAnsi="宋体" w:cs="Times New Roman" w:hint="eastAsia"/>
          <w:bCs/>
          <w:color w:val="000000" w:themeColor="text1"/>
          <w:kern w:val="0"/>
          <w:szCs w:val="21"/>
        </w:rPr>
        <w:t>接收透镜采用直径Φ25mm的非球面透镜，</w:t>
      </w:r>
      <w:r w:rsidRPr="00F41475">
        <w:rPr>
          <w:rFonts w:ascii="宋体" w:eastAsia="宋体" w:hAnsi="宋体"/>
          <w:color w:val="000000" w:themeColor="text1"/>
          <w:spacing w:val="1"/>
          <w:shd w:val="clear" w:color="auto" w:fill="FFFFFF"/>
        </w:rPr>
        <w:t>可以有效应对各种偏移和偏转情况，确保信号光能够准确无误地耦合到探测器的光敏面上</w:t>
      </w:r>
      <w:r>
        <w:rPr>
          <w:rFonts w:ascii="PingFang SC" w:hAnsi="PingFang SC"/>
          <w:color w:val="2C2C36"/>
          <w:spacing w:val="1"/>
          <w:shd w:val="clear" w:color="auto" w:fill="FFFFFF"/>
        </w:rPr>
        <w:t>。</w:t>
      </w:r>
      <w:r w:rsidR="00E102ED">
        <w:rPr>
          <w:rFonts w:ascii="Times New Roman" w:eastAsia="宋体" w:hAnsi="Times New Roman" w:cs="Times New Roman" w:hint="eastAsia"/>
          <w:bCs/>
          <w:kern w:val="0"/>
          <w:szCs w:val="21"/>
        </w:rPr>
        <w:t>光路传输示意图如</w:t>
      </w:r>
      <w:r w:rsidR="003E066B">
        <w:rPr>
          <w:rFonts w:ascii="Times New Roman" w:eastAsia="宋体" w:hAnsi="Times New Roman" w:cs="Times New Roman"/>
          <w:bCs/>
          <w:kern w:val="0"/>
          <w:szCs w:val="21"/>
        </w:rPr>
        <w:t>图</w:t>
      </w:r>
      <w:r w:rsidR="003E066B">
        <w:rPr>
          <w:rFonts w:ascii="Times New Roman" w:eastAsia="宋体" w:hAnsi="Times New Roman" w:cs="Times New Roman" w:hint="eastAsia"/>
          <w:bCs/>
          <w:kern w:val="0"/>
          <w:szCs w:val="21"/>
        </w:rPr>
        <w:t>2</w:t>
      </w:r>
      <w:r w:rsidR="00E102ED">
        <w:rPr>
          <w:rFonts w:ascii="Times New Roman" w:eastAsia="宋体" w:hAnsi="Times New Roman" w:cs="Times New Roman" w:hint="eastAsia"/>
          <w:bCs/>
          <w:kern w:val="0"/>
          <w:szCs w:val="21"/>
        </w:rPr>
        <w:t>所示。</w:t>
      </w:r>
    </w:p>
    <w:p w14:paraId="7B803BCD" w14:textId="171F3FDE" w:rsidR="005D4F07" w:rsidRDefault="009A39C8">
      <w:pPr>
        <w:ind w:firstLineChars="200" w:firstLine="420"/>
        <w:jc w:val="center"/>
        <w:rPr>
          <w:rFonts w:ascii="Times New Roman" w:eastAsia="宋体" w:hAnsi="Times New Roman" w:cs="Times New Roman"/>
          <w:bCs/>
          <w:kern w:val="0"/>
          <w:szCs w:val="21"/>
        </w:rPr>
      </w:pPr>
      <w:r>
        <w:rPr>
          <w:rFonts w:hint="eastAsia"/>
        </w:rPr>
        <w:object w:dxaOrig="12436" w:dyaOrig="8971" w14:anchorId="53910B55">
          <v:shape id="_x0000_i1026" type="#_x0000_t75" style="width:240.5pt;height:173pt" o:ole="">
            <v:imagedata r:id="rId9" o:title=""/>
          </v:shape>
          <o:OLEObject Type="Embed" ProgID="Visio.Drawing.15" ShapeID="_x0000_i1026" DrawAspect="Content" ObjectID="_1813586979" r:id="rId10"/>
        </w:object>
      </w:r>
    </w:p>
    <w:p w14:paraId="01830FB4" w14:textId="17EDE059" w:rsidR="005D4F07" w:rsidRDefault="003E066B">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b/>
          <w:sz w:val="15"/>
          <w:szCs w:val="15"/>
        </w:rPr>
        <w:lastRenderedPageBreak/>
        <w:t>光路传输示意图</w:t>
      </w:r>
    </w:p>
    <w:p w14:paraId="1BC486A8" w14:textId="77777777" w:rsidR="000600D6" w:rsidRDefault="000600D6" w:rsidP="000600D6">
      <w:pPr>
        <w:rPr>
          <w:rFonts w:ascii="Times New Roman" w:eastAsia="宋体" w:hAnsi="Times New Roman" w:cs="Times New Roman"/>
          <w:b/>
          <w:sz w:val="15"/>
          <w:szCs w:val="15"/>
        </w:rPr>
      </w:pPr>
    </w:p>
    <w:p w14:paraId="1BFE12FB" w14:textId="55DAB31B" w:rsidR="005D4F07" w:rsidRDefault="000600D6" w:rsidP="000600D6">
      <w:pPr>
        <w:pStyle w:val="21"/>
        <w:numPr>
          <w:ilvl w:val="0"/>
          <w:numId w:val="4"/>
        </w:numPr>
        <w:jc w:val="left"/>
      </w:pPr>
      <w:r>
        <w:rPr>
          <w:rFonts w:hint="eastAsia"/>
        </w:rPr>
        <w:t>光学</w:t>
      </w:r>
      <w:r>
        <w:t>系统传真与优化</w:t>
      </w:r>
    </w:p>
    <w:p w14:paraId="421606B9" w14:textId="3DA2CB01" w:rsidR="003C2EEA" w:rsidRPr="003C2EEA" w:rsidRDefault="003C2EEA" w:rsidP="003C2EEA">
      <w:pPr>
        <w:pStyle w:val="21"/>
        <w:ind w:left="0" w:firstLine="0"/>
        <w:jc w:val="left"/>
        <w:rPr>
          <w:b w:val="0"/>
        </w:rPr>
      </w:pPr>
      <w:r w:rsidRPr="003C2EEA">
        <w:rPr>
          <w:rStyle w:val="aff"/>
          <w:rFonts w:ascii="Segoe UI" w:hAnsi="Segoe UI" w:cs="Segoe UI"/>
          <w:b/>
          <w:color w:val="404040"/>
          <w:shd w:val="clear" w:color="auto" w:fill="FFFFFF"/>
        </w:rPr>
        <w:t xml:space="preserve">2.1 </w:t>
      </w:r>
      <w:r w:rsidRPr="003C2EEA">
        <w:rPr>
          <w:rStyle w:val="aff"/>
          <w:rFonts w:ascii="Segoe UI" w:hAnsi="Segoe UI" w:cs="Segoe UI"/>
          <w:b/>
          <w:color w:val="404040"/>
          <w:shd w:val="clear" w:color="auto" w:fill="FFFFFF"/>
        </w:rPr>
        <w:t>光路参数设计</w:t>
      </w:r>
    </w:p>
    <w:p w14:paraId="7D2AEF90"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发射光路采用</w:t>
      </w:r>
      <w:r>
        <w:rPr>
          <w:rFonts w:ascii="Times New Roman" w:eastAsia="宋体" w:hAnsi="Times New Roman" w:cs="Times New Roman" w:hint="eastAsia"/>
          <w:bCs/>
          <w:kern w:val="0"/>
          <w:szCs w:val="21"/>
        </w:rPr>
        <w:t>905nm</w:t>
      </w:r>
      <w:r>
        <w:rPr>
          <w:rFonts w:ascii="Times New Roman" w:eastAsia="宋体" w:hAnsi="Times New Roman" w:cs="Times New Roman" w:hint="eastAsia"/>
          <w:bCs/>
          <w:kern w:val="0"/>
          <w:szCs w:val="21"/>
        </w:rPr>
        <w:t>激光器作为信号光源，其⊥发散角典型值为</w:t>
      </w:r>
      <w:r>
        <w:rPr>
          <w:rFonts w:ascii="Times New Roman" w:eastAsia="宋体" w:hAnsi="Times New Roman" w:cs="Times New Roman" w:hint="eastAsia"/>
          <w:bCs/>
          <w:kern w:val="0"/>
          <w:szCs w:val="21"/>
        </w:rPr>
        <w:t>35</w:t>
      </w:r>
      <w:r>
        <w:rPr>
          <w:rFonts w:ascii="Times New Roman" w:eastAsia="宋体" w:hAnsi="Times New Roman" w:cs="Times New Roman" w:hint="eastAsia"/>
          <w:bCs/>
          <w:kern w:val="0"/>
          <w:szCs w:val="21"/>
        </w:rPr>
        <w:t>°，∥发散角典型值为</w:t>
      </w:r>
      <w:r>
        <w:rPr>
          <w:rFonts w:ascii="Times New Roman" w:eastAsia="宋体" w:hAnsi="Times New Roman" w:cs="Times New Roman" w:hint="eastAsia"/>
          <w:bCs/>
          <w:kern w:val="0"/>
          <w:szCs w:val="21"/>
        </w:rPr>
        <w:t>10</w:t>
      </w:r>
      <w:r>
        <w:rPr>
          <w:rFonts w:ascii="Times New Roman" w:eastAsia="宋体" w:hAnsi="Times New Roman" w:cs="Times New Roman" w:hint="eastAsia"/>
          <w:bCs/>
          <w:kern w:val="0"/>
          <w:szCs w:val="21"/>
        </w:rPr>
        <w:t>°。为满足</w:t>
      </w:r>
      <w:r>
        <w:rPr>
          <w:rFonts w:ascii="Times New Roman" w:eastAsia="宋体" w:hAnsi="Times New Roman" w:cs="Times New Roman" w:hint="eastAsia"/>
          <w:bCs/>
          <w:kern w:val="0"/>
          <w:szCs w:val="21"/>
        </w:rPr>
        <w:t>5mm</w:t>
      </w:r>
      <w:r>
        <w:rPr>
          <w:rFonts w:ascii="Times New Roman" w:eastAsia="宋体" w:hAnsi="Times New Roman" w:cs="Times New Roman" w:hint="eastAsia"/>
          <w:bCs/>
          <w:kern w:val="0"/>
          <w:szCs w:val="21"/>
        </w:rPr>
        <w:t>通信时容许错位±</w:t>
      </w:r>
      <w:r>
        <w:rPr>
          <w:rFonts w:ascii="Times New Roman" w:eastAsia="宋体" w:hAnsi="Times New Roman" w:cs="Times New Roman" w:hint="eastAsia"/>
          <w:bCs/>
          <w:kern w:val="0"/>
          <w:szCs w:val="21"/>
        </w:rPr>
        <w:t>10mm</w:t>
      </w:r>
      <w:r>
        <w:rPr>
          <w:rFonts w:ascii="Times New Roman" w:eastAsia="宋体" w:hAnsi="Times New Roman" w:cs="Times New Roman" w:hint="eastAsia"/>
          <w:bCs/>
          <w:kern w:val="0"/>
          <w:szCs w:val="21"/>
        </w:rPr>
        <w:t>通信（出光口位置光束直径要大），</w:t>
      </w:r>
      <w:r>
        <w:rPr>
          <w:rFonts w:ascii="Times New Roman" w:eastAsia="宋体" w:hAnsi="Times New Roman" w:cs="Times New Roman" w:hint="eastAsia"/>
          <w:bCs/>
          <w:kern w:val="0"/>
          <w:szCs w:val="21"/>
        </w:rPr>
        <w:t>200mm</w:t>
      </w:r>
      <w:r>
        <w:rPr>
          <w:rFonts w:ascii="Times New Roman" w:eastAsia="宋体" w:hAnsi="Times New Roman" w:cs="Times New Roman" w:hint="eastAsia"/>
          <w:bCs/>
          <w:kern w:val="0"/>
          <w:szCs w:val="21"/>
        </w:rPr>
        <w:t>通信时容许偏转角度±</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°偏转通信（光束发散角要稍大一点），需采用</w:t>
      </w:r>
      <w:r>
        <w:rPr>
          <w:rFonts w:ascii="Times New Roman" w:eastAsia="宋体" w:hAnsi="Times New Roman" w:cs="Times New Roman" w:hint="eastAsia"/>
          <w:bCs/>
          <w:kern w:val="0"/>
          <w:szCs w:val="21"/>
        </w:rPr>
        <w:t>1~2</w:t>
      </w:r>
      <w:r>
        <w:rPr>
          <w:rFonts w:ascii="Times New Roman" w:eastAsia="宋体" w:hAnsi="Times New Roman" w:cs="Times New Roman" w:hint="eastAsia"/>
          <w:bCs/>
          <w:kern w:val="0"/>
          <w:szCs w:val="21"/>
        </w:rPr>
        <w:t>片柱面透镜、负透镜进行整形（可利用的扩束距离约在</w:t>
      </w:r>
      <w:r>
        <w:rPr>
          <w:rFonts w:ascii="Times New Roman" w:eastAsia="宋体" w:hAnsi="Times New Roman" w:cs="Times New Roman" w:hint="eastAsia"/>
          <w:bCs/>
          <w:kern w:val="0"/>
          <w:szCs w:val="21"/>
        </w:rPr>
        <w:t>10~15mm</w:t>
      </w:r>
      <w:r>
        <w:rPr>
          <w:rFonts w:ascii="Times New Roman" w:eastAsia="宋体" w:hAnsi="Times New Roman" w:cs="Times New Roman" w:hint="eastAsia"/>
          <w:bCs/>
          <w:kern w:val="0"/>
          <w:szCs w:val="21"/>
        </w:rPr>
        <w:t>范围），为满足在发射窗口出现直径</w:t>
      </w:r>
      <w:r>
        <w:rPr>
          <w:rFonts w:ascii="Times New Roman" w:eastAsia="宋体" w:hAnsi="Times New Roman" w:cs="Times New Roman" w:hint="eastAsia"/>
          <w:bCs/>
          <w:kern w:val="0"/>
          <w:szCs w:val="21"/>
        </w:rPr>
        <w:t>4mm</w:t>
      </w:r>
      <w:r>
        <w:rPr>
          <w:rFonts w:ascii="Times New Roman" w:eastAsia="宋体" w:hAnsi="Times New Roman" w:cs="Times New Roman" w:hint="eastAsia"/>
          <w:bCs/>
          <w:kern w:val="0"/>
          <w:szCs w:val="21"/>
        </w:rPr>
        <w:t>遮挡物时，在近距离通信时仍能有部分口径边缘光束能够聚焦到探测器，需采用一片正透镜压缩发散角。</w:t>
      </w:r>
    </w:p>
    <w:p w14:paraId="1232EA8B" w14:textId="77777777" w:rsidR="0071012B" w:rsidRDefault="003E066B" w:rsidP="0071012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发射光路仿真示意图如图</w:t>
      </w:r>
      <w:r>
        <w:rPr>
          <w:rFonts w:ascii="Times New Roman" w:eastAsia="宋体" w:hAnsi="Times New Roman" w:cs="Times New Roman" w:hint="eastAsia"/>
          <w:bCs/>
          <w:kern w:val="0"/>
          <w:szCs w:val="21"/>
        </w:rPr>
        <w:t>3</w:t>
      </w:r>
      <w:r>
        <w:rPr>
          <w:rFonts w:ascii="Times New Roman" w:eastAsia="宋体" w:hAnsi="Times New Roman" w:cs="Times New Roman" w:hint="eastAsia"/>
          <w:bCs/>
          <w:kern w:val="0"/>
          <w:szCs w:val="21"/>
        </w:rPr>
        <w:t>所示，采用一片负透镜、一片平凹柱透镜进行扩束，一片双凸透镜进行发散角压缩，在最外面设置一片直径</w:t>
      </w:r>
      <w:r>
        <w:rPr>
          <w:rFonts w:ascii="Times New Roman" w:eastAsia="宋体" w:hAnsi="Times New Roman" w:cs="Times New Roman" w:hint="eastAsia"/>
          <w:bCs/>
          <w:kern w:val="0"/>
          <w:szCs w:val="21"/>
        </w:rPr>
        <w:t>25mm</w:t>
      </w:r>
      <w:r>
        <w:rPr>
          <w:rFonts w:ascii="Times New Roman" w:eastAsia="宋体" w:hAnsi="Times New Roman" w:cs="Times New Roman" w:hint="eastAsia"/>
          <w:bCs/>
          <w:kern w:val="0"/>
          <w:szCs w:val="21"/>
        </w:rPr>
        <w:t>的窗口玻璃；系统总物理厚度约为</w:t>
      </w:r>
      <w:r>
        <w:rPr>
          <w:rFonts w:ascii="Times New Roman" w:eastAsia="宋体" w:hAnsi="Times New Roman" w:cs="Times New Roman" w:hint="eastAsia"/>
          <w:bCs/>
          <w:kern w:val="0"/>
          <w:szCs w:val="21"/>
        </w:rPr>
        <w:t>30mm</w:t>
      </w:r>
      <w:r>
        <w:rPr>
          <w:rFonts w:ascii="Times New Roman" w:eastAsia="宋体" w:hAnsi="Times New Roman" w:cs="Times New Roman" w:hint="eastAsia"/>
          <w:bCs/>
          <w:kern w:val="0"/>
          <w:szCs w:val="21"/>
        </w:rPr>
        <w:t>（从激光器芯片到窗口外表面距离）；</w:t>
      </w:r>
      <w:r w:rsidR="0071012B">
        <w:rPr>
          <w:rFonts w:ascii="Times New Roman" w:eastAsia="宋体" w:hAnsi="Times New Roman" w:cs="Times New Roman" w:hint="eastAsia"/>
          <w:bCs/>
          <w:kern w:val="0"/>
          <w:szCs w:val="21"/>
        </w:rPr>
        <w:t>⊥和∥方向的半发散角分别为</w:t>
      </w:r>
      <w:r w:rsidR="0071012B">
        <w:rPr>
          <w:rFonts w:ascii="Times New Roman" w:eastAsia="宋体" w:hAnsi="Times New Roman" w:cs="Times New Roman" w:hint="eastAsia"/>
          <w:bCs/>
          <w:kern w:val="0"/>
          <w:szCs w:val="21"/>
        </w:rPr>
        <w:t>0.281rad</w:t>
      </w:r>
      <w:r w:rsidR="0071012B">
        <w:rPr>
          <w:rFonts w:ascii="Times New Roman" w:eastAsia="宋体" w:hAnsi="Times New Roman" w:cs="Times New Roman" w:hint="eastAsia"/>
          <w:bCs/>
          <w:kern w:val="0"/>
          <w:szCs w:val="21"/>
        </w:rPr>
        <w:t>（</w:t>
      </w:r>
      <w:r w:rsidR="0071012B">
        <w:rPr>
          <w:rFonts w:ascii="Times New Roman" w:eastAsia="宋体" w:hAnsi="Times New Roman" w:cs="Times New Roman" w:hint="eastAsia"/>
          <w:bCs/>
          <w:kern w:val="0"/>
          <w:szCs w:val="21"/>
        </w:rPr>
        <w:t>16.1</w:t>
      </w:r>
      <w:r w:rsidR="0071012B">
        <w:rPr>
          <w:rFonts w:ascii="Times New Roman" w:eastAsia="宋体" w:hAnsi="Times New Roman" w:cs="Times New Roman" w:hint="eastAsia"/>
          <w:bCs/>
          <w:kern w:val="0"/>
          <w:szCs w:val="21"/>
        </w:rPr>
        <w:t>°）和</w:t>
      </w:r>
      <w:r w:rsidR="0071012B">
        <w:rPr>
          <w:rFonts w:ascii="Times New Roman" w:eastAsia="宋体" w:hAnsi="Times New Roman" w:cs="Times New Roman" w:hint="eastAsia"/>
          <w:bCs/>
          <w:kern w:val="0"/>
          <w:szCs w:val="21"/>
        </w:rPr>
        <w:t>0.126rad</w:t>
      </w:r>
      <w:r w:rsidR="0071012B">
        <w:rPr>
          <w:rFonts w:ascii="Times New Roman" w:eastAsia="宋体" w:hAnsi="Times New Roman" w:cs="Times New Roman" w:hint="eastAsia"/>
          <w:bCs/>
          <w:kern w:val="0"/>
          <w:szCs w:val="21"/>
        </w:rPr>
        <w:t>（</w:t>
      </w:r>
      <w:r w:rsidR="0071012B">
        <w:rPr>
          <w:rFonts w:ascii="Times New Roman" w:eastAsia="宋体" w:hAnsi="Times New Roman" w:cs="Times New Roman" w:hint="eastAsia"/>
          <w:bCs/>
          <w:kern w:val="0"/>
          <w:szCs w:val="21"/>
        </w:rPr>
        <w:t>7</w:t>
      </w:r>
      <w:r w:rsidR="0071012B">
        <w:rPr>
          <w:rFonts w:ascii="Times New Roman" w:eastAsia="宋体" w:hAnsi="Times New Roman" w:cs="Times New Roman" w:hint="eastAsia"/>
          <w:bCs/>
          <w:kern w:val="0"/>
          <w:szCs w:val="21"/>
        </w:rPr>
        <w:t>°），在窗口处⊥方向光束半径</w:t>
      </w:r>
      <w:r w:rsidR="0071012B">
        <w:rPr>
          <w:rFonts w:ascii="Times New Roman" w:eastAsia="宋体" w:hAnsi="Times New Roman" w:cs="Times New Roman" w:hint="eastAsia"/>
          <w:bCs/>
          <w:kern w:val="0"/>
          <w:szCs w:val="21"/>
        </w:rPr>
        <w:t>7.534mm</w:t>
      </w:r>
      <w:r w:rsidR="0071012B">
        <w:rPr>
          <w:rFonts w:ascii="Times New Roman" w:eastAsia="宋体" w:hAnsi="Times New Roman" w:cs="Times New Roman" w:hint="eastAsia"/>
          <w:bCs/>
          <w:kern w:val="0"/>
          <w:szCs w:val="21"/>
        </w:rPr>
        <w:t>、∥方向为</w:t>
      </w:r>
      <w:r w:rsidR="0071012B">
        <w:rPr>
          <w:rFonts w:ascii="Times New Roman" w:eastAsia="宋体" w:hAnsi="Times New Roman" w:cs="Times New Roman" w:hint="eastAsia"/>
          <w:bCs/>
          <w:kern w:val="0"/>
          <w:szCs w:val="21"/>
        </w:rPr>
        <w:t>9.548mm</w:t>
      </w:r>
      <w:r w:rsidR="0071012B">
        <w:rPr>
          <w:rFonts w:ascii="Times New Roman" w:eastAsia="宋体" w:hAnsi="Times New Roman" w:cs="Times New Roman" w:hint="eastAsia"/>
          <w:bCs/>
          <w:kern w:val="0"/>
          <w:szCs w:val="21"/>
        </w:rPr>
        <w:t>。</w:t>
      </w:r>
    </w:p>
    <w:p w14:paraId="6176A452" w14:textId="02970F2C" w:rsidR="005D4F07" w:rsidRDefault="0071012B" w:rsidP="0071012B">
      <w:pPr>
        <w:ind w:firstLineChars="200" w:firstLine="420"/>
        <w:jc w:val="center"/>
        <w:rPr>
          <w:rFonts w:ascii="Times New Roman" w:eastAsia="宋体" w:hAnsi="Times New Roman" w:cs="Times New Roman"/>
          <w:bCs/>
          <w:kern w:val="0"/>
          <w:szCs w:val="21"/>
        </w:rPr>
      </w:pPr>
      <w:r>
        <w:rPr>
          <w:rFonts w:hint="eastAsia"/>
        </w:rPr>
        <w:object w:dxaOrig="13861" w:dyaOrig="12586" w14:anchorId="273C063C">
          <v:shape id="_x0000_i1027" type="#_x0000_t75" style="width:281.5pt;height:255pt" o:ole="">
            <v:imagedata r:id="rId11" o:title=""/>
          </v:shape>
          <o:OLEObject Type="Embed" ProgID="Visio.Drawing.15" ShapeID="_x0000_i1027" DrawAspect="Content" ObjectID="_1813586980" r:id="rId12"/>
        </w:object>
      </w:r>
    </w:p>
    <w:p w14:paraId="1F8ABF93" w14:textId="77777777" w:rsidR="005D4F07" w:rsidRDefault="003E066B">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发射光路示意图</w:t>
      </w:r>
    </w:p>
    <w:p w14:paraId="1EBBAC21" w14:textId="475A264E"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接收光路</w:t>
      </w:r>
      <w:r>
        <w:rPr>
          <w:rFonts w:ascii="Times New Roman" w:eastAsia="宋体" w:hAnsi="Times New Roman" w:cs="Times New Roman" w:hint="eastAsia"/>
          <w:bCs/>
          <w:kern w:val="0"/>
          <w:szCs w:val="21"/>
        </w:rPr>
        <w:t xml:space="preserve">: </w:t>
      </w:r>
      <w:r>
        <w:rPr>
          <w:rFonts w:ascii="Times New Roman" w:eastAsia="宋体" w:hAnsi="Times New Roman" w:cs="Times New Roman" w:hint="eastAsia"/>
          <w:bCs/>
          <w:kern w:val="0"/>
          <w:szCs w:val="21"/>
        </w:rPr>
        <w:t>接收光路仿真如图</w:t>
      </w:r>
      <w:r>
        <w:rPr>
          <w:rFonts w:ascii="Times New Roman" w:eastAsia="宋体" w:hAnsi="Times New Roman" w:cs="Times New Roman" w:hint="eastAsia"/>
          <w:bCs/>
          <w:kern w:val="0"/>
          <w:szCs w:val="21"/>
        </w:rPr>
        <w:t>4</w:t>
      </w:r>
      <w:r>
        <w:rPr>
          <w:rFonts w:ascii="Times New Roman" w:eastAsia="宋体" w:hAnsi="Times New Roman" w:cs="Times New Roman" w:hint="eastAsia"/>
          <w:bCs/>
          <w:kern w:val="0"/>
          <w:szCs w:val="21"/>
        </w:rPr>
        <w:t>所示，接收采用一片平凸非球面透镜聚焦到光敏面直径</w:t>
      </w:r>
      <w:r>
        <w:rPr>
          <w:rFonts w:ascii="Times New Roman" w:eastAsia="宋体" w:hAnsi="Times New Roman" w:cs="Times New Roman" w:hint="eastAsia"/>
          <w:bCs/>
          <w:kern w:val="0"/>
          <w:szCs w:val="21"/>
        </w:rPr>
        <w:t>2mm</w:t>
      </w:r>
      <w:r>
        <w:rPr>
          <w:rFonts w:ascii="Times New Roman" w:eastAsia="宋体" w:hAnsi="Times New Roman" w:cs="Times New Roman" w:hint="eastAsia"/>
          <w:bCs/>
          <w:kern w:val="0"/>
          <w:szCs w:val="21"/>
        </w:rPr>
        <w:t>的</w:t>
      </w:r>
      <w:r>
        <w:rPr>
          <w:rFonts w:ascii="Times New Roman" w:eastAsia="宋体" w:hAnsi="Times New Roman" w:cs="Times New Roman" w:hint="eastAsia"/>
          <w:bCs/>
          <w:kern w:val="0"/>
          <w:szCs w:val="21"/>
        </w:rPr>
        <w:t>APD</w:t>
      </w:r>
      <w:r>
        <w:rPr>
          <w:rFonts w:ascii="Times New Roman" w:eastAsia="宋体" w:hAnsi="Times New Roman" w:cs="Times New Roman" w:hint="eastAsia"/>
          <w:bCs/>
          <w:kern w:val="0"/>
          <w:szCs w:val="21"/>
        </w:rPr>
        <w:t>探测器上，在透镜前一次放置滤光片、窗口玻璃，理论的最大接收视场角为±</w:t>
      </w:r>
      <w:r>
        <w:rPr>
          <w:rFonts w:ascii="Times New Roman" w:eastAsia="宋体" w:hAnsi="Times New Roman" w:cs="Times New Roman" w:hint="eastAsia"/>
          <w:bCs/>
          <w:kern w:val="0"/>
          <w:szCs w:val="21"/>
        </w:rPr>
        <w:t>3</w:t>
      </w:r>
      <w:r>
        <w:rPr>
          <w:rFonts w:ascii="Times New Roman" w:eastAsia="宋体" w:hAnsi="Times New Roman" w:cs="Times New Roman" w:hint="eastAsia"/>
          <w:bCs/>
          <w:kern w:val="0"/>
          <w:szCs w:val="21"/>
        </w:rPr>
        <w:t>°，</w:t>
      </w:r>
      <w:r w:rsidRPr="00867C9C">
        <w:rPr>
          <w:rFonts w:ascii="Times New Roman" w:eastAsia="宋体" w:hAnsi="Times New Roman" w:cs="Times New Roman" w:hint="eastAsia"/>
          <w:color w:val="0070C0"/>
          <w:shd w:val="clear" w:color="auto" w:fill="FFFFFF"/>
        </w:rPr>
        <w:t>中心视场</w:t>
      </w:r>
      <w:r w:rsidR="00641B29" w:rsidRPr="00867C9C">
        <w:rPr>
          <w:rFonts w:ascii="Times New Roman" w:eastAsia="宋体" w:hAnsi="Times New Roman" w:cs="Times New Roman" w:hint="eastAsia"/>
          <w:color w:val="0070C0"/>
          <w:shd w:val="clear" w:color="auto" w:fill="FFFFFF"/>
        </w:rPr>
        <w:t>表征光学系统的基准分辨率</w:t>
      </w:r>
      <w:r w:rsidRPr="00867C9C">
        <w:rPr>
          <w:rFonts w:ascii="Times New Roman" w:eastAsia="宋体" w:hAnsi="Times New Roman" w:cs="Times New Roman" w:hint="eastAsia"/>
          <w:color w:val="0070C0"/>
          <w:shd w:val="clear" w:color="auto" w:fill="FFFFFF"/>
        </w:rPr>
        <w:t>和边缘视场</w:t>
      </w:r>
      <w:r w:rsidR="00641B29" w:rsidRPr="00867C9C">
        <w:rPr>
          <w:rFonts w:ascii="Times New Roman" w:eastAsia="宋体" w:hAnsi="Times New Roman" w:cs="Times New Roman" w:hint="eastAsia"/>
          <w:color w:val="0070C0"/>
          <w:shd w:val="clear" w:color="auto" w:fill="FFFFFF"/>
        </w:rPr>
        <w:t>反映系统在全视场范围内的均匀性</w:t>
      </w:r>
      <w:r w:rsidRPr="00867C9C">
        <w:rPr>
          <w:rFonts w:ascii="Times New Roman" w:eastAsia="宋体" w:hAnsi="Times New Roman" w:cs="Times New Roman" w:hint="eastAsia"/>
          <w:color w:val="0070C0"/>
          <w:shd w:val="clear" w:color="auto" w:fill="FFFFFF"/>
        </w:rPr>
        <w:t>的聚焦弥散斑如图</w:t>
      </w:r>
      <w:r w:rsidRPr="00867C9C">
        <w:rPr>
          <w:rFonts w:ascii="Times New Roman" w:eastAsia="宋体" w:hAnsi="Times New Roman" w:cs="Times New Roman" w:hint="eastAsia"/>
          <w:color w:val="0070C0"/>
          <w:shd w:val="clear" w:color="auto" w:fill="FFFFFF"/>
        </w:rPr>
        <w:t>5</w:t>
      </w:r>
      <w:r w:rsidRPr="00867C9C">
        <w:rPr>
          <w:rFonts w:ascii="Times New Roman" w:eastAsia="宋体" w:hAnsi="Times New Roman" w:cs="Times New Roman" w:hint="eastAsia"/>
          <w:color w:val="0070C0"/>
          <w:shd w:val="clear" w:color="auto" w:fill="FFFFFF"/>
        </w:rPr>
        <w:t>所示</w:t>
      </w:r>
      <w:r w:rsidR="00867C9C" w:rsidRPr="00867C9C">
        <w:rPr>
          <w:rFonts w:ascii="Times New Roman" w:eastAsia="宋体" w:hAnsi="Times New Roman" w:cs="Times New Roman" w:hint="eastAsia"/>
          <w:color w:val="0070C0"/>
          <w:shd w:val="clear" w:color="auto" w:fill="FFFFFF"/>
        </w:rPr>
        <w:t>，其显示较为对称的圆形，接近理想情况</w:t>
      </w:r>
      <w:r w:rsidRPr="00867C9C">
        <w:rPr>
          <w:rFonts w:ascii="Times New Roman" w:eastAsia="宋体" w:hAnsi="Times New Roman" w:cs="Times New Roman" w:hint="eastAsia"/>
          <w:color w:val="0070C0"/>
          <w:shd w:val="clear" w:color="auto" w:fill="FFFFFF"/>
        </w:rPr>
        <w:t>。</w:t>
      </w:r>
      <w:commentRangeStart w:id="2"/>
      <w:commentRangeEnd w:id="2"/>
    </w:p>
    <w:p w14:paraId="17CADCEE" w14:textId="04F66C08" w:rsidR="0071012B" w:rsidRDefault="00867C9C" w:rsidP="0071012B">
      <w:pPr>
        <w:ind w:firstLineChars="200" w:firstLine="420"/>
        <w:jc w:val="center"/>
        <w:rPr>
          <w:rFonts w:ascii="Times New Roman" w:eastAsia="宋体" w:hAnsi="Times New Roman" w:cs="Times New Roman"/>
          <w:bCs/>
          <w:kern w:val="0"/>
          <w:szCs w:val="21"/>
        </w:rPr>
      </w:pPr>
      <w:r>
        <w:rPr>
          <w:rFonts w:hint="eastAsia"/>
        </w:rPr>
        <w:object w:dxaOrig="15436" w:dyaOrig="14055" w14:anchorId="7528AAB2">
          <v:shape id="_x0000_i1028" type="#_x0000_t75" style="width:251pt;height:229pt" o:ole="">
            <v:imagedata r:id="rId13" o:title=""/>
          </v:shape>
          <o:OLEObject Type="Embed" ProgID="Visio.Drawing.15" ShapeID="_x0000_i1028" DrawAspect="Content" ObjectID="_1813586981" r:id="rId14"/>
        </w:object>
      </w:r>
    </w:p>
    <w:p w14:paraId="151EC417" w14:textId="77777777" w:rsidR="005D4F07" w:rsidRDefault="003E066B">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接收光路仿真图</w:t>
      </w:r>
    </w:p>
    <w:p w14:paraId="58556F69" w14:textId="77777777" w:rsidR="005D4F07" w:rsidRDefault="003E066B">
      <w:pPr>
        <w:ind w:firstLineChars="200" w:firstLine="420"/>
        <w:jc w:val="center"/>
        <w:rPr>
          <w:rFonts w:ascii="Times New Roman" w:eastAsia="宋体" w:hAnsi="Times New Roman" w:cs="Times New Roman"/>
          <w:bCs/>
          <w:kern w:val="0"/>
          <w:szCs w:val="21"/>
        </w:rPr>
      </w:pPr>
      <w:r>
        <w:rPr>
          <w:rFonts w:hint="eastAsia"/>
        </w:rPr>
        <w:object w:dxaOrig="4027" w:dyaOrig="3029" w14:anchorId="77540DE9">
          <v:shape id="_x0000_i1029" type="#_x0000_t75" style="width:201pt;height:151.5pt" o:ole="">
            <v:imagedata r:id="rId15" o:title=""/>
          </v:shape>
          <o:OLEObject Type="Embed" ProgID="Visio.Drawing.15" ShapeID="_x0000_i1029" DrawAspect="Content" ObjectID="_1813586982" r:id="rId16"/>
        </w:object>
      </w:r>
    </w:p>
    <w:p w14:paraId="609FECCE" w14:textId="77777777" w:rsidR="005D4F07" w:rsidRDefault="003E066B">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中心视场和边缘视场的聚焦弥散斑</w:t>
      </w:r>
    </w:p>
    <w:p w14:paraId="68A306DC" w14:textId="39C7EA36" w:rsidR="003C2EEA" w:rsidRDefault="003C2EEA" w:rsidP="003C2EEA">
      <w:pPr>
        <w:pStyle w:val="21"/>
        <w:numPr>
          <w:ilvl w:val="1"/>
          <w:numId w:val="13"/>
        </w:numPr>
        <w:jc w:val="left"/>
      </w:pPr>
      <w:r>
        <w:rPr>
          <w:rFonts w:hint="eastAsia"/>
        </w:rPr>
        <w:t>性能</w:t>
      </w:r>
      <w:r>
        <w:t>仿真验证</w:t>
      </w:r>
    </w:p>
    <w:p w14:paraId="4570E957" w14:textId="48A28C91" w:rsidR="003C2EEA" w:rsidRPr="003C2EEA" w:rsidRDefault="003C2EEA" w:rsidP="003C2EEA">
      <w:pPr>
        <w:pStyle w:val="21"/>
        <w:ind w:left="360" w:firstLine="0"/>
        <w:jc w:val="left"/>
        <w:rPr>
          <w:b w:val="0"/>
          <w:i/>
        </w:rPr>
      </w:pPr>
      <w:r w:rsidRPr="003C2EEA">
        <w:rPr>
          <w:rStyle w:val="aff5"/>
          <w:rFonts w:ascii="Segoe UI" w:hAnsi="Segoe UI" w:cs="Segoe UI"/>
          <w:b w:val="0"/>
          <w:i w:val="0"/>
          <w:color w:val="404040"/>
          <w:shd w:val="clear" w:color="auto" w:fill="FFFFFF"/>
        </w:rPr>
        <w:t>基于光路</w:t>
      </w:r>
      <w:r w:rsidRPr="003C2EEA">
        <w:rPr>
          <w:rStyle w:val="aff5"/>
          <w:rFonts w:ascii="Segoe UI" w:hAnsi="Segoe UI" w:cs="Segoe UI" w:hint="eastAsia"/>
          <w:b w:val="0"/>
          <w:i w:val="0"/>
          <w:color w:val="404040"/>
          <w:shd w:val="clear" w:color="auto" w:fill="FFFFFF"/>
        </w:rPr>
        <w:t>参数</w:t>
      </w:r>
      <w:r w:rsidRPr="003C2EEA">
        <w:rPr>
          <w:rStyle w:val="aff5"/>
          <w:rFonts w:ascii="Segoe UI" w:hAnsi="Segoe UI" w:cs="Segoe UI"/>
          <w:b w:val="0"/>
          <w:i w:val="0"/>
          <w:color w:val="404040"/>
          <w:shd w:val="clear" w:color="auto" w:fill="FFFFFF"/>
        </w:rPr>
        <w:t>设计，本节通过仿真验证其在多自由度震动下的性能</w:t>
      </w:r>
      <w:r>
        <w:rPr>
          <w:rStyle w:val="aff5"/>
          <w:rFonts w:ascii="Segoe UI" w:hAnsi="Segoe UI" w:cs="Segoe UI" w:hint="eastAsia"/>
          <w:b w:val="0"/>
          <w:i w:val="0"/>
          <w:color w:val="404040"/>
          <w:shd w:val="clear" w:color="auto" w:fill="FFFFFF"/>
        </w:rPr>
        <w:t>。</w:t>
      </w:r>
    </w:p>
    <w:p w14:paraId="724C769F" w14:textId="046535A7" w:rsidR="005D4F07" w:rsidRDefault="003E066B" w:rsidP="003C2EEA">
      <w:pPr>
        <w:pStyle w:val="21"/>
        <w:numPr>
          <w:ilvl w:val="2"/>
          <w:numId w:val="13"/>
        </w:numPr>
        <w:jc w:val="left"/>
      </w:pPr>
      <w:r>
        <w:t>一维简谐振动</w:t>
      </w:r>
      <w:r>
        <w:rPr>
          <w:rFonts w:hint="eastAsia"/>
        </w:rPr>
        <w:t>时功率余量计算及仿真</w:t>
      </w:r>
    </w:p>
    <w:p w14:paraId="7A6F9F27"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在震动过程中，震动时会使得发射和接收端不仅有垂直方向处的相对移动，还有垂直方向的相对运动，以及在一定的偏角范围内运动。在仿真过程中，为简化运算，将仿真分为在一维方向以及耦合方向两个过程进行仿真。</w:t>
      </w:r>
    </w:p>
    <w:p w14:paraId="2739A2DD" w14:textId="6AF7C379" w:rsidR="005D4F07" w:rsidRPr="003D2B29" w:rsidRDefault="003E066B">
      <w:pPr>
        <w:ind w:firstLineChars="200" w:firstLine="420"/>
        <w:rPr>
          <w:rFonts w:ascii="Times New Roman" w:eastAsia="宋体" w:hAnsi="Times New Roman" w:cs="Times New Roman"/>
          <w:bCs/>
          <w:color w:val="000000" w:themeColor="text1"/>
          <w:kern w:val="0"/>
          <w:szCs w:val="21"/>
        </w:rPr>
      </w:pPr>
      <w:r>
        <w:rPr>
          <w:rFonts w:ascii="Times New Roman" w:eastAsia="宋体" w:hAnsi="Times New Roman" w:cs="Times New Roman" w:hint="eastAsia"/>
          <w:bCs/>
          <w:kern w:val="0"/>
          <w:szCs w:val="21"/>
        </w:rPr>
        <w:t>采用直径</w:t>
      </w:r>
      <w:r>
        <w:rPr>
          <w:rFonts w:ascii="Times New Roman" w:eastAsia="宋体" w:hAnsi="Times New Roman" w:cs="Times New Roman" w:hint="eastAsia"/>
          <w:bCs/>
          <w:kern w:val="0"/>
          <w:szCs w:val="21"/>
        </w:rPr>
        <w:t>25mm</w:t>
      </w:r>
      <w:r>
        <w:rPr>
          <w:rFonts w:ascii="Times New Roman" w:eastAsia="宋体" w:hAnsi="Times New Roman" w:cs="Times New Roman" w:hint="eastAsia"/>
          <w:bCs/>
          <w:kern w:val="0"/>
          <w:szCs w:val="21"/>
        </w:rPr>
        <w:t>接收透镜接收，（</w:t>
      </w:r>
      <w:r>
        <w:rPr>
          <w:rFonts w:ascii="Times New Roman" w:eastAsia="宋体" w:hAnsi="Times New Roman" w:cs="Times New Roman" w:hint="eastAsia"/>
          <w:bCs/>
          <w:kern w:val="0"/>
          <w:szCs w:val="21"/>
        </w:rPr>
        <w:t>APD</w:t>
      </w:r>
      <w:r>
        <w:rPr>
          <w:rFonts w:ascii="Times New Roman" w:eastAsia="宋体" w:hAnsi="Times New Roman" w:cs="Times New Roman" w:hint="eastAsia"/>
          <w:bCs/>
          <w:kern w:val="0"/>
          <w:szCs w:val="21"/>
        </w:rPr>
        <w:t>通信灵敏度</w:t>
      </w:r>
      <w:r>
        <w:rPr>
          <w:rFonts w:ascii="Times New Roman" w:eastAsia="宋体" w:hAnsi="Times New Roman" w:cs="Times New Roman" w:hint="eastAsia"/>
          <w:bCs/>
          <w:kern w:val="0"/>
          <w:szCs w:val="21"/>
        </w:rPr>
        <w:t>-25dBm</w:t>
      </w:r>
      <w:r>
        <w:rPr>
          <w:rFonts w:ascii="Times New Roman" w:eastAsia="宋体" w:hAnsi="Times New Roman" w:cs="Times New Roman" w:hint="eastAsia"/>
          <w:bCs/>
          <w:kern w:val="0"/>
          <w:szCs w:val="21"/>
        </w:rPr>
        <w:t>）最远通信距离</w:t>
      </w:r>
      <w:r>
        <w:rPr>
          <w:rFonts w:ascii="Times New Roman" w:eastAsia="宋体" w:hAnsi="Times New Roman" w:cs="Times New Roman" w:hint="eastAsia"/>
          <w:bCs/>
          <w:kern w:val="0"/>
          <w:szCs w:val="21"/>
        </w:rPr>
        <w:t>200mm</w:t>
      </w:r>
      <w:r>
        <w:rPr>
          <w:rFonts w:ascii="Times New Roman" w:eastAsia="宋体" w:hAnsi="Times New Roman" w:cs="Times New Roman" w:hint="eastAsia"/>
          <w:bCs/>
          <w:kern w:val="0"/>
          <w:szCs w:val="21"/>
        </w:rPr>
        <w:t>，最近通信距离</w:t>
      </w:r>
      <w:r>
        <w:rPr>
          <w:rFonts w:ascii="Times New Roman" w:eastAsia="宋体" w:hAnsi="Times New Roman" w:cs="Times New Roman" w:hint="eastAsia"/>
          <w:bCs/>
          <w:kern w:val="0"/>
          <w:szCs w:val="21"/>
        </w:rPr>
        <w:t>5mm</w:t>
      </w:r>
      <w:r>
        <w:rPr>
          <w:rFonts w:ascii="Times New Roman" w:eastAsia="宋体" w:hAnsi="Times New Roman" w:cs="Times New Roman" w:hint="eastAsia"/>
          <w:bCs/>
          <w:kern w:val="0"/>
          <w:szCs w:val="21"/>
        </w:rPr>
        <w:t>，其仿真功率余量如下表</w:t>
      </w:r>
      <w:r w:rsidR="00867C9C">
        <w:rPr>
          <w:rFonts w:ascii="Times New Roman" w:eastAsia="宋体" w:hAnsi="Times New Roman" w:cs="Times New Roman" w:hint="eastAsia"/>
          <w:bCs/>
          <w:kern w:val="0"/>
          <w:szCs w:val="21"/>
        </w:rPr>
        <w:t>1</w:t>
      </w:r>
      <w:r>
        <w:rPr>
          <w:rFonts w:ascii="Times New Roman" w:eastAsia="宋体" w:hAnsi="Times New Roman" w:cs="Times New Roman" w:hint="eastAsia"/>
          <w:bCs/>
          <w:kern w:val="0"/>
          <w:szCs w:val="21"/>
        </w:rPr>
        <w:t>所示。</w:t>
      </w:r>
      <w:commentRangeStart w:id="3"/>
      <w:commentRangeEnd w:id="3"/>
      <w:r w:rsidR="00867C9C" w:rsidRPr="003D2B29">
        <w:rPr>
          <w:rFonts w:ascii="Times New Roman" w:eastAsia="宋体" w:hAnsi="Times New Roman" w:cs="Times New Roman" w:hint="eastAsia"/>
          <w:color w:val="000000" w:themeColor="text1"/>
          <w:shd w:val="clear" w:color="auto" w:fill="FFFFFF"/>
        </w:rPr>
        <w:t>其在通信距离为</w:t>
      </w:r>
      <w:r w:rsidR="00867C9C" w:rsidRPr="003D2B29">
        <w:rPr>
          <w:rFonts w:ascii="Times New Roman" w:eastAsia="宋体" w:hAnsi="Times New Roman" w:cs="Times New Roman" w:hint="eastAsia"/>
          <w:color w:val="000000" w:themeColor="text1"/>
          <w:shd w:val="clear" w:color="auto" w:fill="FFFFFF"/>
        </w:rPr>
        <w:t>200mm</w:t>
      </w:r>
      <w:r w:rsidR="00867C9C" w:rsidRPr="003D2B29">
        <w:rPr>
          <w:rFonts w:ascii="Times New Roman" w:eastAsia="宋体" w:hAnsi="Times New Roman" w:cs="Times New Roman" w:hint="eastAsia"/>
          <w:color w:val="000000" w:themeColor="text1"/>
          <w:shd w:val="clear" w:color="auto" w:fill="FFFFFF"/>
        </w:rPr>
        <w:t>时，功率余量仅较通信距离为</w:t>
      </w:r>
      <w:r w:rsidR="00867C9C" w:rsidRPr="003D2B29">
        <w:rPr>
          <w:rFonts w:ascii="Times New Roman" w:eastAsia="宋体" w:hAnsi="Times New Roman" w:cs="Times New Roman" w:hint="eastAsia"/>
          <w:color w:val="000000" w:themeColor="text1"/>
          <w:shd w:val="clear" w:color="auto" w:fill="FFFFFF"/>
        </w:rPr>
        <w:t>5mm</w:t>
      </w:r>
      <w:r w:rsidR="00867C9C" w:rsidRPr="003D2B29">
        <w:rPr>
          <w:rFonts w:ascii="Times New Roman" w:eastAsia="宋体" w:hAnsi="Times New Roman" w:cs="Times New Roman" w:hint="eastAsia"/>
          <w:color w:val="000000" w:themeColor="text1"/>
          <w:shd w:val="clear" w:color="auto" w:fill="FFFFFF"/>
        </w:rPr>
        <w:t>时损失</w:t>
      </w:r>
      <w:r w:rsidR="00867C9C" w:rsidRPr="003D2B29">
        <w:rPr>
          <w:rFonts w:ascii="Times New Roman" w:eastAsia="宋体" w:hAnsi="Times New Roman" w:cs="Times New Roman" w:hint="eastAsia"/>
          <w:color w:val="000000" w:themeColor="text1"/>
          <w:shd w:val="clear" w:color="auto" w:fill="FFFFFF"/>
        </w:rPr>
        <w:t>2db</w:t>
      </w:r>
      <w:r w:rsidR="00867C9C" w:rsidRPr="003D2B29">
        <w:rPr>
          <w:rFonts w:ascii="Times New Roman" w:eastAsia="宋体" w:hAnsi="Times New Roman" w:cs="Times New Roman" w:hint="eastAsia"/>
          <w:color w:val="000000" w:themeColor="text1"/>
          <w:shd w:val="clear" w:color="auto" w:fill="FFFFFF"/>
        </w:rPr>
        <w:t>，在一维简谐震动中通信其满足要求，符合设计预期。</w:t>
      </w:r>
      <w:r w:rsidR="00867C9C" w:rsidRPr="003D2B29">
        <w:rPr>
          <w:rFonts w:ascii="Times New Roman" w:eastAsia="宋体" w:hAnsi="Times New Roman" w:cs="Times New Roman"/>
          <w:bCs/>
          <w:color w:val="000000" w:themeColor="text1"/>
          <w:kern w:val="0"/>
          <w:szCs w:val="21"/>
        </w:rPr>
        <w:t xml:space="preserve"> </w:t>
      </w:r>
    </w:p>
    <w:p w14:paraId="6929D053" w14:textId="00716871" w:rsidR="005D4F07" w:rsidRDefault="003E066B">
      <w:pPr>
        <w:pStyle w:val="21"/>
        <w:ind w:left="0" w:firstLine="0"/>
        <w:jc w:val="center"/>
        <w:rPr>
          <w:sz w:val="15"/>
          <w:szCs w:val="15"/>
        </w:rPr>
      </w:pPr>
      <w:r>
        <w:rPr>
          <w:rFonts w:hint="eastAsia"/>
          <w:sz w:val="15"/>
          <w:szCs w:val="15"/>
        </w:rPr>
        <w:t>表</w:t>
      </w:r>
      <w:r w:rsidR="00867C9C">
        <w:rPr>
          <w:rFonts w:hint="eastAsia"/>
          <w:sz w:val="15"/>
          <w:szCs w:val="15"/>
        </w:rPr>
        <w:t>1</w:t>
      </w:r>
      <w:r>
        <w:rPr>
          <w:rFonts w:hint="eastAsia"/>
          <w:sz w:val="15"/>
          <w:szCs w:val="15"/>
        </w:rPr>
        <w:t xml:space="preserve"> </w:t>
      </w:r>
      <w:r>
        <w:rPr>
          <w:sz w:val="15"/>
          <w:szCs w:val="15"/>
        </w:rPr>
        <w:t>一维简谐振动</w:t>
      </w:r>
      <w:r>
        <w:rPr>
          <w:rFonts w:hint="eastAsia"/>
          <w:sz w:val="15"/>
          <w:szCs w:val="15"/>
        </w:rPr>
        <w:t>时功率余量仿真计算</w:t>
      </w:r>
    </w:p>
    <w:tbl>
      <w:tblPr>
        <w:tblStyle w:val="af5"/>
        <w:tblW w:w="7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2693"/>
        <w:gridCol w:w="2973"/>
      </w:tblGrid>
      <w:tr w:rsidR="005D4F07" w14:paraId="03EF89F9" w14:textId="77777777">
        <w:trPr>
          <w:jc w:val="center"/>
        </w:trPr>
        <w:tc>
          <w:tcPr>
            <w:tcW w:w="2329" w:type="dxa"/>
            <w:tcBorders>
              <w:top w:val="single" w:sz="12" w:space="0" w:color="auto"/>
              <w:bottom w:val="single" w:sz="12" w:space="0" w:color="auto"/>
            </w:tcBorders>
          </w:tcPr>
          <w:p w14:paraId="0429EA68" w14:textId="77777777" w:rsidR="005D4F07" w:rsidRDefault="005D4F07">
            <w:pPr>
              <w:rPr>
                <w:rFonts w:ascii="Calibri" w:eastAsia="宋体" w:hAnsi="Calibri" w:cs="Times New Roman"/>
              </w:rPr>
            </w:pPr>
          </w:p>
        </w:tc>
        <w:tc>
          <w:tcPr>
            <w:tcW w:w="2693" w:type="dxa"/>
            <w:tcBorders>
              <w:top w:val="single" w:sz="12" w:space="0" w:color="auto"/>
              <w:bottom w:val="single" w:sz="12" w:space="0" w:color="auto"/>
            </w:tcBorders>
          </w:tcPr>
          <w:p w14:paraId="57123A9F" w14:textId="77777777" w:rsidR="005D4F07" w:rsidRDefault="003E066B">
            <w:pPr>
              <w:rPr>
                <w:rFonts w:ascii="Calibri" w:eastAsia="宋体" w:hAnsi="Calibri" w:cs="Times New Roman"/>
              </w:rPr>
            </w:pPr>
            <w:r>
              <w:rPr>
                <w:rFonts w:ascii="Calibri" w:eastAsia="宋体" w:hAnsi="Calibri" w:cs="Times New Roman" w:hint="eastAsia"/>
              </w:rPr>
              <w:t>200mm</w:t>
            </w:r>
            <w:r>
              <w:rPr>
                <w:rFonts w:ascii="Calibri" w:eastAsia="宋体" w:hAnsi="Calibri" w:cs="Times New Roman" w:hint="eastAsia"/>
              </w:rPr>
              <w:t>距离通信时</w:t>
            </w:r>
          </w:p>
        </w:tc>
        <w:tc>
          <w:tcPr>
            <w:tcW w:w="2973" w:type="dxa"/>
            <w:tcBorders>
              <w:top w:val="single" w:sz="12" w:space="0" w:color="auto"/>
              <w:bottom w:val="single" w:sz="12" w:space="0" w:color="auto"/>
            </w:tcBorders>
          </w:tcPr>
          <w:p w14:paraId="715FD15B" w14:textId="77777777" w:rsidR="005D4F07" w:rsidRDefault="003E066B">
            <w:pPr>
              <w:rPr>
                <w:rFonts w:ascii="Calibri" w:eastAsia="宋体" w:hAnsi="Calibri" w:cs="Times New Roman"/>
              </w:rPr>
            </w:pPr>
            <w:r>
              <w:rPr>
                <w:rFonts w:ascii="Calibri" w:eastAsia="宋体" w:hAnsi="Calibri" w:cs="Times New Roman" w:hint="eastAsia"/>
              </w:rPr>
              <w:t>5mm</w:t>
            </w:r>
            <w:r>
              <w:rPr>
                <w:rFonts w:ascii="Calibri" w:eastAsia="宋体" w:hAnsi="Calibri" w:cs="Times New Roman" w:hint="eastAsia"/>
              </w:rPr>
              <w:t>距离通信时</w:t>
            </w:r>
          </w:p>
        </w:tc>
      </w:tr>
      <w:tr w:rsidR="005D4F07" w14:paraId="0259AF9C" w14:textId="77777777">
        <w:trPr>
          <w:jc w:val="center"/>
        </w:trPr>
        <w:tc>
          <w:tcPr>
            <w:tcW w:w="2329" w:type="dxa"/>
            <w:tcBorders>
              <w:top w:val="single" w:sz="12" w:space="0" w:color="auto"/>
            </w:tcBorders>
          </w:tcPr>
          <w:p w14:paraId="178CB6F4" w14:textId="77777777" w:rsidR="005D4F07" w:rsidRDefault="003E066B">
            <w:pPr>
              <w:rPr>
                <w:rFonts w:ascii="Calibri" w:eastAsia="宋体" w:hAnsi="Calibri" w:cs="Times New Roman"/>
              </w:rPr>
            </w:pPr>
            <w:r>
              <w:rPr>
                <w:rFonts w:ascii="Calibri" w:eastAsia="宋体" w:hAnsi="Calibri" w:cs="Times New Roman" w:hint="eastAsia"/>
              </w:rPr>
              <w:t>光源功率</w:t>
            </w:r>
          </w:p>
        </w:tc>
        <w:tc>
          <w:tcPr>
            <w:tcW w:w="2693" w:type="dxa"/>
            <w:tcBorders>
              <w:top w:val="single" w:sz="12" w:space="0" w:color="auto"/>
            </w:tcBorders>
          </w:tcPr>
          <w:p w14:paraId="0C53698A" w14:textId="77777777" w:rsidR="005D4F07" w:rsidRDefault="003E066B">
            <w:pPr>
              <w:rPr>
                <w:rFonts w:ascii="Calibri" w:eastAsia="宋体" w:hAnsi="Calibri" w:cs="Times New Roman"/>
              </w:rPr>
            </w:pPr>
            <w:r>
              <w:rPr>
                <w:rFonts w:ascii="Calibri" w:eastAsia="宋体" w:hAnsi="Calibri" w:cs="Times New Roman" w:hint="eastAsia"/>
              </w:rPr>
              <w:t>10dBm</w:t>
            </w:r>
          </w:p>
        </w:tc>
        <w:tc>
          <w:tcPr>
            <w:tcW w:w="2973" w:type="dxa"/>
            <w:tcBorders>
              <w:top w:val="single" w:sz="12" w:space="0" w:color="auto"/>
            </w:tcBorders>
          </w:tcPr>
          <w:p w14:paraId="77047DC4" w14:textId="77777777" w:rsidR="005D4F07" w:rsidRDefault="003E066B">
            <w:pPr>
              <w:rPr>
                <w:rFonts w:ascii="Calibri" w:eastAsia="宋体" w:hAnsi="Calibri" w:cs="Times New Roman"/>
              </w:rPr>
            </w:pPr>
            <w:r>
              <w:rPr>
                <w:rFonts w:ascii="Calibri" w:eastAsia="宋体" w:hAnsi="Calibri" w:cs="Times New Roman" w:hint="eastAsia"/>
              </w:rPr>
              <w:t>10dBm</w:t>
            </w:r>
          </w:p>
        </w:tc>
      </w:tr>
      <w:tr w:rsidR="005D4F07" w14:paraId="1DBEC4C4" w14:textId="77777777">
        <w:trPr>
          <w:jc w:val="center"/>
        </w:trPr>
        <w:tc>
          <w:tcPr>
            <w:tcW w:w="2329" w:type="dxa"/>
          </w:tcPr>
          <w:p w14:paraId="45B29A43" w14:textId="77777777" w:rsidR="005D4F07" w:rsidRDefault="003E066B">
            <w:pPr>
              <w:rPr>
                <w:rFonts w:ascii="Calibri" w:eastAsia="宋体" w:hAnsi="Calibri" w:cs="Times New Roman"/>
              </w:rPr>
            </w:pPr>
            <w:r>
              <w:rPr>
                <w:rFonts w:ascii="Calibri" w:eastAsia="宋体" w:hAnsi="Calibri" w:cs="Times New Roman" w:hint="eastAsia"/>
              </w:rPr>
              <w:t>几何损耗</w:t>
            </w:r>
          </w:p>
        </w:tc>
        <w:tc>
          <w:tcPr>
            <w:tcW w:w="2693" w:type="dxa"/>
          </w:tcPr>
          <w:p w14:paraId="6FD4C4B8" w14:textId="77777777" w:rsidR="005D4F07" w:rsidRDefault="003E066B">
            <w:pPr>
              <w:rPr>
                <w:rFonts w:ascii="Calibri" w:eastAsia="宋体" w:hAnsi="Calibri" w:cs="Times New Roman"/>
              </w:rPr>
            </w:pPr>
            <w:r>
              <w:rPr>
                <w:rFonts w:ascii="Calibri" w:eastAsia="宋体" w:hAnsi="Calibri" w:cs="Times New Roman" w:hint="eastAsia"/>
              </w:rPr>
              <w:t>-12.74dB</w:t>
            </w:r>
          </w:p>
        </w:tc>
        <w:tc>
          <w:tcPr>
            <w:tcW w:w="2973" w:type="dxa"/>
          </w:tcPr>
          <w:p w14:paraId="508BC985" w14:textId="77777777" w:rsidR="005D4F07" w:rsidRDefault="003E066B">
            <w:pPr>
              <w:rPr>
                <w:rFonts w:ascii="Calibri" w:eastAsia="宋体" w:hAnsi="Calibri" w:cs="Times New Roman"/>
              </w:rPr>
            </w:pPr>
            <w:r>
              <w:rPr>
                <w:rFonts w:ascii="Calibri" w:eastAsia="宋体" w:hAnsi="Calibri" w:cs="Times New Roman" w:hint="eastAsia"/>
              </w:rPr>
              <w:t>-10.83dB</w:t>
            </w:r>
          </w:p>
        </w:tc>
      </w:tr>
      <w:tr w:rsidR="005D4F07" w14:paraId="4046AB07" w14:textId="77777777">
        <w:trPr>
          <w:jc w:val="center"/>
        </w:trPr>
        <w:tc>
          <w:tcPr>
            <w:tcW w:w="2329" w:type="dxa"/>
          </w:tcPr>
          <w:p w14:paraId="3A8F57B0" w14:textId="77777777" w:rsidR="005D4F07" w:rsidRDefault="003E066B">
            <w:pPr>
              <w:rPr>
                <w:rFonts w:ascii="Calibri" w:eastAsia="宋体" w:hAnsi="Calibri" w:cs="Times New Roman"/>
              </w:rPr>
            </w:pPr>
            <w:r>
              <w:rPr>
                <w:rFonts w:ascii="Calibri" w:eastAsia="宋体" w:hAnsi="Calibri" w:cs="Times New Roman" w:hint="eastAsia"/>
              </w:rPr>
              <w:t>滤光片损耗</w:t>
            </w:r>
          </w:p>
        </w:tc>
        <w:tc>
          <w:tcPr>
            <w:tcW w:w="2693" w:type="dxa"/>
          </w:tcPr>
          <w:p w14:paraId="2823D587" w14:textId="77777777" w:rsidR="005D4F07" w:rsidRDefault="003E066B">
            <w:pPr>
              <w:rPr>
                <w:rFonts w:ascii="Calibri" w:eastAsia="宋体" w:hAnsi="Calibri" w:cs="Times New Roman"/>
              </w:rPr>
            </w:pPr>
            <w:r>
              <w:rPr>
                <w:rFonts w:ascii="Calibri" w:eastAsia="宋体" w:hAnsi="Calibri" w:cs="Times New Roman" w:hint="eastAsia"/>
              </w:rPr>
              <w:t>-3dB</w:t>
            </w:r>
          </w:p>
        </w:tc>
        <w:tc>
          <w:tcPr>
            <w:tcW w:w="2973" w:type="dxa"/>
          </w:tcPr>
          <w:p w14:paraId="01C366AD" w14:textId="77777777" w:rsidR="005D4F07" w:rsidRDefault="003E066B">
            <w:pPr>
              <w:rPr>
                <w:rFonts w:ascii="Calibri" w:eastAsia="宋体" w:hAnsi="Calibri" w:cs="Times New Roman"/>
              </w:rPr>
            </w:pPr>
            <w:r>
              <w:rPr>
                <w:rFonts w:ascii="Calibri" w:eastAsia="宋体" w:hAnsi="Calibri" w:cs="Times New Roman" w:hint="eastAsia"/>
              </w:rPr>
              <w:t>-3dB</w:t>
            </w:r>
          </w:p>
        </w:tc>
      </w:tr>
      <w:tr w:rsidR="005D4F07" w14:paraId="60D7FDA8" w14:textId="77777777">
        <w:trPr>
          <w:jc w:val="center"/>
        </w:trPr>
        <w:tc>
          <w:tcPr>
            <w:tcW w:w="2329" w:type="dxa"/>
          </w:tcPr>
          <w:p w14:paraId="721BFD84" w14:textId="77777777" w:rsidR="005D4F07" w:rsidRDefault="003E066B">
            <w:pPr>
              <w:rPr>
                <w:rFonts w:ascii="Calibri" w:eastAsia="宋体" w:hAnsi="Calibri" w:cs="Times New Roman"/>
              </w:rPr>
            </w:pPr>
            <w:r>
              <w:rPr>
                <w:rFonts w:ascii="Calibri" w:eastAsia="宋体" w:hAnsi="Calibri" w:cs="Times New Roman" w:hint="eastAsia"/>
              </w:rPr>
              <w:t>透过损耗</w:t>
            </w:r>
          </w:p>
        </w:tc>
        <w:tc>
          <w:tcPr>
            <w:tcW w:w="2693" w:type="dxa"/>
          </w:tcPr>
          <w:p w14:paraId="36D996DB" w14:textId="77777777" w:rsidR="005D4F07" w:rsidRDefault="003E066B">
            <w:pPr>
              <w:rPr>
                <w:rFonts w:ascii="Calibri" w:eastAsia="宋体" w:hAnsi="Calibri" w:cs="Times New Roman"/>
              </w:rPr>
            </w:pPr>
            <w:r>
              <w:rPr>
                <w:rFonts w:ascii="Calibri" w:eastAsia="宋体" w:hAnsi="Calibri" w:cs="Times New Roman"/>
              </w:rPr>
              <w:t>-2.6</w:t>
            </w:r>
            <w:r>
              <w:rPr>
                <w:rFonts w:ascii="Calibri" w:eastAsia="宋体" w:hAnsi="Calibri" w:cs="Times New Roman" w:hint="eastAsia"/>
              </w:rPr>
              <w:t>7dB</w:t>
            </w:r>
          </w:p>
        </w:tc>
        <w:tc>
          <w:tcPr>
            <w:tcW w:w="2973" w:type="dxa"/>
          </w:tcPr>
          <w:p w14:paraId="547D2A98" w14:textId="77777777" w:rsidR="005D4F07" w:rsidRDefault="003E066B">
            <w:pPr>
              <w:rPr>
                <w:rFonts w:ascii="Calibri" w:eastAsia="宋体" w:hAnsi="Calibri" w:cs="Times New Roman"/>
              </w:rPr>
            </w:pPr>
            <w:r>
              <w:rPr>
                <w:rFonts w:ascii="Calibri" w:eastAsia="宋体" w:hAnsi="Calibri" w:cs="Times New Roman"/>
              </w:rPr>
              <w:t>-2.6</w:t>
            </w:r>
            <w:r>
              <w:rPr>
                <w:rFonts w:ascii="Calibri" w:eastAsia="宋体" w:hAnsi="Calibri" w:cs="Times New Roman" w:hint="eastAsia"/>
              </w:rPr>
              <w:t>7dB</w:t>
            </w:r>
          </w:p>
        </w:tc>
      </w:tr>
      <w:tr w:rsidR="005D4F07" w14:paraId="0F5A5EF1" w14:textId="77777777">
        <w:trPr>
          <w:jc w:val="center"/>
        </w:trPr>
        <w:tc>
          <w:tcPr>
            <w:tcW w:w="2329" w:type="dxa"/>
          </w:tcPr>
          <w:p w14:paraId="592AFA36" w14:textId="77777777" w:rsidR="005D4F07" w:rsidRDefault="003E066B">
            <w:pPr>
              <w:rPr>
                <w:rFonts w:ascii="Calibri" w:eastAsia="宋体" w:hAnsi="Calibri" w:cs="Times New Roman"/>
              </w:rPr>
            </w:pPr>
            <w:r>
              <w:rPr>
                <w:rFonts w:ascii="Calibri" w:eastAsia="宋体" w:hAnsi="Calibri" w:cs="Times New Roman" w:hint="eastAsia"/>
              </w:rPr>
              <w:t>接收功率</w:t>
            </w:r>
          </w:p>
        </w:tc>
        <w:tc>
          <w:tcPr>
            <w:tcW w:w="2693" w:type="dxa"/>
          </w:tcPr>
          <w:p w14:paraId="60CDBDD6" w14:textId="77777777" w:rsidR="005D4F07" w:rsidRDefault="003E066B">
            <w:pPr>
              <w:rPr>
                <w:rFonts w:ascii="Calibri" w:eastAsia="宋体" w:hAnsi="Calibri" w:cs="Times New Roman"/>
              </w:rPr>
            </w:pPr>
            <w:r>
              <w:rPr>
                <w:rFonts w:ascii="Calibri" w:eastAsia="宋体" w:hAnsi="Calibri" w:cs="Times New Roman" w:hint="eastAsia"/>
              </w:rPr>
              <w:t>-8.41dBm</w:t>
            </w:r>
          </w:p>
        </w:tc>
        <w:tc>
          <w:tcPr>
            <w:tcW w:w="2973" w:type="dxa"/>
          </w:tcPr>
          <w:p w14:paraId="4FF89AE0" w14:textId="77777777" w:rsidR="005D4F07" w:rsidRDefault="003E066B">
            <w:pPr>
              <w:rPr>
                <w:rFonts w:ascii="Calibri" w:eastAsia="宋体" w:hAnsi="Calibri" w:cs="Times New Roman"/>
              </w:rPr>
            </w:pPr>
            <w:r>
              <w:rPr>
                <w:rFonts w:ascii="Calibri" w:eastAsia="宋体" w:hAnsi="Calibri" w:cs="Times New Roman" w:hint="eastAsia"/>
              </w:rPr>
              <w:t>-6.41dBm</w:t>
            </w:r>
          </w:p>
        </w:tc>
      </w:tr>
      <w:tr w:rsidR="005D4F07" w14:paraId="076EE317" w14:textId="77777777">
        <w:trPr>
          <w:jc w:val="center"/>
        </w:trPr>
        <w:tc>
          <w:tcPr>
            <w:tcW w:w="2329" w:type="dxa"/>
          </w:tcPr>
          <w:p w14:paraId="18F8F5AE" w14:textId="77777777" w:rsidR="005D4F07" w:rsidRDefault="003E066B">
            <w:pPr>
              <w:rPr>
                <w:rFonts w:ascii="Calibri" w:eastAsia="宋体" w:hAnsi="Calibri" w:cs="Times New Roman"/>
              </w:rPr>
            </w:pPr>
            <w:r>
              <w:rPr>
                <w:rFonts w:ascii="Calibri" w:eastAsia="宋体" w:hAnsi="Calibri" w:cs="Times New Roman" w:hint="eastAsia"/>
              </w:rPr>
              <w:t>灵敏度</w:t>
            </w:r>
          </w:p>
        </w:tc>
        <w:tc>
          <w:tcPr>
            <w:tcW w:w="2693" w:type="dxa"/>
          </w:tcPr>
          <w:p w14:paraId="21F5DB8B" w14:textId="77777777" w:rsidR="005D4F07" w:rsidRDefault="003E066B">
            <w:pPr>
              <w:rPr>
                <w:rFonts w:ascii="Calibri" w:eastAsia="宋体" w:hAnsi="Calibri" w:cs="Times New Roman"/>
              </w:rPr>
            </w:pPr>
            <w:r>
              <w:rPr>
                <w:rFonts w:ascii="Calibri" w:eastAsia="宋体" w:hAnsi="Calibri" w:cs="Times New Roman" w:hint="eastAsia"/>
              </w:rPr>
              <w:t>-20dBm</w:t>
            </w:r>
          </w:p>
        </w:tc>
        <w:tc>
          <w:tcPr>
            <w:tcW w:w="2973" w:type="dxa"/>
          </w:tcPr>
          <w:p w14:paraId="6FF43A56" w14:textId="77777777" w:rsidR="005D4F07" w:rsidRDefault="003E066B">
            <w:pPr>
              <w:rPr>
                <w:rFonts w:ascii="Calibri" w:eastAsia="宋体" w:hAnsi="Calibri" w:cs="Times New Roman"/>
              </w:rPr>
            </w:pPr>
            <w:r>
              <w:rPr>
                <w:rFonts w:ascii="Calibri" w:eastAsia="宋体" w:hAnsi="Calibri" w:cs="Times New Roman" w:hint="eastAsia"/>
              </w:rPr>
              <w:t>-20dBm</w:t>
            </w:r>
          </w:p>
        </w:tc>
      </w:tr>
      <w:tr w:rsidR="005D4F07" w14:paraId="1C9611C6" w14:textId="77777777">
        <w:trPr>
          <w:jc w:val="center"/>
        </w:trPr>
        <w:tc>
          <w:tcPr>
            <w:tcW w:w="2329" w:type="dxa"/>
            <w:tcBorders>
              <w:bottom w:val="single" w:sz="12" w:space="0" w:color="auto"/>
            </w:tcBorders>
          </w:tcPr>
          <w:p w14:paraId="440AA7EC" w14:textId="77777777" w:rsidR="005D4F07" w:rsidRDefault="003E066B">
            <w:pPr>
              <w:rPr>
                <w:rFonts w:ascii="Calibri" w:eastAsia="宋体" w:hAnsi="Calibri" w:cs="Times New Roman"/>
              </w:rPr>
            </w:pPr>
            <w:r>
              <w:rPr>
                <w:rFonts w:ascii="Calibri" w:eastAsia="宋体" w:hAnsi="Calibri" w:cs="Times New Roman" w:hint="eastAsia"/>
              </w:rPr>
              <w:lastRenderedPageBreak/>
              <w:t>功率余量</w:t>
            </w:r>
          </w:p>
        </w:tc>
        <w:tc>
          <w:tcPr>
            <w:tcW w:w="2693" w:type="dxa"/>
            <w:tcBorders>
              <w:bottom w:val="single" w:sz="12" w:space="0" w:color="auto"/>
            </w:tcBorders>
          </w:tcPr>
          <w:p w14:paraId="67D8D5E9" w14:textId="77777777" w:rsidR="005D4F07" w:rsidRDefault="003E066B">
            <w:pPr>
              <w:rPr>
                <w:rFonts w:ascii="Calibri" w:eastAsia="宋体" w:hAnsi="Calibri" w:cs="Times New Roman"/>
              </w:rPr>
            </w:pPr>
            <w:r>
              <w:rPr>
                <w:rFonts w:ascii="Calibri" w:eastAsia="宋体" w:hAnsi="Calibri" w:cs="Times New Roman" w:hint="eastAsia"/>
              </w:rPr>
              <w:t>-11.59dB</w:t>
            </w:r>
          </w:p>
        </w:tc>
        <w:tc>
          <w:tcPr>
            <w:tcW w:w="2973" w:type="dxa"/>
            <w:tcBorders>
              <w:bottom w:val="single" w:sz="12" w:space="0" w:color="auto"/>
            </w:tcBorders>
          </w:tcPr>
          <w:p w14:paraId="049328EF" w14:textId="77777777" w:rsidR="005D4F07" w:rsidRDefault="003E066B">
            <w:pPr>
              <w:rPr>
                <w:rFonts w:ascii="Calibri" w:eastAsia="宋体" w:hAnsi="Calibri" w:cs="Times New Roman"/>
              </w:rPr>
            </w:pPr>
            <w:r>
              <w:rPr>
                <w:rFonts w:ascii="Calibri" w:eastAsia="宋体" w:hAnsi="Calibri" w:cs="Times New Roman" w:hint="eastAsia"/>
              </w:rPr>
              <w:t>-13.59dB</w:t>
            </w:r>
          </w:p>
        </w:tc>
      </w:tr>
    </w:tbl>
    <w:p w14:paraId="3964970B" w14:textId="77777777" w:rsidR="005D4F07" w:rsidRDefault="005D4F07">
      <w:pPr>
        <w:ind w:firstLineChars="200" w:firstLine="420"/>
        <w:rPr>
          <w:rFonts w:ascii="Times New Roman" w:eastAsia="宋体" w:hAnsi="Times New Roman" w:cs="Times New Roman"/>
          <w:bCs/>
          <w:kern w:val="0"/>
          <w:szCs w:val="21"/>
        </w:rPr>
      </w:pPr>
    </w:p>
    <w:p w14:paraId="6303421B" w14:textId="36099293" w:rsidR="005D4F07" w:rsidRDefault="003E066B" w:rsidP="003C2EEA">
      <w:pPr>
        <w:pStyle w:val="21"/>
        <w:numPr>
          <w:ilvl w:val="2"/>
          <w:numId w:val="13"/>
        </w:numPr>
        <w:jc w:val="left"/>
      </w:pPr>
      <w:r>
        <w:rPr>
          <w:rFonts w:hint="eastAsia"/>
        </w:rPr>
        <w:t>耦合</w:t>
      </w:r>
      <w:r>
        <w:t>振动</w:t>
      </w:r>
      <w:r>
        <w:rPr>
          <w:rFonts w:hint="eastAsia"/>
        </w:rPr>
        <w:t>时功率余量计算及仿真</w:t>
      </w:r>
    </w:p>
    <w:p w14:paraId="0F0C0018" w14:textId="062F572F"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当设备在运行途中，由于会出现位置偏移、角度偏转以及两种情况同时发生，故在光学设计中，当三种情况引起的功率变化不超过</w:t>
      </w:r>
      <w:r>
        <w:rPr>
          <w:rFonts w:ascii="Times New Roman" w:eastAsia="宋体" w:hAnsi="Times New Roman" w:cs="Times New Roman" w:hint="eastAsia"/>
          <w:bCs/>
          <w:kern w:val="0"/>
          <w:szCs w:val="21"/>
        </w:rPr>
        <w:t>3db</w:t>
      </w:r>
      <w:r>
        <w:rPr>
          <w:rFonts w:ascii="Times New Roman" w:eastAsia="宋体" w:hAnsi="Times New Roman" w:cs="Times New Roman" w:hint="eastAsia"/>
          <w:bCs/>
          <w:kern w:val="0"/>
          <w:szCs w:val="21"/>
        </w:rPr>
        <w:t>时则可满足通信要求。其中，仿真结果如下表</w:t>
      </w:r>
      <w:r>
        <w:rPr>
          <w:rFonts w:ascii="Times New Roman" w:eastAsia="宋体" w:hAnsi="Times New Roman" w:cs="Times New Roman"/>
          <w:bCs/>
          <w:kern w:val="0"/>
          <w:szCs w:val="21"/>
        </w:rPr>
        <w:t>2</w:t>
      </w:r>
      <w:r>
        <w:rPr>
          <w:rFonts w:ascii="Times New Roman" w:eastAsia="宋体" w:hAnsi="Times New Roman" w:cs="Times New Roman" w:hint="eastAsia"/>
          <w:bCs/>
          <w:kern w:val="0"/>
          <w:szCs w:val="21"/>
        </w:rPr>
        <w:t>所示。</w:t>
      </w:r>
    </w:p>
    <w:p w14:paraId="5A6C5CFA" w14:textId="77777777" w:rsidR="005D4F07" w:rsidRDefault="003E066B">
      <w:pPr>
        <w:pStyle w:val="21"/>
        <w:ind w:left="0" w:firstLine="0"/>
        <w:jc w:val="center"/>
        <w:rPr>
          <w:sz w:val="15"/>
          <w:szCs w:val="15"/>
        </w:rPr>
      </w:pPr>
      <w:r>
        <w:rPr>
          <w:rFonts w:hint="eastAsia"/>
          <w:sz w:val="15"/>
          <w:szCs w:val="15"/>
        </w:rPr>
        <w:t>表</w:t>
      </w:r>
      <w:r>
        <w:rPr>
          <w:rFonts w:hint="eastAsia"/>
          <w:sz w:val="15"/>
          <w:szCs w:val="15"/>
        </w:rPr>
        <w:t xml:space="preserve">2 </w:t>
      </w:r>
      <w:r>
        <w:rPr>
          <w:rFonts w:hint="eastAsia"/>
          <w:sz w:val="15"/>
          <w:szCs w:val="15"/>
        </w:rPr>
        <w:t>耦合</w:t>
      </w:r>
      <w:r>
        <w:rPr>
          <w:sz w:val="15"/>
          <w:szCs w:val="15"/>
        </w:rPr>
        <w:t>振动</w:t>
      </w:r>
      <w:r>
        <w:rPr>
          <w:rFonts w:hint="eastAsia"/>
          <w:sz w:val="15"/>
          <w:szCs w:val="15"/>
        </w:rPr>
        <w:t>时功率余量计算及仿真</w:t>
      </w:r>
    </w:p>
    <w:tbl>
      <w:tblPr>
        <w:tblStyle w:val="af5"/>
        <w:tblW w:w="8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51"/>
        <w:gridCol w:w="1701"/>
        <w:gridCol w:w="1701"/>
        <w:gridCol w:w="3030"/>
      </w:tblGrid>
      <w:tr w:rsidR="005D4F07" w14:paraId="1E713BBB" w14:textId="77777777">
        <w:tc>
          <w:tcPr>
            <w:tcW w:w="1129" w:type="dxa"/>
            <w:tcBorders>
              <w:top w:val="single" w:sz="12" w:space="0" w:color="auto"/>
              <w:bottom w:val="single" w:sz="12" w:space="0" w:color="auto"/>
            </w:tcBorders>
          </w:tcPr>
          <w:p w14:paraId="0A37CEDF" w14:textId="77777777"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通信距离</w:t>
            </w:r>
          </w:p>
        </w:tc>
        <w:tc>
          <w:tcPr>
            <w:tcW w:w="851" w:type="dxa"/>
            <w:tcBorders>
              <w:top w:val="single" w:sz="12" w:space="0" w:color="auto"/>
              <w:bottom w:val="single" w:sz="12" w:space="0" w:color="auto"/>
            </w:tcBorders>
          </w:tcPr>
          <w:p w14:paraId="1A07F1A5" w14:textId="77777777" w:rsidR="005D4F07" w:rsidRDefault="005D4F07">
            <w:pPr>
              <w:rPr>
                <w:rFonts w:ascii="Times New Roman" w:eastAsia="宋体" w:hAnsi="Times New Roman" w:cs="Times New Roman"/>
                <w:bCs/>
                <w:kern w:val="0"/>
                <w:szCs w:val="21"/>
              </w:rPr>
            </w:pPr>
          </w:p>
        </w:tc>
        <w:tc>
          <w:tcPr>
            <w:tcW w:w="1701" w:type="dxa"/>
            <w:tcBorders>
              <w:top w:val="single" w:sz="12" w:space="0" w:color="auto"/>
              <w:bottom w:val="single" w:sz="12" w:space="0" w:color="auto"/>
            </w:tcBorders>
          </w:tcPr>
          <w:p w14:paraId="3DCDF5FF" w14:textId="77777777" w:rsidR="005D4F07" w:rsidRDefault="003E066B">
            <w:pPr>
              <w:rPr>
                <w:rFonts w:ascii="Times New Roman" w:eastAsia="宋体" w:hAnsi="Times New Roman" w:cs="Times New Roman"/>
                <w:bCs/>
                <w:kern w:val="0"/>
                <w:szCs w:val="21"/>
              </w:rPr>
            </w:pPr>
            <w:r>
              <w:rPr>
                <w:rFonts w:ascii="Calibri" w:eastAsia="宋体" w:hAnsi="Calibri" w:cs="Times New Roman" w:hint="eastAsia"/>
              </w:rPr>
              <w:t>位置偏移</w:t>
            </w:r>
            <w:r>
              <w:rPr>
                <w:rFonts w:ascii="Calibri" w:eastAsia="宋体" w:hAnsi="Calibri" w:cs="Times New Roman" w:hint="eastAsia"/>
              </w:rPr>
              <w:t>10mm</w:t>
            </w:r>
          </w:p>
        </w:tc>
        <w:tc>
          <w:tcPr>
            <w:tcW w:w="1701" w:type="dxa"/>
            <w:tcBorders>
              <w:top w:val="single" w:sz="12" w:space="0" w:color="auto"/>
              <w:bottom w:val="single" w:sz="12" w:space="0" w:color="auto"/>
            </w:tcBorders>
          </w:tcPr>
          <w:p w14:paraId="2163142D" w14:textId="77777777" w:rsidR="005D4F07" w:rsidRDefault="003E066B">
            <w:pPr>
              <w:rPr>
                <w:rFonts w:ascii="Times New Roman" w:eastAsia="宋体" w:hAnsi="Times New Roman" w:cs="Times New Roman"/>
                <w:bCs/>
                <w:kern w:val="0"/>
                <w:szCs w:val="21"/>
              </w:rPr>
            </w:pPr>
            <w:r>
              <w:rPr>
                <w:rFonts w:ascii="Calibri" w:eastAsia="宋体" w:hAnsi="Calibri" w:cs="Times New Roman" w:hint="eastAsia"/>
              </w:rPr>
              <w:t>角度偏移</w:t>
            </w:r>
            <w:r>
              <w:rPr>
                <w:rFonts w:ascii="Calibri" w:eastAsia="宋体" w:hAnsi="Calibri" w:cs="Times New Roman" w:hint="eastAsia"/>
              </w:rPr>
              <w:t>2</w:t>
            </w:r>
            <w:r>
              <w:rPr>
                <w:rFonts w:ascii="Calibri" w:eastAsia="宋体" w:hAnsi="Calibri" w:cs="Times New Roman" w:hint="eastAsia"/>
              </w:rPr>
              <w:t>°</w:t>
            </w:r>
          </w:p>
        </w:tc>
        <w:tc>
          <w:tcPr>
            <w:tcW w:w="3030" w:type="dxa"/>
            <w:tcBorders>
              <w:top w:val="single" w:sz="12" w:space="0" w:color="auto"/>
              <w:bottom w:val="single" w:sz="12" w:space="0" w:color="auto"/>
            </w:tcBorders>
          </w:tcPr>
          <w:p w14:paraId="7109C255" w14:textId="77777777" w:rsidR="005D4F07" w:rsidRDefault="003E066B">
            <w:pPr>
              <w:rPr>
                <w:rFonts w:ascii="Calibri" w:eastAsia="宋体" w:hAnsi="Calibri" w:cs="Times New Roman"/>
              </w:rPr>
            </w:pPr>
            <w:r>
              <w:rPr>
                <w:rFonts w:ascii="Calibri" w:eastAsia="宋体" w:hAnsi="Calibri" w:cs="Times New Roman" w:hint="eastAsia"/>
              </w:rPr>
              <w:t>位置偏移</w:t>
            </w:r>
            <w:r>
              <w:rPr>
                <w:rFonts w:ascii="Calibri" w:eastAsia="宋体" w:hAnsi="Calibri" w:cs="Times New Roman" w:hint="eastAsia"/>
              </w:rPr>
              <w:t>10mm+</w:t>
            </w:r>
            <w:r>
              <w:rPr>
                <w:rFonts w:ascii="Calibri" w:eastAsia="宋体" w:hAnsi="Calibri" w:cs="Times New Roman" w:hint="eastAsia"/>
              </w:rPr>
              <w:t>角度偏移</w:t>
            </w:r>
            <w:r>
              <w:rPr>
                <w:rFonts w:ascii="Calibri" w:eastAsia="宋体" w:hAnsi="Calibri" w:cs="Times New Roman" w:hint="eastAsia"/>
              </w:rPr>
              <w:t>2</w:t>
            </w:r>
            <w:r>
              <w:rPr>
                <w:rFonts w:ascii="Calibri" w:eastAsia="宋体" w:hAnsi="Calibri" w:cs="Times New Roman" w:hint="eastAsia"/>
              </w:rPr>
              <w:t>°</w:t>
            </w:r>
          </w:p>
        </w:tc>
      </w:tr>
      <w:tr w:rsidR="005D4F07" w14:paraId="12FE0586" w14:textId="77777777">
        <w:tc>
          <w:tcPr>
            <w:tcW w:w="1129" w:type="dxa"/>
            <w:tcBorders>
              <w:top w:val="single" w:sz="12" w:space="0" w:color="auto"/>
            </w:tcBorders>
          </w:tcPr>
          <w:p w14:paraId="790D2A5B" w14:textId="77777777" w:rsidR="005D4F07" w:rsidRDefault="003E066B">
            <w:pPr>
              <w:rPr>
                <w:rFonts w:ascii="Calibri" w:eastAsia="宋体" w:hAnsi="Calibri" w:cs="Times New Roman"/>
              </w:rPr>
            </w:pPr>
            <w:r>
              <w:rPr>
                <w:rFonts w:ascii="Times New Roman" w:eastAsia="宋体" w:hAnsi="Times New Roman" w:cs="Times New Roman" w:hint="eastAsia"/>
                <w:bCs/>
                <w:kern w:val="0"/>
                <w:szCs w:val="21"/>
              </w:rPr>
              <w:t>5mm</w:t>
            </w:r>
          </w:p>
        </w:tc>
        <w:tc>
          <w:tcPr>
            <w:tcW w:w="851" w:type="dxa"/>
            <w:vMerge w:val="restart"/>
            <w:tcBorders>
              <w:top w:val="single" w:sz="12" w:space="0" w:color="auto"/>
            </w:tcBorders>
            <w:vAlign w:val="center"/>
          </w:tcPr>
          <w:p w14:paraId="091ED275" w14:textId="77777777" w:rsidR="005D4F07" w:rsidRDefault="003E066B">
            <w:pPr>
              <w:rPr>
                <w:rFonts w:ascii="Times New Roman" w:eastAsia="宋体" w:hAnsi="Times New Roman" w:cs="Times New Roman"/>
                <w:bCs/>
                <w:kern w:val="0"/>
                <w:szCs w:val="21"/>
              </w:rPr>
            </w:pPr>
            <w:r>
              <w:rPr>
                <w:rFonts w:ascii="Calibri" w:eastAsia="宋体" w:hAnsi="Calibri" w:cs="Times New Roman" w:hint="eastAsia"/>
              </w:rPr>
              <w:t>功率值</w:t>
            </w:r>
          </w:p>
        </w:tc>
        <w:tc>
          <w:tcPr>
            <w:tcW w:w="1701" w:type="dxa"/>
            <w:tcBorders>
              <w:top w:val="single" w:sz="12" w:space="0" w:color="auto"/>
            </w:tcBorders>
          </w:tcPr>
          <w:p w14:paraId="7E7C8D78" w14:textId="77777777" w:rsidR="005D4F07" w:rsidRDefault="003E066B">
            <w:pPr>
              <w:rPr>
                <w:rFonts w:ascii="Times New Roman" w:eastAsia="宋体" w:hAnsi="Times New Roman" w:cs="Times New Roman"/>
                <w:bCs/>
                <w:kern w:val="0"/>
                <w:szCs w:val="21"/>
              </w:rPr>
            </w:pPr>
            <w:r>
              <w:rPr>
                <w:rFonts w:ascii="Calibri" w:eastAsia="宋体" w:hAnsi="Calibri" w:cs="Times New Roman"/>
              </w:rPr>
              <w:t>-7.2</w:t>
            </w:r>
            <w:r>
              <w:rPr>
                <w:rFonts w:ascii="Calibri" w:eastAsia="宋体" w:hAnsi="Calibri" w:cs="Times New Roman" w:hint="eastAsia"/>
              </w:rPr>
              <w:t>dBm</w:t>
            </w:r>
          </w:p>
        </w:tc>
        <w:tc>
          <w:tcPr>
            <w:tcW w:w="1701" w:type="dxa"/>
            <w:tcBorders>
              <w:top w:val="single" w:sz="12" w:space="0" w:color="auto"/>
            </w:tcBorders>
          </w:tcPr>
          <w:p w14:paraId="0B4C32ED" w14:textId="77777777" w:rsidR="005D4F07" w:rsidRDefault="003E066B">
            <w:pPr>
              <w:rPr>
                <w:rFonts w:ascii="Times New Roman" w:eastAsia="宋体" w:hAnsi="Times New Roman" w:cs="Times New Roman"/>
                <w:bCs/>
                <w:kern w:val="0"/>
                <w:szCs w:val="21"/>
              </w:rPr>
            </w:pPr>
            <w:r>
              <w:rPr>
                <w:rFonts w:ascii="Calibri" w:eastAsia="宋体" w:hAnsi="Calibri" w:cs="Times New Roman"/>
              </w:rPr>
              <w:t>-6.8</w:t>
            </w:r>
            <w:r>
              <w:rPr>
                <w:rFonts w:ascii="Calibri" w:eastAsia="宋体" w:hAnsi="Calibri" w:cs="Times New Roman" w:hint="eastAsia"/>
              </w:rPr>
              <w:t xml:space="preserve"> dBm</w:t>
            </w:r>
          </w:p>
        </w:tc>
        <w:tc>
          <w:tcPr>
            <w:tcW w:w="3030" w:type="dxa"/>
            <w:tcBorders>
              <w:top w:val="single" w:sz="12" w:space="0" w:color="auto"/>
            </w:tcBorders>
          </w:tcPr>
          <w:p w14:paraId="054A6B2B" w14:textId="77777777" w:rsidR="005D4F07" w:rsidRDefault="003E066B">
            <w:pPr>
              <w:rPr>
                <w:rFonts w:ascii="Times New Roman" w:eastAsia="宋体" w:hAnsi="Times New Roman" w:cs="Times New Roman"/>
                <w:bCs/>
                <w:kern w:val="0"/>
                <w:szCs w:val="21"/>
              </w:rPr>
            </w:pPr>
            <w:r>
              <w:rPr>
                <w:rFonts w:ascii="Calibri" w:eastAsia="宋体" w:hAnsi="Calibri" w:cs="Times New Roman"/>
              </w:rPr>
              <w:t>-8.15</w:t>
            </w:r>
            <w:r>
              <w:rPr>
                <w:rFonts w:ascii="Calibri" w:eastAsia="宋体" w:hAnsi="Calibri" w:cs="Times New Roman" w:hint="eastAsia"/>
              </w:rPr>
              <w:t>dBm</w:t>
            </w:r>
          </w:p>
        </w:tc>
      </w:tr>
      <w:tr w:rsidR="005D4F07" w14:paraId="1CF259CB" w14:textId="77777777">
        <w:tc>
          <w:tcPr>
            <w:tcW w:w="1129" w:type="dxa"/>
          </w:tcPr>
          <w:p w14:paraId="3626A24C" w14:textId="77777777"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10mm</w:t>
            </w:r>
          </w:p>
        </w:tc>
        <w:tc>
          <w:tcPr>
            <w:tcW w:w="851" w:type="dxa"/>
            <w:vMerge/>
          </w:tcPr>
          <w:p w14:paraId="032D156E" w14:textId="77777777" w:rsidR="005D4F07" w:rsidRDefault="005D4F07">
            <w:pPr>
              <w:rPr>
                <w:rFonts w:ascii="Times New Roman" w:eastAsia="宋体" w:hAnsi="Times New Roman" w:cs="Times New Roman"/>
                <w:bCs/>
                <w:kern w:val="0"/>
                <w:szCs w:val="21"/>
              </w:rPr>
            </w:pPr>
          </w:p>
        </w:tc>
        <w:tc>
          <w:tcPr>
            <w:tcW w:w="1701" w:type="dxa"/>
          </w:tcPr>
          <w:p w14:paraId="739BCBF0" w14:textId="77777777" w:rsidR="005D4F07" w:rsidRDefault="003E066B">
            <w:pPr>
              <w:rPr>
                <w:rFonts w:ascii="Times New Roman" w:eastAsia="宋体" w:hAnsi="Times New Roman" w:cs="Times New Roman"/>
                <w:bCs/>
                <w:kern w:val="0"/>
                <w:szCs w:val="21"/>
              </w:rPr>
            </w:pPr>
            <w:r>
              <w:rPr>
                <w:rFonts w:ascii="Calibri" w:eastAsia="宋体" w:hAnsi="Calibri" w:cs="Times New Roman"/>
              </w:rPr>
              <w:t>-7.2</w:t>
            </w:r>
            <w:r>
              <w:rPr>
                <w:rFonts w:ascii="Calibri" w:eastAsia="宋体" w:hAnsi="Calibri" w:cs="Times New Roman" w:hint="eastAsia"/>
              </w:rPr>
              <w:t>5 dBm</w:t>
            </w:r>
          </w:p>
        </w:tc>
        <w:tc>
          <w:tcPr>
            <w:tcW w:w="1701" w:type="dxa"/>
          </w:tcPr>
          <w:p w14:paraId="3AEBB21F" w14:textId="77777777" w:rsidR="005D4F07" w:rsidRDefault="003E066B">
            <w:pPr>
              <w:rPr>
                <w:rFonts w:ascii="Times New Roman" w:eastAsia="宋体" w:hAnsi="Times New Roman" w:cs="Times New Roman"/>
                <w:bCs/>
                <w:kern w:val="0"/>
                <w:szCs w:val="21"/>
              </w:rPr>
            </w:pPr>
            <w:r>
              <w:rPr>
                <w:rFonts w:ascii="Calibri" w:eastAsia="宋体" w:hAnsi="Calibri" w:cs="Times New Roman"/>
              </w:rPr>
              <w:t>-6.8</w:t>
            </w:r>
            <w:r>
              <w:rPr>
                <w:rFonts w:ascii="Calibri" w:eastAsia="宋体" w:hAnsi="Calibri" w:cs="Times New Roman" w:hint="eastAsia"/>
              </w:rPr>
              <w:t>5</w:t>
            </w:r>
            <w:r>
              <w:rPr>
                <w:rFonts w:ascii="Calibri" w:eastAsia="宋体" w:hAnsi="Calibri" w:cs="Times New Roman"/>
              </w:rPr>
              <w:t xml:space="preserve"> dBm</w:t>
            </w:r>
          </w:p>
        </w:tc>
        <w:tc>
          <w:tcPr>
            <w:tcW w:w="3030" w:type="dxa"/>
          </w:tcPr>
          <w:p w14:paraId="7F1D2A72" w14:textId="77777777" w:rsidR="005D4F07" w:rsidRDefault="003E066B">
            <w:pPr>
              <w:rPr>
                <w:rFonts w:ascii="Times New Roman" w:eastAsia="宋体" w:hAnsi="Times New Roman" w:cs="Times New Roman"/>
                <w:bCs/>
                <w:kern w:val="0"/>
                <w:szCs w:val="21"/>
              </w:rPr>
            </w:pPr>
            <w:r>
              <w:rPr>
                <w:rFonts w:ascii="Calibri" w:eastAsia="宋体" w:hAnsi="Calibri" w:cs="Times New Roman"/>
              </w:rPr>
              <w:t>-8.35</w:t>
            </w:r>
            <w:r>
              <w:rPr>
                <w:rFonts w:ascii="Calibri" w:eastAsia="宋体" w:hAnsi="Calibri" w:cs="Times New Roman" w:hint="eastAsia"/>
              </w:rPr>
              <w:t>dBm</w:t>
            </w:r>
          </w:p>
        </w:tc>
      </w:tr>
      <w:tr w:rsidR="005D4F07" w14:paraId="3364250C" w14:textId="77777777">
        <w:tc>
          <w:tcPr>
            <w:tcW w:w="1129" w:type="dxa"/>
          </w:tcPr>
          <w:p w14:paraId="186B7653" w14:textId="77777777"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40mm</w:t>
            </w:r>
          </w:p>
        </w:tc>
        <w:tc>
          <w:tcPr>
            <w:tcW w:w="851" w:type="dxa"/>
            <w:vMerge/>
          </w:tcPr>
          <w:p w14:paraId="6DA6FCC1" w14:textId="77777777" w:rsidR="005D4F07" w:rsidRDefault="005D4F07">
            <w:pPr>
              <w:rPr>
                <w:rFonts w:ascii="Times New Roman" w:eastAsia="宋体" w:hAnsi="Times New Roman" w:cs="Times New Roman"/>
                <w:bCs/>
                <w:kern w:val="0"/>
                <w:szCs w:val="21"/>
              </w:rPr>
            </w:pPr>
          </w:p>
        </w:tc>
        <w:tc>
          <w:tcPr>
            <w:tcW w:w="1701" w:type="dxa"/>
          </w:tcPr>
          <w:p w14:paraId="3A3B7791" w14:textId="77777777" w:rsidR="005D4F07" w:rsidRDefault="003E066B">
            <w:pPr>
              <w:rPr>
                <w:rFonts w:ascii="Times New Roman" w:eastAsia="宋体" w:hAnsi="Times New Roman" w:cs="Times New Roman"/>
                <w:bCs/>
                <w:kern w:val="0"/>
                <w:szCs w:val="21"/>
              </w:rPr>
            </w:pPr>
            <w:r>
              <w:rPr>
                <w:rFonts w:ascii="Calibri" w:eastAsia="宋体" w:hAnsi="Calibri" w:cs="Times New Roman"/>
              </w:rPr>
              <w:t>-7.93</w:t>
            </w:r>
            <w:r>
              <w:rPr>
                <w:rFonts w:ascii="Calibri" w:eastAsia="宋体" w:hAnsi="Calibri" w:cs="Times New Roman" w:hint="eastAsia"/>
              </w:rPr>
              <w:t>dBm</w:t>
            </w:r>
          </w:p>
        </w:tc>
        <w:tc>
          <w:tcPr>
            <w:tcW w:w="1701" w:type="dxa"/>
          </w:tcPr>
          <w:p w14:paraId="1666CE78" w14:textId="77777777" w:rsidR="005D4F07" w:rsidRDefault="003E066B">
            <w:pPr>
              <w:rPr>
                <w:rFonts w:ascii="Times New Roman" w:eastAsia="宋体" w:hAnsi="Times New Roman" w:cs="Times New Roman"/>
                <w:bCs/>
                <w:kern w:val="0"/>
                <w:szCs w:val="21"/>
              </w:rPr>
            </w:pPr>
            <w:r>
              <w:rPr>
                <w:rFonts w:ascii="Calibri" w:eastAsia="宋体" w:hAnsi="Calibri" w:cs="Times New Roman"/>
              </w:rPr>
              <w:t>-6.98</w:t>
            </w:r>
            <w:r>
              <w:rPr>
                <w:rFonts w:ascii="Calibri" w:eastAsia="宋体" w:hAnsi="Calibri" w:cs="Times New Roman" w:hint="eastAsia"/>
              </w:rPr>
              <w:t>dBm</w:t>
            </w:r>
          </w:p>
        </w:tc>
        <w:tc>
          <w:tcPr>
            <w:tcW w:w="3030" w:type="dxa"/>
          </w:tcPr>
          <w:p w14:paraId="010B8E71" w14:textId="77777777" w:rsidR="005D4F07" w:rsidRDefault="003E066B">
            <w:pPr>
              <w:rPr>
                <w:rFonts w:ascii="Times New Roman" w:eastAsia="宋体" w:hAnsi="Times New Roman" w:cs="Times New Roman"/>
                <w:bCs/>
                <w:kern w:val="0"/>
                <w:szCs w:val="21"/>
              </w:rPr>
            </w:pPr>
            <w:r>
              <w:rPr>
                <w:rFonts w:ascii="Calibri" w:eastAsia="宋体" w:hAnsi="Calibri" w:cs="Times New Roman"/>
              </w:rPr>
              <w:t>-10.11</w:t>
            </w:r>
            <w:r>
              <w:rPr>
                <w:rFonts w:ascii="Calibri" w:eastAsia="宋体" w:hAnsi="Calibri" w:cs="Times New Roman" w:hint="eastAsia"/>
              </w:rPr>
              <w:t>dBm</w:t>
            </w:r>
          </w:p>
        </w:tc>
      </w:tr>
      <w:tr w:rsidR="005D4F07" w14:paraId="402E6D5B" w14:textId="77777777">
        <w:tc>
          <w:tcPr>
            <w:tcW w:w="1129" w:type="dxa"/>
            <w:tcBorders>
              <w:bottom w:val="single" w:sz="12" w:space="0" w:color="auto"/>
            </w:tcBorders>
          </w:tcPr>
          <w:p w14:paraId="23EE0658" w14:textId="77777777"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200mm</w:t>
            </w:r>
          </w:p>
        </w:tc>
        <w:tc>
          <w:tcPr>
            <w:tcW w:w="851" w:type="dxa"/>
            <w:vMerge/>
            <w:tcBorders>
              <w:bottom w:val="single" w:sz="12" w:space="0" w:color="auto"/>
            </w:tcBorders>
          </w:tcPr>
          <w:p w14:paraId="7D7619CC" w14:textId="77777777" w:rsidR="005D4F07" w:rsidRDefault="005D4F07">
            <w:pPr>
              <w:rPr>
                <w:rFonts w:ascii="Times New Roman" w:eastAsia="宋体" w:hAnsi="Times New Roman" w:cs="Times New Roman"/>
                <w:bCs/>
                <w:kern w:val="0"/>
                <w:szCs w:val="21"/>
              </w:rPr>
            </w:pPr>
          </w:p>
        </w:tc>
        <w:tc>
          <w:tcPr>
            <w:tcW w:w="1701" w:type="dxa"/>
            <w:tcBorders>
              <w:bottom w:val="single" w:sz="12" w:space="0" w:color="auto"/>
            </w:tcBorders>
          </w:tcPr>
          <w:p w14:paraId="36C895AB" w14:textId="77777777" w:rsidR="005D4F07" w:rsidRDefault="003E066B">
            <w:pPr>
              <w:rPr>
                <w:rFonts w:ascii="Calibri" w:eastAsia="宋体" w:hAnsi="Calibri" w:cs="Times New Roman"/>
              </w:rPr>
            </w:pPr>
            <w:r>
              <w:rPr>
                <w:rFonts w:ascii="Calibri" w:eastAsia="宋体" w:hAnsi="Calibri" w:cs="Times New Roman"/>
              </w:rPr>
              <w:t>-10.24</w:t>
            </w:r>
            <w:r>
              <w:rPr>
                <w:rFonts w:ascii="Calibri" w:eastAsia="宋体" w:hAnsi="Calibri" w:cs="Times New Roman" w:hint="eastAsia"/>
              </w:rPr>
              <w:t>dBm</w:t>
            </w:r>
          </w:p>
        </w:tc>
        <w:tc>
          <w:tcPr>
            <w:tcW w:w="1701" w:type="dxa"/>
            <w:tcBorders>
              <w:bottom w:val="single" w:sz="12" w:space="0" w:color="auto"/>
            </w:tcBorders>
          </w:tcPr>
          <w:p w14:paraId="4822883A" w14:textId="77777777" w:rsidR="005D4F07" w:rsidRDefault="003E066B">
            <w:pPr>
              <w:rPr>
                <w:rFonts w:ascii="Times New Roman" w:eastAsia="宋体" w:hAnsi="Times New Roman" w:cs="Times New Roman"/>
                <w:bCs/>
                <w:kern w:val="0"/>
                <w:szCs w:val="21"/>
              </w:rPr>
            </w:pPr>
            <w:r>
              <w:rPr>
                <w:rFonts w:ascii="Calibri" w:eastAsia="宋体" w:hAnsi="Calibri" w:cs="Times New Roman"/>
              </w:rPr>
              <w:t>-9.5</w:t>
            </w:r>
            <w:r>
              <w:rPr>
                <w:rFonts w:ascii="Calibri" w:eastAsia="宋体" w:hAnsi="Calibri" w:cs="Times New Roman" w:hint="eastAsia"/>
              </w:rPr>
              <w:t>2dBm</w:t>
            </w:r>
          </w:p>
        </w:tc>
        <w:tc>
          <w:tcPr>
            <w:tcW w:w="3030" w:type="dxa"/>
            <w:tcBorders>
              <w:bottom w:val="single" w:sz="12" w:space="0" w:color="auto"/>
            </w:tcBorders>
          </w:tcPr>
          <w:p w14:paraId="6FD1015E" w14:textId="77777777" w:rsidR="005D4F07" w:rsidRDefault="003E066B">
            <w:pPr>
              <w:rPr>
                <w:rFonts w:ascii="Times New Roman" w:eastAsia="宋体" w:hAnsi="Times New Roman" w:cs="Times New Roman"/>
                <w:bCs/>
                <w:kern w:val="0"/>
                <w:szCs w:val="21"/>
              </w:rPr>
            </w:pPr>
            <w:r>
              <w:rPr>
                <w:rFonts w:ascii="Calibri" w:eastAsia="宋体" w:hAnsi="Calibri" w:cs="Times New Roman"/>
              </w:rPr>
              <w:t>-14.44</w:t>
            </w:r>
            <w:r>
              <w:rPr>
                <w:rFonts w:ascii="Calibri" w:eastAsia="宋体" w:hAnsi="Calibri" w:cs="Times New Roman" w:hint="eastAsia"/>
              </w:rPr>
              <w:t>dBm</w:t>
            </w:r>
          </w:p>
        </w:tc>
      </w:tr>
    </w:tbl>
    <w:p w14:paraId="04157D23" w14:textId="77777777" w:rsidR="005D4F07" w:rsidRDefault="005D4F07" w:rsidP="006256B4">
      <w:pPr>
        <w:rPr>
          <w:rFonts w:ascii="Times New Roman" w:eastAsia="宋体" w:hAnsi="Times New Roman" w:cs="Times New Roman"/>
          <w:bCs/>
          <w:kern w:val="0"/>
          <w:szCs w:val="21"/>
        </w:rPr>
      </w:pPr>
    </w:p>
    <w:p w14:paraId="476E5D4A" w14:textId="37FD9E91" w:rsidR="005D4F07" w:rsidRDefault="003E066B" w:rsidP="003C2EEA">
      <w:pPr>
        <w:pStyle w:val="af9"/>
        <w:numPr>
          <w:ilvl w:val="0"/>
          <w:numId w:val="13"/>
        </w:numPr>
        <w:rPr>
          <w:rFonts w:ascii="Times New Roman" w:eastAsia="宋体" w:hAnsi="Times New Roman" w:cs="Times New Roman"/>
          <w:b/>
          <w:sz w:val="24"/>
          <w:szCs w:val="24"/>
        </w:rPr>
      </w:pPr>
      <w:r>
        <w:rPr>
          <w:rFonts w:ascii="Times New Roman" w:eastAsia="宋体" w:hAnsi="Times New Roman" w:cs="Times New Roman" w:hint="eastAsia"/>
          <w:b/>
          <w:sz w:val="24"/>
          <w:szCs w:val="24"/>
        </w:rPr>
        <w:t>实验</w:t>
      </w:r>
      <w:r w:rsidR="00CA2DC5">
        <w:rPr>
          <w:rFonts w:ascii="Times New Roman" w:eastAsia="宋体" w:hAnsi="Times New Roman" w:cs="Times New Roman" w:hint="eastAsia"/>
          <w:b/>
          <w:sz w:val="24"/>
          <w:szCs w:val="24"/>
        </w:rPr>
        <w:t>验证与性能</w:t>
      </w:r>
      <w:r w:rsidR="00CA2DC5">
        <w:rPr>
          <w:rFonts w:ascii="Times New Roman" w:eastAsia="宋体" w:hAnsi="Times New Roman" w:cs="Times New Roman"/>
          <w:b/>
          <w:sz w:val="24"/>
          <w:szCs w:val="24"/>
        </w:rPr>
        <w:t>分析</w:t>
      </w:r>
    </w:p>
    <w:p w14:paraId="17B90349" w14:textId="7C7A3F75" w:rsidR="00784CC0" w:rsidRPr="007F6B3A" w:rsidRDefault="007F6B3A" w:rsidP="007F6B3A">
      <w:pPr>
        <w:ind w:firstLineChars="200" w:firstLine="420"/>
        <w:rPr>
          <w:rFonts w:ascii="Times New Roman" w:eastAsia="宋体" w:hAnsi="Times New Roman" w:cs="Times New Roman"/>
          <w:bCs/>
          <w:kern w:val="0"/>
          <w:szCs w:val="21"/>
        </w:rPr>
      </w:pPr>
      <w:commentRangeStart w:id="4"/>
      <w:commentRangeEnd w:id="4"/>
      <w:r w:rsidRPr="007F6B3A">
        <w:rPr>
          <w:rFonts w:ascii="Times New Roman" w:eastAsia="宋体" w:hAnsi="Times New Roman" w:cs="Times New Roman" w:hint="eastAsia"/>
          <w:bCs/>
          <w:kern w:val="0"/>
          <w:szCs w:val="21"/>
        </w:rPr>
        <w:t>本实验通过在地面上对发射与接收端的光机进行平移、旋转等操作，并通过功率计等测量其发射端与接收端的功率密度以验证光机在极限位置下的通信能力。</w:t>
      </w:r>
    </w:p>
    <w:p w14:paraId="6FFDB4D9" w14:textId="77777777" w:rsidR="005D4F07" w:rsidRDefault="003E066B">
      <w:pPr>
        <w:pStyle w:val="21"/>
        <w:numPr>
          <w:ilvl w:val="0"/>
          <w:numId w:val="6"/>
        </w:numPr>
        <w:jc w:val="left"/>
      </w:pPr>
      <w:r>
        <w:rPr>
          <w:rFonts w:hint="eastAsia"/>
        </w:rPr>
        <w:t>多自由度耦合震动实验</w:t>
      </w:r>
    </w:p>
    <w:p w14:paraId="730FE848" w14:textId="68B10FA6"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设备搭载于舱内以代替接口插头，并且采用固定安装方式进行安装。然而，在任务进行中，由于存在多自由度的耦合震动，如接收与发射端因震动下相距变远、接收与发射端角度发生偏转以及接收与发射端发生偏置等情况，以及上述几种情况同时发生。故本次将多自由度的耦合震动划分为</w:t>
      </w:r>
      <w:r>
        <w:rPr>
          <w:rFonts w:ascii="Times New Roman" w:eastAsia="宋体" w:hAnsi="Times New Roman" w:cs="Times New Roman" w:hint="eastAsia"/>
          <w:bCs/>
          <w:kern w:val="0"/>
          <w:szCs w:val="21"/>
        </w:rPr>
        <w:t>3</w:t>
      </w:r>
      <w:r>
        <w:rPr>
          <w:rFonts w:ascii="Times New Roman" w:eastAsia="宋体" w:hAnsi="Times New Roman" w:cs="Times New Roman" w:hint="eastAsia"/>
          <w:bCs/>
          <w:kern w:val="0"/>
          <w:szCs w:val="21"/>
        </w:rPr>
        <w:t>类并将其命名为接收与发射端在</w:t>
      </w:r>
      <w:r>
        <w:rPr>
          <w:rFonts w:ascii="Times New Roman" w:eastAsia="宋体" w:hAnsi="Times New Roman" w:cs="Times New Roman" w:hint="eastAsia"/>
          <w:bCs/>
          <w:kern w:val="0"/>
          <w:szCs w:val="21"/>
        </w:rPr>
        <w:t>X</w:t>
      </w:r>
      <w:r>
        <w:rPr>
          <w:rFonts w:ascii="Times New Roman" w:eastAsia="宋体" w:hAnsi="Times New Roman" w:cs="Times New Roman" w:hint="eastAsia"/>
          <w:bCs/>
          <w:kern w:val="0"/>
          <w:szCs w:val="21"/>
        </w:rPr>
        <w:t>轴相距变远、接收与发射端在</w:t>
      </w:r>
      <w:r>
        <w:rPr>
          <w:rFonts w:ascii="Times New Roman" w:eastAsia="宋体" w:hAnsi="Times New Roman" w:cs="Times New Roman" w:hint="eastAsia"/>
          <w:bCs/>
          <w:kern w:val="0"/>
          <w:szCs w:val="21"/>
        </w:rPr>
        <w:t>Y</w:t>
      </w:r>
      <w:r w:rsidR="003D2B29">
        <w:rPr>
          <w:rFonts w:ascii="Times New Roman" w:eastAsia="宋体" w:hAnsi="Times New Roman" w:cs="Times New Roman" w:hint="eastAsia"/>
          <w:bCs/>
          <w:kern w:val="0"/>
          <w:szCs w:val="21"/>
        </w:rPr>
        <w:t>轴相距变远以及接收与发射端发生偏转，如</w:t>
      </w:r>
      <w:r>
        <w:rPr>
          <w:rFonts w:ascii="Times New Roman" w:eastAsia="宋体" w:hAnsi="Times New Roman" w:cs="Times New Roman" w:hint="eastAsia"/>
          <w:bCs/>
          <w:kern w:val="0"/>
          <w:szCs w:val="21"/>
        </w:rPr>
        <w:t>图</w:t>
      </w:r>
      <w:r w:rsidR="007F6B3A">
        <w:rPr>
          <w:rFonts w:ascii="Times New Roman" w:eastAsia="宋体" w:hAnsi="Times New Roman" w:cs="Times New Roman" w:hint="eastAsia"/>
          <w:bCs/>
          <w:kern w:val="0"/>
          <w:szCs w:val="21"/>
        </w:rPr>
        <w:t>6</w:t>
      </w:r>
      <w:r>
        <w:rPr>
          <w:rFonts w:ascii="Times New Roman" w:eastAsia="宋体" w:hAnsi="Times New Roman" w:cs="Times New Roman" w:hint="eastAsia"/>
          <w:bCs/>
          <w:kern w:val="0"/>
          <w:szCs w:val="21"/>
        </w:rPr>
        <w:t>所示。</w:t>
      </w:r>
    </w:p>
    <w:p w14:paraId="7B03E021" w14:textId="6E792555" w:rsidR="00F840CB" w:rsidRDefault="00F840CB" w:rsidP="00F840CB">
      <w:pPr>
        <w:ind w:firstLineChars="200" w:firstLine="420"/>
        <w:jc w:val="center"/>
        <w:rPr>
          <w:rFonts w:ascii="Times New Roman" w:eastAsia="宋体" w:hAnsi="Times New Roman" w:cs="Times New Roman"/>
          <w:bCs/>
          <w:kern w:val="0"/>
          <w:szCs w:val="21"/>
        </w:rPr>
      </w:pPr>
      <w:r>
        <w:rPr>
          <w:rFonts w:hint="eastAsia"/>
        </w:rPr>
        <w:object w:dxaOrig="5631" w:dyaOrig="3681" w14:anchorId="5EC9601D">
          <v:shape id="_x0000_i1030" type="#_x0000_t75" style="width:281.5pt;height:184pt" o:ole="">
            <v:imagedata r:id="rId17" o:title=""/>
          </v:shape>
          <o:OLEObject Type="Embed" ProgID="Visio.Drawing.15" ShapeID="_x0000_i1030" DrawAspect="Content" ObjectID="_1813586983" r:id="rId18"/>
        </w:object>
      </w:r>
    </w:p>
    <w:p w14:paraId="7D86540C" w14:textId="1C231752" w:rsidR="005D4F07" w:rsidRPr="007F6B3A" w:rsidRDefault="003E066B">
      <w:pPr>
        <w:numPr>
          <w:ilvl w:val="0"/>
          <w:numId w:val="1"/>
        </w:numPr>
        <w:ind w:left="0"/>
        <w:jc w:val="center"/>
        <w:rPr>
          <w:rFonts w:ascii="Times New Roman" w:eastAsia="宋体" w:hAnsi="Times New Roman" w:cs="Times New Roman"/>
          <w:b/>
          <w:sz w:val="15"/>
          <w:szCs w:val="15"/>
        </w:rPr>
      </w:pPr>
      <w:r w:rsidRPr="007F6B3A">
        <w:rPr>
          <w:rFonts w:ascii="Times New Roman" w:eastAsia="宋体" w:hAnsi="Times New Roman" w:cs="Times New Roman" w:hint="eastAsia"/>
          <w:b/>
          <w:sz w:val="15"/>
          <w:szCs w:val="15"/>
        </w:rPr>
        <w:t>偏移范围测试图</w:t>
      </w:r>
    </w:p>
    <w:p w14:paraId="058075EF" w14:textId="77777777" w:rsidR="005D4F07" w:rsidRDefault="003E066B">
      <w:pPr>
        <w:pStyle w:val="21"/>
        <w:numPr>
          <w:ilvl w:val="0"/>
          <w:numId w:val="6"/>
        </w:numPr>
        <w:jc w:val="left"/>
      </w:pPr>
      <w:r>
        <w:rPr>
          <w:rFonts w:hint="eastAsia"/>
        </w:rPr>
        <w:t>实验结果</w:t>
      </w:r>
    </w:p>
    <w:p w14:paraId="2C38F2F2" w14:textId="304F1586" w:rsidR="005D4F07" w:rsidRDefault="003E066B">
      <w:pPr>
        <w:jc w:val="left"/>
        <w:rPr>
          <w:rFonts w:ascii="Times New Roman" w:eastAsia="宋体" w:hAnsi="Times New Roman" w:cs="Times New Roman"/>
          <w:bCs/>
          <w:kern w:val="0"/>
          <w:szCs w:val="21"/>
        </w:rPr>
      </w:pPr>
      <w:r>
        <w:rPr>
          <w:rFonts w:ascii="Times New Roman" w:eastAsia="宋体" w:hAnsi="Times New Roman" w:cs="Times New Roman"/>
          <w:bCs/>
          <w:kern w:val="0"/>
          <w:szCs w:val="21"/>
        </w:rPr>
        <w:tab/>
      </w:r>
      <w:r>
        <w:rPr>
          <w:rFonts w:ascii="Times New Roman" w:eastAsia="宋体" w:hAnsi="Times New Roman" w:cs="Times New Roman" w:hint="eastAsia"/>
          <w:bCs/>
          <w:kern w:val="0"/>
          <w:szCs w:val="21"/>
        </w:rPr>
        <w:t>在常温下，且将接收与发射端设备摆放于震动发生时的极限位置，测试结果如图</w:t>
      </w:r>
      <w:r w:rsidR="003D2B29">
        <w:rPr>
          <w:rFonts w:ascii="Times New Roman" w:eastAsia="宋体" w:hAnsi="Times New Roman" w:cs="Times New Roman"/>
          <w:bCs/>
          <w:kern w:val="0"/>
          <w:szCs w:val="21"/>
        </w:rPr>
        <w:t>7</w:t>
      </w:r>
      <w:r>
        <w:rPr>
          <w:rFonts w:ascii="Times New Roman" w:eastAsia="宋体" w:hAnsi="Times New Roman" w:cs="Times New Roman" w:hint="eastAsia"/>
          <w:bCs/>
          <w:kern w:val="0"/>
          <w:szCs w:val="21"/>
        </w:rPr>
        <w:t>所示。</w:t>
      </w:r>
    </w:p>
    <w:p w14:paraId="5A5A1315" w14:textId="4412692F" w:rsidR="00C81CA8" w:rsidRDefault="00C81CA8">
      <w:pPr>
        <w:jc w:val="center"/>
        <w:rPr>
          <w:rFonts w:ascii="Times New Roman" w:eastAsia="宋体" w:hAnsi="Times New Roman" w:cs="Times New Roman"/>
          <w:bCs/>
          <w:kern w:val="0"/>
          <w:szCs w:val="21"/>
        </w:rPr>
      </w:pPr>
      <w:r w:rsidRPr="00C81CA8">
        <w:rPr>
          <w:rFonts w:ascii="Times New Roman" w:eastAsia="宋体" w:hAnsi="Times New Roman" w:cs="Times New Roman"/>
          <w:bCs/>
          <w:noProof/>
          <w:kern w:val="0"/>
          <w:szCs w:val="21"/>
        </w:rPr>
        <w:lastRenderedPageBreak/>
        <w:drawing>
          <wp:inline distT="0" distB="0" distL="0" distR="0" wp14:anchorId="780E6C8D" wp14:editId="4D5D4A07">
            <wp:extent cx="5015725" cy="4023360"/>
            <wp:effectExtent l="0" t="0" r="0" b="0"/>
            <wp:docPr id="12260773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1428" cy="4027934"/>
                    </a:xfrm>
                    <a:prstGeom prst="rect">
                      <a:avLst/>
                    </a:prstGeom>
                    <a:noFill/>
                    <a:ln>
                      <a:noFill/>
                    </a:ln>
                  </pic:spPr>
                </pic:pic>
              </a:graphicData>
            </a:graphic>
          </wp:inline>
        </w:drawing>
      </w:r>
    </w:p>
    <w:p w14:paraId="1393381F" w14:textId="77777777" w:rsidR="005D4F07" w:rsidRDefault="003E066B">
      <w:pPr>
        <w:numPr>
          <w:ilvl w:val="0"/>
          <w:numId w:val="1"/>
        </w:numPr>
        <w:ind w:left="0"/>
        <w:jc w:val="center"/>
        <w:rPr>
          <w:rFonts w:ascii="Times New Roman" w:eastAsia="宋体" w:hAnsi="Times New Roman" w:cs="Times New Roman"/>
          <w:b/>
          <w:sz w:val="15"/>
          <w:szCs w:val="15"/>
        </w:rPr>
      </w:pPr>
      <w:r>
        <w:rPr>
          <w:rFonts w:ascii="Times New Roman" w:eastAsia="宋体" w:hAnsi="Times New Roman" w:cs="Times New Roman" w:hint="eastAsia"/>
          <w:b/>
          <w:sz w:val="15"/>
          <w:szCs w:val="15"/>
        </w:rPr>
        <w:t>不同位置下接收端的接收功率</w:t>
      </w:r>
    </w:p>
    <w:p w14:paraId="11DCBC6E" w14:textId="126F578A" w:rsidR="005D4F07" w:rsidRDefault="003E066B">
      <w:pPr>
        <w:jc w:val="left"/>
        <w:rPr>
          <w:rFonts w:ascii="Times New Roman" w:eastAsia="宋体" w:hAnsi="Times New Roman" w:cs="Times New Roman"/>
          <w:bCs/>
          <w:kern w:val="0"/>
          <w:szCs w:val="21"/>
        </w:rPr>
      </w:pPr>
      <w:r>
        <w:rPr>
          <w:rFonts w:ascii="Times New Roman" w:eastAsia="宋体" w:hAnsi="Times New Roman" w:cs="Times New Roman"/>
          <w:bCs/>
          <w:kern w:val="0"/>
          <w:szCs w:val="21"/>
        </w:rPr>
        <w:tab/>
      </w:r>
      <w:r w:rsidR="00C81CA8">
        <w:rPr>
          <w:rFonts w:ascii="Times New Roman" w:eastAsia="宋体" w:hAnsi="Times New Roman" w:cs="Times New Roman" w:hint="eastAsia"/>
          <w:bCs/>
          <w:kern w:val="0"/>
          <w:szCs w:val="21"/>
        </w:rPr>
        <w:t>如图</w:t>
      </w:r>
      <w:r w:rsidR="00C81CA8">
        <w:rPr>
          <w:rFonts w:ascii="Times New Roman" w:eastAsia="宋体" w:hAnsi="Times New Roman" w:cs="Times New Roman" w:hint="eastAsia"/>
          <w:bCs/>
          <w:kern w:val="0"/>
          <w:szCs w:val="21"/>
        </w:rPr>
        <w:t>15(a)(b)</w:t>
      </w:r>
      <w:r w:rsidR="00C81CA8">
        <w:rPr>
          <w:rFonts w:ascii="Times New Roman" w:eastAsia="宋体" w:hAnsi="Times New Roman" w:cs="Times New Roman" w:hint="eastAsia"/>
          <w:bCs/>
          <w:kern w:val="0"/>
          <w:szCs w:val="21"/>
        </w:rPr>
        <w:t>所示</w:t>
      </w:r>
      <w:r>
        <w:rPr>
          <w:rFonts w:ascii="Times New Roman" w:eastAsia="宋体" w:hAnsi="Times New Roman" w:cs="Times New Roman" w:hint="eastAsia"/>
          <w:bCs/>
          <w:kern w:val="0"/>
          <w:szCs w:val="21"/>
        </w:rPr>
        <w:t>，当设备在常温时，仅只有将通信距离拉开才会出现通信功率下降的情况</w:t>
      </w:r>
      <w:r w:rsidR="00C81CA8">
        <w:rPr>
          <w:rFonts w:ascii="Times New Roman" w:eastAsia="宋体" w:hAnsi="Times New Roman" w:cs="Times New Roman" w:hint="eastAsia"/>
          <w:bCs/>
          <w:kern w:val="0"/>
          <w:szCs w:val="21"/>
        </w:rPr>
        <w:t>，而在相同通信距离的情况下，将角度进行旋转其功率值降低没有通信距离拉开那么明显</w:t>
      </w:r>
      <w:r>
        <w:rPr>
          <w:rFonts w:ascii="Times New Roman" w:eastAsia="宋体" w:hAnsi="Times New Roman" w:cs="Times New Roman" w:hint="eastAsia"/>
          <w:bCs/>
          <w:kern w:val="0"/>
          <w:szCs w:val="21"/>
        </w:rPr>
        <w:t>。</w:t>
      </w:r>
      <w:r w:rsidR="00C81CA8">
        <w:rPr>
          <w:rFonts w:ascii="Times New Roman" w:eastAsia="宋体" w:hAnsi="Times New Roman" w:cs="Times New Roman" w:hint="eastAsia"/>
          <w:bCs/>
          <w:kern w:val="0"/>
          <w:szCs w:val="21"/>
        </w:rPr>
        <w:t>在</w:t>
      </w:r>
      <w:r w:rsidR="00C81CA8">
        <w:rPr>
          <w:rFonts w:ascii="Times New Roman" w:eastAsia="宋体" w:hAnsi="Times New Roman" w:cs="Times New Roman" w:hint="eastAsia"/>
          <w:bCs/>
          <w:kern w:val="0"/>
          <w:szCs w:val="21"/>
        </w:rPr>
        <w:t>(c)</w:t>
      </w:r>
      <w:r w:rsidR="00883081">
        <w:rPr>
          <w:rFonts w:ascii="Times New Roman" w:eastAsia="宋体" w:hAnsi="Times New Roman" w:cs="Times New Roman" w:hint="eastAsia"/>
          <w:bCs/>
          <w:kern w:val="0"/>
          <w:szCs w:val="21"/>
        </w:rPr>
        <w:t>中</w:t>
      </w:r>
      <w:r>
        <w:rPr>
          <w:rFonts w:ascii="Times New Roman" w:eastAsia="宋体" w:hAnsi="Times New Roman" w:cs="Times New Roman" w:hint="eastAsia"/>
          <w:bCs/>
          <w:kern w:val="0"/>
          <w:szCs w:val="21"/>
        </w:rPr>
        <w:t>其角度偏移和垂直位置也进行偏移对设备的通信功能影响不大，这得益于较大的束散角。当束散角比较大时，若发射端出现较大的偏移，其发射端发射的信号光束仍能打在接收端的端机，并进行通信。而当将接收与发射端位置拉开时，由于光在大气种的衰减随着距离增加而增加，故当通信距离增加后其接收功率也相应的减少。但是，当发射与接收端位置均在极限位置时，其依然能满足较大的通信功率并未无误码。</w:t>
      </w:r>
    </w:p>
    <w:p w14:paraId="5C358028" w14:textId="77777777" w:rsidR="005D4F07" w:rsidRDefault="005D4F07">
      <w:pPr>
        <w:jc w:val="left"/>
        <w:rPr>
          <w:rFonts w:ascii="Times New Roman" w:eastAsia="宋体" w:hAnsi="Times New Roman" w:cs="Times New Roman"/>
          <w:bCs/>
          <w:kern w:val="0"/>
          <w:szCs w:val="21"/>
        </w:rPr>
      </w:pPr>
    </w:p>
    <w:p w14:paraId="0B826137" w14:textId="77777777" w:rsidR="005D4F07" w:rsidRDefault="003E066B" w:rsidP="003C2EEA">
      <w:pPr>
        <w:pStyle w:val="af9"/>
        <w:numPr>
          <w:ilvl w:val="0"/>
          <w:numId w:val="13"/>
        </w:numPr>
        <w:rPr>
          <w:rFonts w:ascii="Times New Roman" w:eastAsia="宋体" w:hAnsi="Times New Roman" w:cs="Times New Roman"/>
          <w:b/>
          <w:sz w:val="24"/>
          <w:szCs w:val="24"/>
        </w:rPr>
      </w:pPr>
      <w:r>
        <w:rPr>
          <w:rFonts w:ascii="Times New Roman" w:eastAsia="宋体" w:hAnsi="Times New Roman" w:cs="Times New Roman" w:hint="eastAsia"/>
          <w:b/>
          <w:sz w:val="24"/>
          <w:szCs w:val="24"/>
        </w:rPr>
        <w:t>结论</w:t>
      </w:r>
    </w:p>
    <w:p w14:paraId="23D836ED"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本文设计了一种适用于多自由度耦合震动环境下的近距激光通信系统，旨在解决传统机械接口在极端环境下稳定性不足的问题。该系统通过创新的光学设计、材料选择，实现了在强震动等复杂条件下的高可靠性通信。具体而言，舱段间的激光通信通过增加束散角来有效缓解多自由度耦合震动对通信质量的影响。此外，系统还引入了自适应光学调节机制，能够实时补偿因震动和温度变化引起的光路偏移，进一步提升通信稳定性。</w:t>
      </w:r>
    </w:p>
    <w:p w14:paraId="38BFE190"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在光学设计方面，本文基于</w:t>
      </w:r>
      <w:r>
        <w:rPr>
          <w:rFonts w:ascii="Times New Roman" w:eastAsia="宋体" w:hAnsi="Times New Roman" w:cs="Times New Roman" w:hint="eastAsia"/>
          <w:bCs/>
          <w:kern w:val="0"/>
          <w:szCs w:val="21"/>
        </w:rPr>
        <w:t>Zemax</w:t>
      </w:r>
      <w:r>
        <w:rPr>
          <w:rFonts w:ascii="Times New Roman" w:eastAsia="宋体" w:hAnsi="Times New Roman" w:cs="Times New Roman" w:hint="eastAsia"/>
          <w:bCs/>
          <w:kern w:val="0"/>
          <w:szCs w:val="21"/>
        </w:rPr>
        <w:t>光学仿真软件对激光通信系统的光路进行了优化设计。通过仿真分析，确定了最佳束散角范围为</w:t>
      </w:r>
      <w:r>
        <w:rPr>
          <w:rFonts w:ascii="Times New Roman" w:eastAsia="宋体" w:hAnsi="Times New Roman" w:cs="Times New Roman" w:hint="eastAsia"/>
          <w:bCs/>
          <w:kern w:val="0"/>
          <w:szCs w:val="21"/>
        </w:rPr>
        <w:t>0.5</w:t>
      </w:r>
      <w:r>
        <w:rPr>
          <w:rFonts w:ascii="Times New Roman" w:eastAsia="宋体" w:hAnsi="Times New Roman" w:cs="Times New Roman" w:hint="eastAsia"/>
          <w:bCs/>
          <w:kern w:val="0"/>
          <w:szCs w:val="21"/>
        </w:rPr>
        <w:t>°至</w:t>
      </w:r>
      <w:r>
        <w:rPr>
          <w:rFonts w:ascii="Times New Roman" w:eastAsia="宋体" w:hAnsi="Times New Roman" w:cs="Times New Roman" w:hint="eastAsia"/>
          <w:bCs/>
          <w:kern w:val="0"/>
          <w:szCs w:val="21"/>
        </w:rPr>
        <w:t>1.5</w:t>
      </w:r>
      <w:r>
        <w:rPr>
          <w:rFonts w:ascii="Times New Roman" w:eastAsia="宋体" w:hAnsi="Times New Roman" w:cs="Times New Roman" w:hint="eastAsia"/>
          <w:bCs/>
          <w:kern w:val="0"/>
          <w:szCs w:val="21"/>
        </w:rPr>
        <w:t>°，以在保证通信距离的同时最大限度地减少耦合震动对光路的影响。仿真结果表明，当束散角为</w:t>
      </w:r>
      <w:r>
        <w:rPr>
          <w:rFonts w:ascii="Times New Roman" w:eastAsia="宋体" w:hAnsi="Times New Roman" w:cs="Times New Roman" w:hint="eastAsia"/>
          <w:bCs/>
          <w:kern w:val="0"/>
          <w:szCs w:val="21"/>
        </w:rPr>
        <w:t>2.0</w:t>
      </w:r>
      <w:r>
        <w:rPr>
          <w:rFonts w:ascii="Times New Roman" w:eastAsia="宋体" w:hAnsi="Times New Roman" w:cs="Times New Roman" w:hint="eastAsia"/>
          <w:bCs/>
          <w:kern w:val="0"/>
          <w:szCs w:val="21"/>
        </w:rPr>
        <w:t>°时，系统在</w:t>
      </w:r>
      <w:r>
        <w:rPr>
          <w:rFonts w:ascii="Times New Roman" w:eastAsia="宋体" w:hAnsi="Times New Roman" w:cs="Times New Roman" w:hint="eastAsia"/>
          <w:bCs/>
          <w:kern w:val="0"/>
          <w:szCs w:val="21"/>
        </w:rPr>
        <w:t>200mm</w:t>
      </w:r>
      <w:r>
        <w:rPr>
          <w:rFonts w:ascii="Times New Roman" w:eastAsia="宋体" w:hAnsi="Times New Roman" w:cs="Times New Roman" w:hint="eastAsia"/>
          <w:bCs/>
          <w:kern w:val="0"/>
          <w:szCs w:val="21"/>
        </w:rPr>
        <w:t>通信距离下的极端环境中仍然能满足通信要求，且光斑直径控制在</w:t>
      </w:r>
      <w:r>
        <w:rPr>
          <w:rFonts w:ascii="Times New Roman" w:eastAsia="宋体" w:hAnsi="Times New Roman" w:cs="Times New Roman" w:hint="eastAsia"/>
          <w:bCs/>
          <w:kern w:val="0"/>
          <w:szCs w:val="21"/>
        </w:rPr>
        <w:t>2mm</w:t>
      </w:r>
      <w:r>
        <w:rPr>
          <w:rFonts w:ascii="Times New Roman" w:eastAsia="宋体" w:hAnsi="Times New Roman" w:cs="Times New Roman" w:hint="eastAsia"/>
          <w:bCs/>
          <w:kern w:val="0"/>
          <w:szCs w:val="21"/>
        </w:rPr>
        <w:t>以内，满足接收端的光电探测需求。此外，仿真还验证了在不同偏转角度</w:t>
      </w:r>
      <w:r>
        <w:rPr>
          <w:rFonts w:ascii="Times New Roman" w:eastAsia="宋体" w:hAnsi="Times New Roman" w:cs="Times New Roman" w:hint="eastAsia"/>
          <w:bCs/>
          <w:kern w:val="0"/>
          <w:szCs w:val="21"/>
        </w:rPr>
        <w:t>(0</w:t>
      </w:r>
      <w:r>
        <w:rPr>
          <w:rFonts w:ascii="Times New Roman" w:eastAsia="宋体" w:hAnsi="Times New Roman" w:cs="Times New Roman" w:hint="eastAsia"/>
          <w:bCs/>
          <w:kern w:val="0"/>
          <w:szCs w:val="21"/>
        </w:rPr>
        <w:t>°至</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和垂直偏置</w:t>
      </w:r>
      <w:r>
        <w:rPr>
          <w:rFonts w:ascii="Times New Roman" w:eastAsia="宋体" w:hAnsi="Times New Roman" w:cs="Times New Roman" w:hint="eastAsia"/>
          <w:bCs/>
          <w:kern w:val="0"/>
          <w:szCs w:val="21"/>
        </w:rPr>
        <w:t>(0mm</w:t>
      </w:r>
      <w:r>
        <w:rPr>
          <w:rFonts w:ascii="Times New Roman" w:eastAsia="宋体" w:hAnsi="Times New Roman" w:cs="Times New Roman" w:hint="eastAsia"/>
          <w:bCs/>
          <w:kern w:val="0"/>
          <w:szCs w:val="21"/>
        </w:rPr>
        <w:t>至</w:t>
      </w:r>
      <w:r>
        <w:rPr>
          <w:rFonts w:ascii="Times New Roman" w:eastAsia="宋体" w:hAnsi="Times New Roman" w:cs="Times New Roman" w:hint="eastAsia"/>
          <w:bCs/>
          <w:kern w:val="0"/>
          <w:szCs w:val="21"/>
        </w:rPr>
        <w:t>10mm)</w:t>
      </w:r>
      <w:r>
        <w:rPr>
          <w:rFonts w:ascii="Times New Roman" w:eastAsia="宋体" w:hAnsi="Times New Roman" w:cs="Times New Roman" w:hint="eastAsia"/>
          <w:bCs/>
          <w:kern w:val="0"/>
          <w:szCs w:val="21"/>
        </w:rPr>
        <w:t>条件下，系统的光路稳定性和接收功率的变化规律。仿真结果显示，当角度偏移为</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°时，光斑中心偏移量小于</w:t>
      </w:r>
      <w:r>
        <w:rPr>
          <w:rFonts w:ascii="Times New Roman" w:eastAsia="宋体" w:hAnsi="Times New Roman" w:cs="Times New Roman" w:hint="eastAsia"/>
          <w:bCs/>
          <w:kern w:val="0"/>
          <w:szCs w:val="21"/>
        </w:rPr>
        <w:t>0.5mm</w:t>
      </w:r>
      <w:r>
        <w:rPr>
          <w:rFonts w:ascii="Times New Roman" w:eastAsia="宋体" w:hAnsi="Times New Roman" w:cs="Times New Roman" w:hint="eastAsia"/>
          <w:bCs/>
          <w:kern w:val="0"/>
          <w:szCs w:val="21"/>
        </w:rPr>
        <w:t>，接收功率仅下降约</w:t>
      </w:r>
      <w:r>
        <w:rPr>
          <w:rFonts w:ascii="Times New Roman" w:eastAsia="宋体" w:hAnsi="Times New Roman" w:cs="Times New Roman" w:hint="eastAsia"/>
          <w:bCs/>
          <w:kern w:val="0"/>
          <w:szCs w:val="21"/>
        </w:rPr>
        <w:t>1.2dB</w:t>
      </w:r>
      <w:r>
        <w:rPr>
          <w:rFonts w:ascii="Times New Roman" w:eastAsia="宋体" w:hAnsi="Times New Roman" w:cs="Times New Roman" w:hint="eastAsia"/>
          <w:bCs/>
          <w:kern w:val="0"/>
          <w:szCs w:val="21"/>
        </w:rPr>
        <w:t>，表明系统具有较强的抗偏转能力。</w:t>
      </w:r>
    </w:p>
    <w:p w14:paraId="343D2562"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实验结果表明，在极端情况下，当接收端与发射端之间的距离超过</w:t>
      </w:r>
      <w:r>
        <w:rPr>
          <w:rFonts w:ascii="Times New Roman" w:eastAsia="宋体" w:hAnsi="Times New Roman" w:cs="Times New Roman" w:hint="eastAsia"/>
          <w:bCs/>
          <w:kern w:val="0"/>
          <w:szCs w:val="21"/>
        </w:rPr>
        <w:t>200mm</w:t>
      </w:r>
      <w:r>
        <w:rPr>
          <w:rFonts w:ascii="Times New Roman" w:eastAsia="宋体" w:hAnsi="Times New Roman" w:cs="Times New Roman" w:hint="eastAsia"/>
          <w:bCs/>
          <w:kern w:val="0"/>
          <w:szCs w:val="21"/>
        </w:rPr>
        <w:t>时，接收功</w:t>
      </w:r>
      <w:r>
        <w:rPr>
          <w:rFonts w:ascii="Times New Roman" w:eastAsia="宋体" w:hAnsi="Times New Roman" w:cs="Times New Roman" w:hint="eastAsia"/>
          <w:bCs/>
          <w:kern w:val="0"/>
          <w:szCs w:val="21"/>
        </w:rPr>
        <w:lastRenderedPageBreak/>
        <w:t>率仍能保持在</w:t>
      </w:r>
      <w:r>
        <w:rPr>
          <w:rFonts w:ascii="Times New Roman" w:eastAsia="宋体" w:hAnsi="Times New Roman" w:cs="Times New Roman" w:hint="eastAsia"/>
          <w:bCs/>
          <w:kern w:val="0"/>
          <w:szCs w:val="21"/>
        </w:rPr>
        <w:t>-8.88dBm</w:t>
      </w:r>
      <w:r>
        <w:rPr>
          <w:rFonts w:ascii="Times New Roman" w:eastAsia="宋体" w:hAnsi="Times New Roman" w:cs="Times New Roman" w:hint="eastAsia"/>
          <w:bCs/>
          <w:kern w:val="0"/>
          <w:szCs w:val="21"/>
        </w:rPr>
        <w:t>。此外，当角度偏移达到</w:t>
      </w:r>
      <w:r>
        <w:rPr>
          <w:rFonts w:ascii="Times New Roman" w:eastAsia="宋体" w:hAnsi="Times New Roman" w:cs="Times New Roman" w:hint="eastAsia"/>
          <w:bCs/>
          <w:kern w:val="0"/>
          <w:szCs w:val="21"/>
        </w:rPr>
        <w:t>20</w:t>
      </w:r>
      <w:r>
        <w:rPr>
          <w:rFonts w:ascii="Times New Roman" w:eastAsia="宋体" w:hAnsi="Times New Roman" w:cs="Times New Roman" w:hint="eastAsia"/>
          <w:bCs/>
          <w:kern w:val="0"/>
          <w:szCs w:val="21"/>
        </w:rPr>
        <w:t>°时，即使通信距离超过</w:t>
      </w:r>
      <w:r>
        <w:rPr>
          <w:rFonts w:ascii="Times New Roman" w:eastAsia="宋体" w:hAnsi="Times New Roman" w:cs="Times New Roman" w:hint="eastAsia"/>
          <w:bCs/>
          <w:kern w:val="0"/>
          <w:szCs w:val="21"/>
        </w:rPr>
        <w:t>200mm</w:t>
      </w:r>
      <w:r>
        <w:rPr>
          <w:rFonts w:ascii="Times New Roman" w:eastAsia="宋体" w:hAnsi="Times New Roman" w:cs="Times New Roman" w:hint="eastAsia"/>
          <w:bCs/>
          <w:kern w:val="0"/>
          <w:szCs w:val="21"/>
        </w:rPr>
        <w:t>，接收端的接收功率仍能维持在</w:t>
      </w:r>
      <w:r>
        <w:rPr>
          <w:rFonts w:ascii="Times New Roman" w:eastAsia="宋体" w:hAnsi="Times New Roman" w:cs="Times New Roman" w:hint="eastAsia"/>
          <w:bCs/>
          <w:kern w:val="0"/>
          <w:szCs w:val="21"/>
        </w:rPr>
        <w:t>-10.61dBm</w:t>
      </w:r>
      <w:r>
        <w:rPr>
          <w:rFonts w:ascii="Times New Roman" w:eastAsia="宋体" w:hAnsi="Times New Roman" w:cs="Times New Roman" w:hint="eastAsia"/>
          <w:bCs/>
          <w:kern w:val="0"/>
          <w:szCs w:val="21"/>
        </w:rPr>
        <w:t>。更为重要的是，当通信距离、偏转角度以及垂直偏置同时达到极限位置时，接收端的接收功率仍能保持在</w:t>
      </w:r>
      <w:r>
        <w:rPr>
          <w:rFonts w:ascii="Times New Roman" w:eastAsia="宋体" w:hAnsi="Times New Roman" w:cs="Times New Roman" w:hint="eastAsia"/>
          <w:bCs/>
          <w:kern w:val="0"/>
          <w:szCs w:val="21"/>
        </w:rPr>
        <w:t>-10.84dBm</w:t>
      </w:r>
      <w:r>
        <w:rPr>
          <w:rFonts w:ascii="Times New Roman" w:eastAsia="宋体" w:hAnsi="Times New Roman" w:cs="Times New Roman" w:hint="eastAsia"/>
          <w:bCs/>
          <w:kern w:val="0"/>
          <w:szCs w:val="21"/>
        </w:rPr>
        <w:t>以上，且在</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分钟内实现无误码通信，完全满足设计要求。这一性能得益于系统在光学设计、材料选择以及热控技术方面的综合优化。</w:t>
      </w:r>
    </w:p>
    <w:p w14:paraId="28CFF2CD" w14:textId="77777777" w:rsidR="005D4F07" w:rsidRDefault="003E066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综上所述，本文设计的多自由度耦合震动环境下的近距激光通信系统，不仅在光学性能上表现出色，实现了在极端环境下的高可靠性通信。这一设计为未来航空航天、深海探测以及核工业等领域的激光通信应用提供了重要的技术支撑和参考价值。</w:t>
      </w:r>
    </w:p>
    <w:p w14:paraId="4CA25FEA" w14:textId="77777777" w:rsidR="00862025" w:rsidRDefault="00862025">
      <w:pPr>
        <w:ind w:firstLineChars="200" w:firstLine="420"/>
        <w:rPr>
          <w:rFonts w:ascii="Times New Roman" w:eastAsia="宋体" w:hAnsi="Times New Roman" w:cs="Times New Roman"/>
          <w:bCs/>
          <w:kern w:val="0"/>
          <w:szCs w:val="21"/>
        </w:rPr>
      </w:pPr>
      <w:r w:rsidRPr="001C7302">
        <w:rPr>
          <w:rFonts w:ascii="Times New Roman" w:eastAsia="宋体" w:hAnsi="Times New Roman" w:cs="Times New Roman"/>
          <w:color w:val="404040"/>
          <w:shd w:val="clear" w:color="auto" w:fill="FFFFFF"/>
        </w:rPr>
        <w:t>，通过创新光学设计、材料优化和自适应算法，显著提升了系统的稳定性和可靠性。该研究不仅为极端环境下的激光通信提供了理论支持，对推动商业航天技术发展也具有重要意义</w:t>
      </w:r>
    </w:p>
    <w:p w14:paraId="0C466BC1" w14:textId="77777777" w:rsidR="005F22F7" w:rsidRDefault="005F22F7">
      <w:pPr>
        <w:pStyle w:val="af9"/>
        <w:ind w:left="0"/>
        <w:rPr>
          <w:rFonts w:ascii="Times New Roman" w:eastAsia="宋体" w:hAnsi="Times New Roman" w:cs="Times New Roman"/>
          <w:b/>
          <w:sz w:val="24"/>
          <w:szCs w:val="24"/>
        </w:rPr>
      </w:pPr>
      <w:r w:rsidRPr="005F22F7">
        <w:rPr>
          <w:rFonts w:ascii="Times New Roman" w:eastAsia="宋体" w:hAnsi="Times New Roman" w:cs="Times New Roman" w:hint="eastAsia"/>
          <w:b/>
          <w:noProof/>
          <w:sz w:val="24"/>
          <w:szCs w:val="24"/>
        </w:rPr>
        <w:drawing>
          <wp:anchor distT="0" distB="0" distL="114300" distR="114300" simplePos="0" relativeHeight="251658240" behindDoc="1" locked="0" layoutInCell="1" allowOverlap="1" wp14:anchorId="63CB3B4B" wp14:editId="06AE9716">
            <wp:simplePos x="0" y="0"/>
            <wp:positionH relativeFrom="column">
              <wp:posOffset>4334865</wp:posOffset>
            </wp:positionH>
            <wp:positionV relativeFrom="paragraph">
              <wp:posOffset>134442</wp:posOffset>
            </wp:positionV>
            <wp:extent cx="894715" cy="1194435"/>
            <wp:effectExtent l="0" t="0" r="635" b="5715"/>
            <wp:wrapTight wrapText="bothSides">
              <wp:wrapPolygon edited="0">
                <wp:start x="0" y="0"/>
                <wp:lineTo x="0" y="21359"/>
                <wp:lineTo x="21155" y="21359"/>
                <wp:lineTo x="21155" y="0"/>
                <wp:lineTo x="0" y="0"/>
              </wp:wrapPolygon>
            </wp:wrapTight>
            <wp:docPr id="1" name="图片 1" descr="bfd070a001a7e6fbe704170fddb02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fd070a001a7e6fbe704170fddb028f"/>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94715" cy="1194435"/>
                    </a:xfrm>
                    <a:prstGeom prst="rect">
                      <a:avLst/>
                    </a:prstGeom>
                  </pic:spPr>
                </pic:pic>
              </a:graphicData>
            </a:graphic>
            <wp14:sizeRelH relativeFrom="page">
              <wp14:pctWidth>0</wp14:pctWidth>
            </wp14:sizeRelH>
            <wp14:sizeRelV relativeFrom="page">
              <wp14:pctHeight>0</wp14:pctHeight>
            </wp14:sizeRelV>
          </wp:anchor>
        </w:drawing>
      </w:r>
    </w:p>
    <w:p w14:paraId="04A07321" w14:textId="77777777" w:rsidR="005F22F7" w:rsidRDefault="005F22F7">
      <w:pPr>
        <w:pStyle w:val="af9"/>
        <w:ind w:left="0"/>
        <w:rPr>
          <w:rFonts w:ascii="Times New Roman" w:eastAsia="宋体" w:hAnsi="Times New Roman" w:cs="Times New Roman"/>
          <w:b/>
          <w:sz w:val="24"/>
          <w:szCs w:val="24"/>
        </w:rPr>
      </w:pPr>
    </w:p>
    <w:p w14:paraId="1A6D6C51" w14:textId="77777777" w:rsidR="005F22F7" w:rsidRDefault="005F22F7">
      <w:pPr>
        <w:pStyle w:val="af9"/>
        <w:ind w:left="0"/>
        <w:rPr>
          <w:rFonts w:ascii="Times New Roman" w:eastAsia="宋体" w:hAnsi="Times New Roman" w:cs="Times New Roman"/>
          <w:b/>
          <w:sz w:val="24"/>
          <w:szCs w:val="24"/>
        </w:rPr>
      </w:pPr>
      <w:r>
        <w:rPr>
          <w:rFonts w:ascii="Times New Roman" w:eastAsia="宋体" w:hAnsi="Times New Roman" w:cs="Times New Roman" w:hint="eastAsia"/>
          <w:b/>
          <w:sz w:val="24"/>
          <w:szCs w:val="24"/>
        </w:rPr>
        <w:t>收</w:t>
      </w:r>
      <w:r>
        <w:rPr>
          <w:rFonts w:ascii="Times New Roman" w:eastAsia="宋体" w:hAnsi="Times New Roman" w:cs="Times New Roman"/>
          <w:b/>
          <w:sz w:val="24"/>
          <w:szCs w:val="24"/>
        </w:rPr>
        <w:t>稿日期：</w:t>
      </w:r>
      <w:r>
        <w:rPr>
          <w:rFonts w:ascii="Times New Roman" w:eastAsia="宋体" w:hAnsi="Times New Roman" w:cs="Times New Roman" w:hint="eastAsia"/>
          <w:b/>
          <w:sz w:val="24"/>
          <w:szCs w:val="24"/>
        </w:rPr>
        <w:t>2025</w:t>
      </w:r>
      <w:r>
        <w:rPr>
          <w:rFonts w:ascii="Times New Roman" w:eastAsia="宋体" w:hAnsi="Times New Roman" w:cs="Times New Roman"/>
          <w:b/>
          <w:sz w:val="24"/>
          <w:szCs w:val="24"/>
        </w:rPr>
        <w:t>-03-18</w:t>
      </w:r>
      <w:r>
        <w:rPr>
          <w:rFonts w:ascii="Times New Roman" w:eastAsia="宋体" w:hAnsi="Times New Roman" w:cs="Times New Roman" w:hint="eastAsia"/>
          <w:b/>
          <w:sz w:val="24"/>
          <w:szCs w:val="24"/>
        </w:rPr>
        <w:t>。</w:t>
      </w:r>
    </w:p>
    <w:p w14:paraId="72E12328" w14:textId="1A1EC5BB" w:rsidR="005D4F07" w:rsidRPr="00121661" w:rsidRDefault="003E066B" w:rsidP="005F22F7">
      <w:pPr>
        <w:rPr>
          <w:rFonts w:ascii="Times New Roman" w:eastAsia="宋体" w:hAnsi="Times New Roman" w:cs="Times New Roman"/>
          <w:bCs/>
          <w:color w:val="0070C0"/>
          <w:kern w:val="0"/>
          <w:szCs w:val="21"/>
        </w:rPr>
      </w:pPr>
      <w:r w:rsidRPr="005F22F7">
        <w:rPr>
          <w:rFonts w:ascii="Times New Roman" w:eastAsia="宋体" w:hAnsi="Times New Roman" w:cs="Times New Roman" w:hint="eastAsia"/>
          <w:b/>
          <w:bCs/>
          <w:kern w:val="0"/>
          <w:szCs w:val="21"/>
        </w:rPr>
        <w:t>作者简介</w:t>
      </w:r>
      <w:r>
        <w:rPr>
          <w:rFonts w:ascii="Times New Roman" w:eastAsia="宋体" w:hAnsi="Times New Roman" w:cs="Times New Roman" w:hint="eastAsia"/>
          <w:bCs/>
          <w:kern w:val="0"/>
          <w:szCs w:val="21"/>
        </w:rPr>
        <w:t>：</w:t>
      </w:r>
      <w:r w:rsidRPr="00121661">
        <w:rPr>
          <w:rFonts w:ascii="Times New Roman" w:eastAsia="宋体" w:hAnsi="Times New Roman" w:cs="Times New Roman" w:hint="eastAsia"/>
          <w:bCs/>
          <w:color w:val="0070C0"/>
          <w:kern w:val="0"/>
          <w:szCs w:val="21"/>
        </w:rPr>
        <w:t>何晓垒，男，河南漯河人，中国电子科技集团公司专家</w:t>
      </w:r>
      <w:r w:rsidR="009300B7" w:rsidRPr="00121661">
        <w:rPr>
          <w:rFonts w:ascii="Times New Roman" w:eastAsia="宋体" w:hAnsi="Times New Roman" w:cs="Times New Roman" w:hint="eastAsia"/>
          <w:bCs/>
          <w:color w:val="0070C0"/>
          <w:kern w:val="0"/>
          <w:szCs w:val="21"/>
        </w:rPr>
        <w:t>，对无线激光通信所涉及的光、机、电、热等专业有深入研究及工程经验。主持完成“地面长距离</w:t>
      </w:r>
      <w:r w:rsidR="009300B7" w:rsidRPr="00121661">
        <w:rPr>
          <w:rFonts w:ascii="Times New Roman" w:eastAsia="宋体" w:hAnsi="Times New Roman" w:cs="Times New Roman" w:hint="eastAsia"/>
          <w:bCs/>
          <w:color w:val="0070C0"/>
          <w:kern w:val="0"/>
          <w:szCs w:val="21"/>
        </w:rPr>
        <w:t>xx</w:t>
      </w:r>
      <w:r w:rsidR="009300B7" w:rsidRPr="00121661">
        <w:rPr>
          <w:rFonts w:ascii="Times New Roman" w:eastAsia="宋体" w:hAnsi="Times New Roman" w:cs="Times New Roman" w:hint="eastAsia"/>
          <w:bCs/>
          <w:color w:val="0070C0"/>
          <w:kern w:val="0"/>
          <w:szCs w:val="21"/>
        </w:rPr>
        <w:t>设备技术”项目，获得中国电子科技集团公司科学技术奖三等奖；主笔光通信专业相关内容，完成专利编写，获得中国电子科技集团公司科学技术奖（专利）优秀奖。</w:t>
      </w:r>
    </w:p>
    <w:p w14:paraId="420EBD87" w14:textId="77777777" w:rsidR="005D4F07" w:rsidRDefault="005D4F07">
      <w:pPr>
        <w:ind w:firstLine="284"/>
        <w:jc w:val="left"/>
        <w:rPr>
          <w:rFonts w:ascii="Times New Roman" w:eastAsia="宋体" w:hAnsi="Times New Roman" w:cs="Times New Roman"/>
          <w:bCs/>
          <w:kern w:val="0"/>
          <w:szCs w:val="21"/>
        </w:rPr>
      </w:pPr>
    </w:p>
    <w:p w14:paraId="4A89B198" w14:textId="77777777" w:rsidR="005D4F07" w:rsidRDefault="003E066B">
      <w:pPr>
        <w:rPr>
          <w:rFonts w:ascii="Times New Roman" w:eastAsia="宋体" w:hAnsi="Times New Roman" w:cs="Times New Roman"/>
          <w:b/>
          <w:szCs w:val="21"/>
        </w:rPr>
      </w:pPr>
      <w:r>
        <w:rPr>
          <w:rFonts w:ascii="Times New Roman" w:eastAsia="宋体" w:hAnsi="Times New Roman" w:cs="Times New Roman"/>
          <w:b/>
          <w:szCs w:val="21"/>
        </w:rPr>
        <w:t>参考文献：</w:t>
      </w:r>
    </w:p>
    <w:p w14:paraId="20E86E23" w14:textId="630D4C7C" w:rsidR="00383B09"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 xml:space="preserve">[1] </w:t>
      </w:r>
      <w:r w:rsidR="004E521E" w:rsidRPr="00383B09">
        <w:rPr>
          <w:rFonts w:ascii="Times New Roman" w:eastAsia="宋体" w:hAnsi="Times New Roman" w:cs="Times New Roman"/>
          <w:bCs/>
          <w:kern w:val="0"/>
          <w:szCs w:val="21"/>
        </w:rPr>
        <w:t xml:space="preserve">ZHANG W , LIU Y , WEI </w:t>
      </w:r>
      <w:r w:rsidR="00383B09" w:rsidRPr="00383B09">
        <w:rPr>
          <w:rFonts w:ascii="Times New Roman" w:eastAsia="宋体" w:hAnsi="Times New Roman" w:cs="Times New Roman" w:hint="eastAsia"/>
          <w:bCs/>
          <w:kern w:val="0"/>
          <w:szCs w:val="21"/>
        </w:rPr>
        <w:t>Y .Research on D Subminiature Connector Plugging Method on Spacecraft[J].IOP Conference Series Materials Science and Engineering, 2018, 452(4):042149</w:t>
      </w:r>
      <w:r>
        <w:rPr>
          <w:rFonts w:ascii="Times New Roman" w:eastAsia="宋体" w:hAnsi="Times New Roman" w:cs="Times New Roman" w:hint="eastAsia"/>
          <w:bCs/>
          <w:kern w:val="0"/>
          <w:szCs w:val="21"/>
        </w:rPr>
        <w:t xml:space="preserve">. </w:t>
      </w:r>
      <w:commentRangeStart w:id="5"/>
      <w:commentRangeEnd w:id="5"/>
    </w:p>
    <w:p w14:paraId="7DACA73F" w14:textId="6EE9C711"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[2]</w:t>
      </w:r>
      <w:r w:rsidR="00F6646F" w:rsidRPr="00F6646F">
        <w:rPr>
          <w:rFonts w:ascii="Times New Roman" w:eastAsia="宋体" w:hAnsi="Times New Roman" w:cs="Times New Roman" w:hint="eastAsia"/>
          <w:bCs/>
          <w:kern w:val="0"/>
          <w:szCs w:val="21"/>
        </w:rPr>
        <w:t xml:space="preserve"> L</w:t>
      </w:r>
      <w:r w:rsidR="004E521E" w:rsidRPr="00F6646F">
        <w:rPr>
          <w:rFonts w:ascii="Times New Roman" w:eastAsia="宋体" w:hAnsi="Times New Roman" w:cs="Times New Roman"/>
          <w:bCs/>
          <w:kern w:val="0"/>
          <w:szCs w:val="21"/>
        </w:rPr>
        <w:t>I X , KONG Z , BAI</w:t>
      </w:r>
      <w:r w:rsidR="00F6646F" w:rsidRPr="00F6646F">
        <w:rPr>
          <w:rFonts w:ascii="Times New Roman" w:eastAsia="宋体" w:hAnsi="Times New Roman" w:cs="Times New Roman" w:hint="eastAsia"/>
          <w:bCs/>
          <w:kern w:val="0"/>
          <w:szCs w:val="21"/>
        </w:rPr>
        <w:t xml:space="preserve"> J ,et al.Analysis of optical fiber connector contact damage caused by fluctuations in ambient temperatures of spacecraft[J].Optical fiber technology, 2022.</w:t>
      </w:r>
      <w:r>
        <w:rPr>
          <w:rFonts w:ascii="Times New Roman" w:eastAsia="宋体" w:hAnsi="Times New Roman" w:cs="Times New Roman" w:hint="eastAsia"/>
          <w:bCs/>
          <w:kern w:val="0"/>
          <w:szCs w:val="21"/>
        </w:rPr>
        <w:t xml:space="preserve"> </w:t>
      </w:r>
      <w:commentRangeStart w:id="6"/>
      <w:commentRangeEnd w:id="6"/>
    </w:p>
    <w:p w14:paraId="63991FC2" w14:textId="786A85BD" w:rsidR="005D4F07" w:rsidRDefault="003E066B">
      <w:pPr>
        <w:rPr>
          <w:rFonts w:ascii="Times New Roman" w:eastAsia="宋体" w:hAnsi="Times New Roman" w:cs="Times New Roman"/>
          <w:bCs/>
          <w:kern w:val="0"/>
          <w:szCs w:val="21"/>
        </w:rPr>
      </w:pPr>
      <w:r>
        <w:rPr>
          <w:rFonts w:ascii="Times New Roman" w:eastAsia="宋体" w:hAnsi="Times New Roman" w:cs="Times New Roman" w:hint="eastAsia"/>
          <w:bCs/>
          <w:kern w:val="0"/>
          <w:szCs w:val="21"/>
        </w:rPr>
        <w:t xml:space="preserve">[3] </w:t>
      </w:r>
      <w:r w:rsidR="00BA565E">
        <w:rPr>
          <w:rFonts w:ascii="Times New Roman" w:eastAsia="宋体" w:hAnsi="Times New Roman" w:cs="Times New Roman"/>
          <w:bCs/>
          <w:kern w:val="0"/>
          <w:szCs w:val="21"/>
        </w:rPr>
        <w:t xml:space="preserve">LI G , WANG </w:t>
      </w:r>
      <w:r>
        <w:rPr>
          <w:rFonts w:ascii="Times New Roman" w:eastAsia="宋体" w:hAnsi="Times New Roman" w:cs="Times New Roman" w:hint="eastAsia"/>
          <w:bCs/>
          <w:kern w:val="0"/>
          <w:szCs w:val="21"/>
        </w:rPr>
        <w:t>S ,W</w:t>
      </w:r>
      <w:r w:rsidR="00BA565E">
        <w:rPr>
          <w:rFonts w:ascii="Times New Roman" w:eastAsia="宋体" w:hAnsi="Times New Roman" w:cs="Times New Roman"/>
          <w:bCs/>
          <w:kern w:val="0"/>
          <w:szCs w:val="21"/>
        </w:rPr>
        <w:t>EN</w:t>
      </w:r>
      <w:r w:rsidR="008E4DDC">
        <w:rPr>
          <w:rFonts w:ascii="Times New Roman" w:eastAsia="宋体" w:hAnsi="Times New Roman" w:cs="Times New Roman" w:hint="eastAsia"/>
          <w:bCs/>
          <w:kern w:val="0"/>
          <w:szCs w:val="21"/>
        </w:rPr>
        <w:t xml:space="preserve"> J </w:t>
      </w:r>
      <w:r w:rsidR="008E4DDC">
        <w:rPr>
          <w:rFonts w:ascii="Times New Roman" w:eastAsia="宋体" w:hAnsi="Times New Roman" w:cs="Times New Roman"/>
          <w:bCs/>
          <w:kern w:val="0"/>
          <w:szCs w:val="21"/>
        </w:rPr>
        <w:t>et al</w:t>
      </w:r>
      <w:r>
        <w:rPr>
          <w:rFonts w:ascii="Times New Roman" w:eastAsia="宋体" w:hAnsi="Times New Roman" w:cs="Times New Roman" w:hint="eastAsia"/>
          <w:bCs/>
          <w:kern w:val="0"/>
          <w:szCs w:val="21"/>
        </w:rPr>
        <w:t>.</w:t>
      </w:r>
      <w:r w:rsidR="008E4DDC">
        <w:rPr>
          <w:rFonts w:ascii="Times New Roman" w:eastAsia="宋体" w:hAnsi="Times New Roman" w:cs="Times New Roman"/>
          <w:bCs/>
          <w:kern w:val="0"/>
          <w:szCs w:val="21"/>
        </w:rPr>
        <w:t xml:space="preserve"> </w:t>
      </w:r>
      <w:r>
        <w:rPr>
          <w:rFonts w:ascii="Times New Roman" w:eastAsia="宋体" w:hAnsi="Times New Roman" w:cs="Times New Roman" w:hint="eastAsia"/>
          <w:bCs/>
          <w:kern w:val="0"/>
          <w:szCs w:val="21"/>
        </w:rPr>
        <w:t>Solder joint shape optimization and thermal-mechanical reliability improvement for microwave RF coaxial connectors[J].</w:t>
      </w:r>
      <w:r w:rsidR="008E4DDC">
        <w:rPr>
          <w:rFonts w:ascii="Times New Roman" w:eastAsia="宋体" w:hAnsi="Times New Roman" w:cs="Times New Roman"/>
          <w:bCs/>
          <w:kern w:val="0"/>
          <w:szCs w:val="21"/>
        </w:rPr>
        <w:t xml:space="preserve"> </w:t>
      </w:r>
      <w:r>
        <w:rPr>
          <w:rFonts w:ascii="Times New Roman" w:eastAsia="宋体" w:hAnsi="Times New Roman" w:cs="Times New Roman" w:hint="eastAsia"/>
          <w:bCs/>
          <w:kern w:val="0"/>
          <w:szCs w:val="21"/>
        </w:rPr>
        <w:t>Microelectronics and reliability, 2024, 154(</w:t>
      </w:r>
      <w:r w:rsidR="006000C5">
        <w:rPr>
          <w:rFonts w:ascii="Times New Roman" w:eastAsia="宋体" w:hAnsi="Times New Roman" w:cs="Times New Roman"/>
          <w:bCs/>
          <w:kern w:val="0"/>
          <w:szCs w:val="21"/>
        </w:rPr>
        <w:t>3</w:t>
      </w:r>
      <w:r>
        <w:rPr>
          <w:rFonts w:ascii="Times New Roman" w:eastAsia="宋体" w:hAnsi="Times New Roman" w:cs="Times New Roman" w:hint="eastAsia"/>
          <w:bCs/>
          <w:kern w:val="0"/>
          <w:szCs w:val="21"/>
        </w:rPr>
        <w:t>):1.1-1.10.</w:t>
      </w:r>
    </w:p>
    <w:p w14:paraId="046449B2" w14:textId="1D1E256C"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bCs/>
          <w:kern w:val="0"/>
          <w:szCs w:val="21"/>
        </w:rPr>
        <w:t xml:space="preserve">[4] </w:t>
      </w:r>
      <w:r w:rsidR="00BA565E">
        <w:rPr>
          <w:rFonts w:ascii="Times New Roman" w:eastAsia="宋体" w:hAnsi="Times New Roman" w:cs="Times New Roman"/>
          <w:bCs/>
          <w:kern w:val="0"/>
          <w:szCs w:val="21"/>
        </w:rPr>
        <w:t>LEE J R , CHIA C C , KONG C W</w:t>
      </w:r>
      <w:r>
        <w:rPr>
          <w:rFonts w:ascii="Times New Roman" w:eastAsia="宋体" w:hAnsi="Times New Roman" w:cs="Times New Roman" w:hint="eastAsia"/>
          <w:bCs/>
          <w:kern w:val="0"/>
          <w:szCs w:val="21"/>
        </w:rPr>
        <w:t xml:space="preserve"> .Review of pyroshock wave measurement and simulation for space systems[J].Measurement, 2012, 45(4):6</w:t>
      </w:r>
      <w:r w:rsidR="006000C5">
        <w:rPr>
          <w:rFonts w:ascii="Times New Roman" w:eastAsia="宋体" w:hAnsi="Times New Roman" w:cs="Times New Roman" w:hint="eastAsia"/>
          <w:bCs/>
          <w:kern w:val="0"/>
          <w:szCs w:val="21"/>
        </w:rPr>
        <w:t>31-642</w:t>
      </w:r>
      <w:r>
        <w:rPr>
          <w:rFonts w:ascii="Times New Roman" w:eastAsia="宋体" w:hAnsi="Times New Roman" w:cs="Times New Roman" w:hint="eastAsia"/>
          <w:bCs/>
          <w:kern w:val="0"/>
          <w:szCs w:val="21"/>
        </w:rPr>
        <w:t>.</w:t>
      </w:r>
    </w:p>
    <w:p w14:paraId="166BDA94" w14:textId="11230C00"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[5 ]</w:t>
      </w:r>
      <w:r w:rsidR="00BA565E">
        <w:rPr>
          <w:rFonts w:ascii="Times New Roman" w:eastAsia="宋体" w:hAnsi="Times New Roman" w:cs="Times New Roman"/>
          <w:szCs w:val="21"/>
          <w:shd w:val="clear" w:color="auto" w:fill="FFFFFF"/>
        </w:rPr>
        <w:t>KE X, WU J, YANG S</w:t>
      </w:r>
      <w:r>
        <w:rPr>
          <w:rFonts w:ascii="Times New Roman" w:eastAsia="宋体" w:hAnsi="Times New Roman" w:cs="Times New Roman" w:hint="eastAsia"/>
          <w:szCs w:val="21"/>
          <w:shd w:val="clear" w:color="auto" w:fill="FFFFFF"/>
        </w:rPr>
        <w:t>. Research Progress and Prospect of Atmospheric Turbulence for Wireless Optical Communication. Chin. J.Radio Sci. 2021, 36, 323</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339.</w:t>
      </w:r>
    </w:p>
    <w:p w14:paraId="42AD19FC" w14:textId="32125148"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 xml:space="preserve">[6] </w:t>
      </w:r>
      <w:r w:rsidR="00BA565E">
        <w:rPr>
          <w:rFonts w:ascii="Times New Roman" w:eastAsia="宋体" w:hAnsi="Times New Roman" w:cs="Times New Roman"/>
          <w:szCs w:val="21"/>
          <w:shd w:val="clear" w:color="auto" w:fill="FFFFFF"/>
        </w:rPr>
        <w:t>GRIETHE, W.; GREGORY, M</w:t>
      </w:r>
      <w:r>
        <w:rPr>
          <w:rFonts w:ascii="Times New Roman" w:eastAsia="宋体" w:hAnsi="Times New Roman" w:cs="Times New Roman" w:hint="eastAsia"/>
          <w:szCs w:val="21"/>
          <w:shd w:val="clear" w:color="auto" w:fill="FFFFFF"/>
        </w:rPr>
        <w:t>.; Heine, F.; Kämpfner, H. High-speed laser communications in UAV scenarios. In Proceedings of the Airborne Intelligence, Surveillance, Reconnaissance (ISR) Systems and Applications VIII, Orlando, FL, USA, 25</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29 April 2011</w:t>
      </w:r>
      <w:r w:rsidR="00BA565E">
        <w:rPr>
          <w:rFonts w:ascii="Times New Roman" w:eastAsia="宋体" w:hAnsi="Times New Roman" w:cs="Times New Roman"/>
          <w:szCs w:val="21"/>
          <w:shd w:val="clear" w:color="auto" w:fill="FFFFFF"/>
        </w:rPr>
        <w:t>:</w:t>
      </w:r>
      <w:r>
        <w:rPr>
          <w:rFonts w:ascii="Times New Roman" w:eastAsia="宋体" w:hAnsi="Times New Roman" w:cs="Times New Roman" w:hint="eastAsia"/>
          <w:szCs w:val="21"/>
          <w:shd w:val="clear" w:color="auto" w:fill="FFFFFF"/>
        </w:rPr>
        <w:t>106</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115.</w:t>
      </w:r>
    </w:p>
    <w:p w14:paraId="05CAB78F" w14:textId="3ECAA939"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[7]Z</w:t>
      </w:r>
      <w:r w:rsidR="00BA565E">
        <w:rPr>
          <w:rFonts w:ascii="Times New Roman" w:eastAsia="宋体" w:hAnsi="Times New Roman" w:cs="Times New Roman"/>
          <w:szCs w:val="21"/>
          <w:shd w:val="clear" w:color="auto" w:fill="FFFFFF"/>
        </w:rPr>
        <w:t xml:space="preserve">HANG M, LI B, TONG </w:t>
      </w:r>
      <w:r>
        <w:rPr>
          <w:rFonts w:ascii="Times New Roman" w:eastAsia="宋体" w:hAnsi="Times New Roman" w:cs="Times New Roman" w:hint="eastAsia"/>
          <w:szCs w:val="21"/>
          <w:shd w:val="clear" w:color="auto" w:fill="FFFFFF"/>
        </w:rPr>
        <w:t>S. A new composite spiral scanning approach for beaconless spatial acquisition and experimental investigation of robust tracking control for laser communication system with disturbance</w:t>
      </w:r>
      <w:r w:rsidR="00BA565E">
        <w:rPr>
          <w:rFonts w:ascii="Times New Roman" w:eastAsia="宋体" w:hAnsi="Times New Roman" w:cs="Times New Roman" w:hint="eastAsia"/>
          <w:szCs w:val="21"/>
          <w:shd w:val="clear" w:color="auto" w:fill="FFFFFF"/>
        </w:rPr>
        <w:t>[J].</w:t>
      </w:r>
      <w:r w:rsidR="00BA565E">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IEEE Photonics J. 2020, 12, 1</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12.</w:t>
      </w:r>
    </w:p>
    <w:p w14:paraId="4CF0A8B6" w14:textId="6840F5D7"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[8] G</w:t>
      </w:r>
      <w:r w:rsidR="00BA565E">
        <w:rPr>
          <w:rFonts w:ascii="Times New Roman" w:eastAsia="宋体" w:hAnsi="Times New Roman" w:cs="Times New Roman"/>
          <w:szCs w:val="21"/>
          <w:shd w:val="clear" w:color="auto" w:fill="FFFFFF"/>
        </w:rPr>
        <w:t xml:space="preserve">AO, L, LIU, Q, HE, </w:t>
      </w:r>
      <w:r>
        <w:rPr>
          <w:rFonts w:ascii="Times New Roman" w:eastAsia="宋体" w:hAnsi="Times New Roman" w:cs="Times New Roman" w:hint="eastAsia"/>
          <w:szCs w:val="21"/>
          <w:shd w:val="clear" w:color="auto" w:fill="FFFFFF"/>
        </w:rPr>
        <w:t>Z. Two-Dimensional Optical Phased Array Reflector Based on Gires-Tournois Resonator</w:t>
      </w:r>
      <w:r w:rsidR="00BA565E">
        <w:rPr>
          <w:rFonts w:ascii="Times New Roman" w:eastAsia="宋体" w:hAnsi="Times New Roman" w:cs="Times New Roman" w:hint="eastAsia"/>
          <w:szCs w:val="21"/>
          <w:shd w:val="clear" w:color="auto" w:fill="FFFFFF"/>
        </w:rPr>
        <w:t>[J].</w:t>
      </w:r>
      <w:r>
        <w:rPr>
          <w:rFonts w:ascii="Times New Roman" w:eastAsia="宋体" w:hAnsi="Times New Roman" w:cs="Times New Roman" w:hint="eastAsia"/>
          <w:szCs w:val="21"/>
          <w:shd w:val="clear" w:color="auto" w:fill="FFFFFF"/>
        </w:rPr>
        <w:t xml:space="preserve"> Acta Opt. Sin. 2021,</w:t>
      </w:r>
      <w:r w:rsidR="00BA565E">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41, 132</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137.</w:t>
      </w:r>
    </w:p>
    <w:p w14:paraId="47853E0F" w14:textId="5A937754" w:rsidR="005D4F07" w:rsidRDefault="003E066B">
      <w:pPr>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[9]</w:t>
      </w:r>
      <w:r>
        <w:rPr>
          <w:rFonts w:ascii="Times New Roman" w:eastAsia="宋体" w:hAnsi="Times New Roman" w:cs="Times New Roman" w:hint="eastAsia"/>
          <w:szCs w:val="21"/>
          <w:shd w:val="clear" w:color="auto" w:fill="FFFFFF"/>
        </w:rPr>
        <w:t>裘晓磊</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曾亮</w:t>
      </w:r>
      <w:r>
        <w:rPr>
          <w:rFonts w:ascii="Times New Roman" w:eastAsia="宋体" w:hAnsi="Times New Roman" w:cs="Times New Roman" w:hint="eastAsia"/>
          <w:szCs w:val="21"/>
          <w:shd w:val="clear" w:color="auto" w:fill="FFFFFF"/>
        </w:rPr>
        <w:t>,</w:t>
      </w:r>
      <w:r>
        <w:rPr>
          <w:rFonts w:ascii="Times New Roman" w:eastAsia="宋体" w:hAnsi="Times New Roman" w:cs="Times New Roman" w:hint="eastAsia"/>
          <w:szCs w:val="21"/>
          <w:shd w:val="clear" w:color="auto" w:fill="FFFFFF"/>
        </w:rPr>
        <w:t>何晓垒</w:t>
      </w:r>
      <w:r>
        <w:rPr>
          <w:rFonts w:ascii="Times New Roman" w:eastAsia="宋体" w:hAnsi="Times New Roman" w:cs="Times New Roman" w:hint="eastAsia"/>
          <w:szCs w:val="21"/>
          <w:shd w:val="clear" w:color="auto" w:fill="FFFFFF"/>
        </w:rPr>
        <w:t>.</w:t>
      </w:r>
      <w:r w:rsidR="00BA565E">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一种近场无线激光</w:t>
      </w:r>
      <w:bookmarkStart w:id="7" w:name="_GoBack"/>
      <w:bookmarkEnd w:id="7"/>
      <w:r>
        <w:rPr>
          <w:rFonts w:ascii="Times New Roman" w:eastAsia="宋体" w:hAnsi="Times New Roman" w:cs="Times New Roman" w:hint="eastAsia"/>
          <w:szCs w:val="21"/>
          <w:shd w:val="clear" w:color="auto" w:fill="FFFFFF"/>
        </w:rPr>
        <w:t>携能通信系统的研究与设计</w:t>
      </w:r>
      <w:r>
        <w:rPr>
          <w:rFonts w:ascii="Times New Roman" w:eastAsia="宋体" w:hAnsi="Times New Roman" w:cs="Times New Roman" w:hint="eastAsia"/>
          <w:szCs w:val="21"/>
          <w:shd w:val="clear" w:color="auto" w:fill="FFFFFF"/>
        </w:rPr>
        <w:t>[J].</w:t>
      </w:r>
      <w:r w:rsidR="00BA565E">
        <w:rPr>
          <w:rFonts w:ascii="Times New Roman" w:eastAsia="宋体" w:hAnsi="Times New Roman" w:cs="Times New Roman"/>
          <w:szCs w:val="21"/>
          <w:shd w:val="clear" w:color="auto" w:fill="FFFFFF"/>
        </w:rPr>
        <w:t xml:space="preserve"> </w:t>
      </w:r>
      <w:r>
        <w:rPr>
          <w:rFonts w:ascii="Times New Roman" w:eastAsia="宋体" w:hAnsi="Times New Roman" w:cs="Times New Roman" w:hint="eastAsia"/>
          <w:szCs w:val="21"/>
          <w:shd w:val="clear" w:color="auto" w:fill="FFFFFF"/>
        </w:rPr>
        <w:t>广东通信技术</w:t>
      </w:r>
      <w:r>
        <w:rPr>
          <w:rFonts w:ascii="Times New Roman" w:eastAsia="宋体" w:hAnsi="Times New Roman" w:cs="Times New Roman" w:hint="eastAsia"/>
          <w:szCs w:val="21"/>
          <w:shd w:val="clear" w:color="auto" w:fill="FFFFFF"/>
        </w:rPr>
        <w:t>, 2022, 42(10):64-68.</w:t>
      </w:r>
    </w:p>
    <w:p w14:paraId="59AF6DFA" w14:textId="3697AC23" w:rsidR="00883081" w:rsidRPr="00883081" w:rsidRDefault="003E066B" w:rsidP="00383B09">
      <w:pPr>
        <w:jc w:val="left"/>
        <w:rPr>
          <w:rFonts w:ascii="Times New Roman" w:eastAsia="宋体" w:hAnsi="Times New Roman" w:cs="Times New Roman"/>
          <w:szCs w:val="21"/>
          <w:shd w:val="clear" w:color="auto" w:fill="FFFFFF"/>
        </w:rPr>
      </w:pPr>
      <w:r>
        <w:rPr>
          <w:rFonts w:ascii="Times New Roman" w:eastAsia="宋体" w:hAnsi="Times New Roman" w:cs="Times New Roman" w:hint="eastAsia"/>
          <w:szCs w:val="21"/>
          <w:shd w:val="clear" w:color="auto" w:fill="FFFFFF"/>
        </w:rPr>
        <w:t xml:space="preserve">[10] </w:t>
      </w:r>
      <w:bookmarkStart w:id="8" w:name="_Hlk202884520"/>
      <w:r w:rsidR="004E521E" w:rsidRPr="00883081">
        <w:rPr>
          <w:rFonts w:ascii="Times New Roman" w:eastAsia="宋体" w:hAnsi="Times New Roman" w:cs="Times New Roman"/>
          <w:szCs w:val="21"/>
          <w:shd w:val="clear" w:color="auto" w:fill="FFFFFF"/>
        </w:rPr>
        <w:t xml:space="preserve">ANTONELLO R , BRANZ F , SANSONE </w:t>
      </w:r>
      <w:r w:rsidR="00883081" w:rsidRPr="00883081">
        <w:rPr>
          <w:rFonts w:ascii="Times New Roman" w:eastAsia="宋体" w:hAnsi="Times New Roman" w:cs="Times New Roman" w:hint="eastAsia"/>
          <w:szCs w:val="21"/>
          <w:shd w:val="clear" w:color="auto" w:fill="FFFFFF"/>
        </w:rPr>
        <w:t>F ,et al.High-Precision Dual-Stage Pointing Mechanism for Miniature Satellite Laser Communication Terminals</w:t>
      </w:r>
      <w:r w:rsidR="00883081">
        <w:rPr>
          <w:rFonts w:ascii="Times New Roman" w:eastAsia="宋体" w:hAnsi="Times New Roman" w:cs="Times New Roman" w:hint="eastAsia"/>
          <w:szCs w:val="21"/>
          <w:shd w:val="clear" w:color="auto" w:fill="FFFFFF"/>
        </w:rPr>
        <w:t xml:space="preserve"> </w:t>
      </w:r>
      <w:r w:rsidR="00883081" w:rsidRPr="00883081">
        <w:rPr>
          <w:rFonts w:ascii="Times New Roman" w:eastAsia="宋体" w:hAnsi="Times New Roman" w:cs="Times New Roman" w:hint="eastAsia"/>
          <w:szCs w:val="21"/>
          <w:shd w:val="clear" w:color="auto" w:fill="FFFFFF"/>
        </w:rPr>
        <w:t>[J].</w:t>
      </w:r>
      <w:r w:rsidR="00883081">
        <w:rPr>
          <w:rFonts w:ascii="Times New Roman" w:eastAsia="宋体" w:hAnsi="Times New Roman" w:cs="Times New Roman" w:hint="eastAsia"/>
          <w:szCs w:val="21"/>
          <w:shd w:val="clear" w:color="auto" w:fill="FFFFFF"/>
        </w:rPr>
        <w:t xml:space="preserve"> </w:t>
      </w:r>
      <w:r w:rsidR="00883081" w:rsidRPr="00883081">
        <w:rPr>
          <w:rFonts w:ascii="Times New Roman" w:eastAsia="宋体" w:hAnsi="Times New Roman" w:cs="Times New Roman" w:hint="eastAsia"/>
          <w:szCs w:val="21"/>
          <w:shd w:val="clear" w:color="auto" w:fill="FFFFFF"/>
        </w:rPr>
        <w:t>IEEE,</w:t>
      </w:r>
      <w:r w:rsidR="00883081">
        <w:rPr>
          <w:rFonts w:ascii="Times New Roman" w:eastAsia="宋体" w:hAnsi="Times New Roman" w:cs="Times New Roman" w:hint="eastAsia"/>
          <w:szCs w:val="21"/>
          <w:shd w:val="clear" w:color="auto" w:fill="FFFFFF"/>
        </w:rPr>
        <w:t xml:space="preserve"> </w:t>
      </w:r>
      <w:r w:rsidR="00883081" w:rsidRPr="00883081">
        <w:rPr>
          <w:rFonts w:ascii="Times New Roman" w:eastAsia="宋体" w:hAnsi="Times New Roman" w:cs="Times New Roman" w:hint="eastAsia"/>
          <w:szCs w:val="21"/>
          <w:shd w:val="clear" w:color="auto" w:fill="FFFFFF"/>
        </w:rPr>
        <w:t xml:space="preserve"> </w:t>
      </w:r>
      <w:r w:rsidR="00383B09">
        <w:rPr>
          <w:rFonts w:ascii="Times New Roman" w:eastAsia="宋体" w:hAnsi="Times New Roman" w:cs="Times New Roman" w:hint="eastAsia"/>
          <w:szCs w:val="21"/>
          <w:shd w:val="clear" w:color="auto" w:fill="FFFFFF"/>
        </w:rPr>
        <w:t xml:space="preserve"> </w:t>
      </w:r>
      <w:r w:rsidR="00883081" w:rsidRPr="00883081">
        <w:rPr>
          <w:rFonts w:ascii="Times New Roman" w:eastAsia="宋体" w:hAnsi="Times New Roman" w:cs="Times New Roman" w:hint="eastAsia"/>
          <w:szCs w:val="21"/>
          <w:shd w:val="clear" w:color="auto" w:fill="FFFFFF"/>
        </w:rPr>
        <w:t>2021</w:t>
      </w:r>
      <w:r w:rsidR="00383B09">
        <w:rPr>
          <w:rFonts w:ascii="Times New Roman" w:eastAsia="宋体" w:hAnsi="Times New Roman" w:cs="Times New Roman" w:hint="eastAsia"/>
          <w:szCs w:val="21"/>
          <w:shd w:val="clear" w:color="auto" w:fill="FFFFFF"/>
        </w:rPr>
        <w:t xml:space="preserve"> </w:t>
      </w:r>
      <w:r w:rsidR="003D2B29">
        <w:rPr>
          <w:rFonts w:ascii="Times New Roman" w:eastAsia="宋体" w:hAnsi="Times New Roman" w:cs="Times New Roman" w:hint="eastAsia"/>
          <w:szCs w:val="21"/>
          <w:shd w:val="clear" w:color="auto" w:fill="FFFFFF"/>
        </w:rPr>
        <w:t>(1)</w:t>
      </w:r>
      <w:r w:rsidR="00883081" w:rsidRPr="00883081">
        <w:rPr>
          <w:rFonts w:ascii="Times New Roman" w:eastAsia="宋体" w:hAnsi="Times New Roman" w:cs="Times New Roman" w:hint="eastAsia"/>
          <w:szCs w:val="21"/>
          <w:shd w:val="clear" w:color="auto" w:fill="FFFFFF"/>
        </w:rPr>
        <w:t>.</w:t>
      </w:r>
      <w:r w:rsidR="00383B09">
        <w:rPr>
          <w:rFonts w:ascii="Times New Roman" w:eastAsia="宋体" w:hAnsi="Times New Roman" w:cs="Times New Roman" w:hint="eastAsia"/>
          <w:szCs w:val="21"/>
          <w:shd w:val="clear" w:color="auto" w:fill="FFFFFF"/>
        </w:rPr>
        <w:t xml:space="preserve"> </w:t>
      </w:r>
    </w:p>
    <w:p w14:paraId="77CFD2FB" w14:textId="7D21FA6F" w:rsidR="005D4F07" w:rsidRPr="00650BE9" w:rsidRDefault="00883081" w:rsidP="00883081">
      <w:pPr>
        <w:rPr>
          <w:rFonts w:ascii="Times New Roman" w:eastAsia="宋体" w:hAnsi="Times New Roman" w:cs="Times New Roman"/>
          <w:szCs w:val="21"/>
          <w:shd w:val="clear" w:color="auto" w:fill="FFFFFF"/>
        </w:rPr>
      </w:pPr>
      <w:r w:rsidRPr="00883081">
        <w:rPr>
          <w:rFonts w:ascii="Times New Roman" w:eastAsia="宋体" w:hAnsi="Times New Roman" w:cs="Times New Roman" w:hint="eastAsia"/>
          <w:szCs w:val="21"/>
          <w:shd w:val="clear" w:color="auto" w:fill="FFFFFF"/>
        </w:rPr>
        <w:lastRenderedPageBreak/>
        <w:t xml:space="preserve">[11] KE, X. CHEN, X. WU, J. A drone relay laser communication system. China Patent 109067452, 21 December 2018. </w:t>
      </w:r>
      <w:r w:rsidR="003E066B">
        <w:rPr>
          <w:rFonts w:ascii="Times New Roman" w:eastAsia="宋体" w:hAnsi="Times New Roman" w:cs="Times New Roman" w:hint="eastAsia"/>
          <w:szCs w:val="21"/>
          <w:shd w:val="clear" w:color="auto" w:fill="FFFFFF"/>
        </w:rPr>
        <w:cr/>
        <w:t xml:space="preserve">[11] </w:t>
      </w:r>
      <w:r w:rsidR="00383B09" w:rsidRPr="00383B09">
        <w:rPr>
          <w:rFonts w:ascii="Times New Roman" w:eastAsia="宋体" w:hAnsi="Times New Roman" w:cs="Times New Roman" w:hint="eastAsia"/>
          <w:szCs w:val="21"/>
          <w:shd w:val="clear" w:color="auto" w:fill="FFFFFF"/>
        </w:rPr>
        <w:t>R</w:t>
      </w:r>
      <w:r w:rsidR="004E521E" w:rsidRPr="00383B09">
        <w:rPr>
          <w:rFonts w:ascii="Times New Roman" w:eastAsia="宋体" w:hAnsi="Times New Roman" w:cs="Times New Roman"/>
          <w:szCs w:val="21"/>
          <w:shd w:val="clear" w:color="auto" w:fill="FFFFFF"/>
        </w:rPr>
        <w:t>OBERTS L C , MEEKER S R , TESCH</w:t>
      </w:r>
      <w:r w:rsidR="00383B09" w:rsidRPr="00383B09">
        <w:rPr>
          <w:rFonts w:ascii="Times New Roman" w:eastAsia="宋体" w:hAnsi="Times New Roman" w:cs="Times New Roman" w:hint="eastAsia"/>
          <w:szCs w:val="21"/>
          <w:shd w:val="clear" w:color="auto" w:fill="FFFFFF"/>
        </w:rPr>
        <w:t xml:space="preserve"> J ,et al.Performance of the adaptive optics system for Laser Communications Relay Demonstration's Ground Station 1[J].Applied Optics, 2023, 62(23):11.</w:t>
      </w:r>
      <w:bookmarkEnd w:id="8"/>
    </w:p>
    <w:sectPr w:rsidR="005D4F07" w:rsidRPr="00650BE9">
      <w:headerReference w:type="default" r:id="rId21"/>
      <w:footerReference w:type="default" r:id="rId22"/>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5A692F" w16cex:dateUtc="2025-07-08T03:41:00Z"/>
  <w16cex:commentExtensible w16cex:durableId="52C59596" w16cex:dateUtc="2025-07-08T03:57:00Z"/>
  <w16cex:commentExtensible w16cex:durableId="2251E726" w16cex:dateUtc="2025-07-08T07:35:00Z"/>
  <w16cex:commentExtensible w16cex:durableId="682D532F" w16cex:dateUtc="2025-07-08T08:01:00Z"/>
  <w16cex:commentExtensible w16cex:durableId="10F69407" w16cex:dateUtc="2025-07-08T08:01:00Z"/>
  <w16cex:commentExtensible w16cex:durableId="36ABE72F" w16cex:dateUtc="2025-07-08T08:02:00Z"/>
  <w16cex:commentExtensible w16cex:durableId="09C8EC95" w16cex:dateUtc="2025-07-08T08:20:00Z"/>
  <w16cex:commentExtensible w16cex:durableId="2D0FD40E" w16cex:dateUtc="2025-07-08T08:25:00Z"/>
  <w16cex:commentExtensible w16cex:durableId="70CB1D58" w16cex:dateUtc="2025-07-09T02:36:00Z"/>
  <w16cex:commentExtensible w16cex:durableId="33A142E9" w16cex:dateUtc="2025-07-08T08:50:00Z"/>
  <w16cex:commentExtensible w16cex:durableId="422A95F3" w16cex:dateUtc="2025-07-08T08:50:00Z"/>
  <w16cex:commentExtensible w16cex:durableId="7AC9452D" w16cex:dateUtc="2025-07-08T08:36:00Z"/>
  <w16cex:commentExtensible w16cex:durableId="64D09F56" w16cex:dateUtc="2025-07-08T0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8E45AC" w16cid:durableId="5B8E45AC"/>
  <w16cid:commentId w16cid:paraId="7C6A05BA" w16cid:durableId="675A692F"/>
  <w16cid:commentId w16cid:paraId="449B201A" w16cid:durableId="449B201A"/>
  <w16cid:commentId w16cid:paraId="30EC7810" w16cid:durableId="30EC7810"/>
  <w16cid:commentId w16cid:paraId="41383764" w16cid:durableId="52C59596"/>
  <w16cid:commentId w16cid:paraId="1932BD8F" w16cid:durableId="1932BD8F"/>
  <w16cid:commentId w16cid:paraId="1B044FF1" w16cid:durableId="2251E726"/>
  <w16cid:commentId w16cid:paraId="3E9C3C35" w16cid:durableId="3E9C3C35"/>
  <w16cid:commentId w16cid:paraId="3693C39B" w16cid:durableId="682D532F"/>
  <w16cid:commentId w16cid:paraId="3C14CE1A" w16cid:durableId="3C14CE1A"/>
  <w16cid:commentId w16cid:paraId="36967828" w16cid:durableId="10F69407"/>
  <w16cid:commentId w16cid:paraId="01A15CFD" w16cid:durableId="01A15CFD"/>
  <w16cid:commentId w16cid:paraId="6EF27EA5" w16cid:durableId="36ABE72F"/>
  <w16cid:commentId w16cid:paraId="2FBFBC7F" w16cid:durableId="2FBFBC7F"/>
  <w16cid:commentId w16cid:paraId="3ED774EC" w16cid:durableId="3ED774EC"/>
  <w16cid:commentId w16cid:paraId="0EEDD19A" w16cid:durableId="09C8EC95"/>
  <w16cid:commentId w16cid:paraId="657A4670" w16cid:durableId="657A4670"/>
  <w16cid:commentId w16cid:paraId="547E1436" w16cid:durableId="2D0FD40E"/>
  <w16cid:commentId w16cid:paraId="29998F1C" w16cid:durableId="29998F1C"/>
  <w16cid:commentId w16cid:paraId="08366207" w16cid:durableId="70CB1D58"/>
  <w16cid:commentId w16cid:paraId="3B03A21B" w16cid:durableId="3B03A21B"/>
  <w16cid:commentId w16cid:paraId="5E5ADB4C" w16cid:durableId="33A142E9"/>
  <w16cid:commentId w16cid:paraId="424D4095" w16cid:durableId="424D4095"/>
  <w16cid:commentId w16cid:paraId="3A01A85D" w16cid:durableId="422A95F3"/>
  <w16cid:commentId w16cid:paraId="6655C401" w16cid:durableId="6655C401"/>
  <w16cid:commentId w16cid:paraId="734006E4" w16cid:durableId="7AC9452D"/>
  <w16cid:commentId w16cid:paraId="45F46F8D" w16cid:durableId="45F46F8D"/>
  <w16cid:commentId w16cid:paraId="6F7CBA27" w16cid:durableId="64D09F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9A8A6" w14:textId="77777777" w:rsidR="00B31AF3" w:rsidRDefault="00B31AF3">
      <w:r>
        <w:separator/>
      </w:r>
    </w:p>
  </w:endnote>
  <w:endnote w:type="continuationSeparator" w:id="0">
    <w:p w14:paraId="2DF96955" w14:textId="77777777" w:rsidR="00B31AF3" w:rsidRDefault="00B31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PingFang SC">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9AAA1" w14:textId="77777777" w:rsidR="005D4F07" w:rsidRDefault="005D4F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596D4" w14:textId="77777777" w:rsidR="00B31AF3" w:rsidRDefault="00B31AF3">
      <w:r>
        <w:separator/>
      </w:r>
    </w:p>
  </w:footnote>
  <w:footnote w:type="continuationSeparator" w:id="0">
    <w:p w14:paraId="225D5F36" w14:textId="77777777" w:rsidR="00B31AF3" w:rsidRDefault="00B31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E73D6" w14:textId="77777777" w:rsidR="005D4F07" w:rsidRDefault="005D4F0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a"/>
      <w:suff w:val="nothing"/>
      <w:lvlText w:val="%1　"/>
      <w:lvlJc w:val="left"/>
      <w:pPr>
        <w:ind w:left="0" w:firstLine="0"/>
      </w:pPr>
      <w:rPr>
        <w:rFonts w:ascii="黑体" w:eastAsia="黑体" w:hAnsi="黑体" w:cs="Times New Roman" w:hint="default"/>
        <w:b w:val="0"/>
        <w:i w:val="0"/>
        <w:caps w:val="0"/>
        <w:vanish w:val="0"/>
        <w:color w:val="000000"/>
        <w:spacing w:val="0"/>
        <w:kern w:val="0"/>
        <w:position w:val="0"/>
        <w:sz w:val="21"/>
        <w:szCs w:val="21"/>
        <w:u w:val="none"/>
        <w:vertAlign w:val="baseline"/>
        <w:lang w:val="en-US"/>
        <w14:shadow w14:blurRad="0" w14:dist="0" w14:dir="0" w14:sx="0" w14:sy="0" w14:kx="0" w14:ky="0" w14:algn="none">
          <w14:srgbClr w14:val="000000"/>
        </w14:shadow>
      </w:rPr>
    </w:lvl>
    <w:lvl w:ilvl="1">
      <w:start w:val="1"/>
      <w:numFmt w:val="decimal"/>
      <w:pStyle w:val="a0"/>
      <w:suff w:val="nothing"/>
      <w:lvlText w:val="%1.%2　"/>
      <w:lvlJc w:val="left"/>
      <w:pPr>
        <w:ind w:left="0" w:firstLine="0"/>
      </w:pPr>
      <w:rPr>
        <w:rFonts w:ascii="黑体" w:eastAsia="黑体" w:hAnsi="黑体" w:cs="Times New Roman" w:hint="default"/>
        <w:b w:val="0"/>
        <w:i w:val="0"/>
        <w:snapToGrid/>
        <w:color w:val="auto"/>
        <w:spacing w:val="0"/>
        <w:w w:val="100"/>
        <w:kern w:val="21"/>
        <w:sz w:val="21"/>
        <w:szCs w:val="21"/>
        <w:u w:val="none"/>
      </w:rPr>
    </w:lvl>
    <w:lvl w:ilvl="2">
      <w:start w:val="1"/>
      <w:numFmt w:val="decimal"/>
      <w:pStyle w:val="a1"/>
      <w:isLgl/>
      <w:suff w:val="nothing"/>
      <w:lvlText w:val="%1.%2.%3　"/>
      <w:lvlJc w:val="left"/>
      <w:pPr>
        <w:ind w:left="0" w:firstLine="0"/>
      </w:pPr>
      <w:rPr>
        <w:rFonts w:ascii="黑体" w:eastAsia="黑体" w:hAnsi="黑体" w:cs="Times New Roman" w:hint="default"/>
        <w:b w:val="0"/>
        <w:i w:val="0"/>
        <w:sz w:val="21"/>
        <w:szCs w:val="21"/>
      </w:rPr>
    </w:lvl>
    <w:lvl w:ilvl="3">
      <w:start w:val="1"/>
      <w:numFmt w:val="decimal"/>
      <w:pStyle w:val="a2"/>
      <w:suff w:val="nothing"/>
      <w:lvlText w:val="%1.%2.%3.%4　"/>
      <w:lvlJc w:val="left"/>
      <w:pPr>
        <w:ind w:left="0" w:firstLine="0"/>
      </w:pPr>
      <w:rPr>
        <w:rFonts w:ascii="黑体" w:eastAsia="黑体" w:hAnsi="黑体" w:cs="Times New Roman" w:hint="default"/>
        <w:b w:val="0"/>
        <w:bCs w:val="0"/>
        <w:i w:val="0"/>
        <w:iCs w:val="0"/>
        <w:caps w:val="0"/>
        <w:smallCaps w:val="0"/>
        <w:vanish w:val="0"/>
        <w:color w:val="auto"/>
        <w:spacing w:val="0"/>
        <w:kern w:val="0"/>
        <w:position w:val="0"/>
        <w:sz w:val="21"/>
        <w:szCs w:val="21"/>
        <w:u w:val="none"/>
        <w:vertAlign w:val="baseline"/>
        <w14:shadow w14:blurRad="0" w14:dist="0" w14:dir="0" w14:sx="0" w14:sy="0" w14:kx="0" w14:ky="0" w14:algn="none">
          <w14:srgbClr w14:val="000000"/>
        </w14:shadow>
      </w:rPr>
    </w:lvl>
    <w:lvl w:ilvl="4">
      <w:start w:val="1"/>
      <w:numFmt w:val="decimal"/>
      <w:pStyle w:val="a3"/>
      <w:suff w:val="nothing"/>
      <w:lvlText w:val="%1.%2.%3.%4.%5　"/>
      <w:lvlJc w:val="left"/>
      <w:pPr>
        <w:ind w:left="142" w:firstLine="0"/>
      </w:pPr>
      <w:rPr>
        <w:rFonts w:ascii="黑体" w:eastAsia="黑体" w:hAnsi="黑体" w:cs="Times New Roman" w:hint="default"/>
        <w:b w:val="0"/>
        <w:bCs w:val="0"/>
        <w:i w:val="0"/>
        <w:iCs w:val="0"/>
        <w:caps w:val="0"/>
        <w:smallCaps w:val="0"/>
        <w:vanish w:val="0"/>
        <w:color w:val="000000"/>
        <w:spacing w:val="0"/>
        <w:kern w:val="0"/>
        <w:position w:val="0"/>
        <w:sz w:val="21"/>
        <w:szCs w:val="21"/>
        <w:u w:val="none"/>
        <w:vertAlign w:val="baseline"/>
        <w14:shadow w14:blurRad="0" w14:dist="0" w14:dir="0" w14:sx="0" w14:sy="0" w14:kx="0" w14:ky="0" w14:algn="none">
          <w14:srgbClr w14:val="000000"/>
        </w14:shadow>
      </w:rPr>
    </w:lvl>
    <w:lvl w:ilvl="5">
      <w:start w:val="1"/>
      <w:numFmt w:val="decimal"/>
      <w:pStyle w:val="a4"/>
      <w:suff w:val="nothing"/>
      <w:lvlText w:val="%1.%2.%3.%4.%5.%6　"/>
      <w:lvlJc w:val="left"/>
      <w:pPr>
        <w:ind w:left="0" w:firstLine="0"/>
      </w:pPr>
      <w:rPr>
        <w:rFonts w:ascii="黑体" w:eastAsia="黑体" w:hAnsi="黑体" w:cs="Wingdings" w:hint="default"/>
        <w:b w:val="0"/>
        <w:bCs w:val="0"/>
        <w:i w:val="0"/>
        <w:iCs w:val="0"/>
        <w:caps w:val="0"/>
        <w:smallCaps w:val="0"/>
        <w:vanish w:val="0"/>
        <w:color w:val="000000"/>
        <w:spacing w:val="0"/>
        <w:kern w:val="0"/>
        <w:position w:val="0"/>
        <w:sz w:val="21"/>
        <w:szCs w:val="21"/>
        <w:u w:val="none"/>
        <w:vertAlign w:val="baseline"/>
        <w14:shadow w14:blurRad="0" w14:dist="0" w14:dir="0" w14:sx="0" w14:sy="0" w14:kx="0" w14:ky="0" w14:algn="none">
          <w14:srgbClr w14:val="000000"/>
        </w14:shadow>
      </w:rPr>
    </w:lvl>
    <w:lvl w:ilvl="6">
      <w:start w:val="1"/>
      <w:numFmt w:val="lowerLetter"/>
      <w:pStyle w:val="a5"/>
      <w:lvlText w:val="%7)  "/>
      <w:lvlJc w:val="left"/>
      <w:pPr>
        <w:tabs>
          <w:tab w:val="left" w:pos="743"/>
        </w:tabs>
        <w:ind w:left="1153" w:hanging="561"/>
      </w:pPr>
      <w:rPr>
        <w:rFonts w:ascii="Times New Roman" w:eastAsia="宋体" w:hAnsi="Times New Roman" w:hint="default"/>
        <w:b/>
        <w:i w:val="0"/>
        <w:caps w:val="0"/>
        <w:vanish w:val="0"/>
        <w:color w:val="000000"/>
        <w:spacing w:val="0"/>
        <w:kern w:val="0"/>
        <w:position w:val="0"/>
        <w:sz w:val="28"/>
        <w:u w:val="none"/>
        <w:vertAlign w:val="baseline"/>
        <w14:shadow w14:blurRad="0" w14:dist="0" w14:dir="0" w14:sx="0" w14:sy="0" w14:kx="0" w14:ky="0" w14:algn="none">
          <w14:srgbClr w14:val="000000"/>
        </w14:shadow>
      </w:rPr>
    </w:lvl>
    <w:lvl w:ilvl="7">
      <w:start w:val="1"/>
      <w:numFmt w:val="decimal"/>
      <w:lvlText w:val="%8)"/>
      <w:lvlJc w:val="left"/>
      <w:pPr>
        <w:tabs>
          <w:tab w:val="left" w:pos="1726"/>
        </w:tabs>
        <w:ind w:left="1726" w:hanging="567"/>
      </w:pPr>
      <w:rPr>
        <w:rFonts w:ascii="Times New Roman" w:eastAsia="宋体" w:hAnsi="Times New Roman" w:hint="default"/>
        <w:b/>
        <w:i w:val="0"/>
        <w:color w:val="auto"/>
        <w:sz w:val="28"/>
        <w:u w:val="none"/>
      </w:rPr>
    </w:lvl>
    <w:lvl w:ilvl="8">
      <w:start w:val="1"/>
      <w:numFmt w:val="none"/>
      <w:lvlText w:val="%9"/>
      <w:lvlJc w:val="left"/>
      <w:pPr>
        <w:tabs>
          <w:tab w:val="left" w:pos="885"/>
        </w:tabs>
        <w:ind w:left="525" w:firstLine="0"/>
      </w:pPr>
      <w:rPr>
        <w:rFonts w:ascii="宋体" w:eastAsia="宋体" w:hint="eastAsia"/>
        <w:b w:val="0"/>
        <w:i w:val="0"/>
        <w:color w:val="auto"/>
        <w:sz w:val="28"/>
        <w:u w:val="none"/>
      </w:rPr>
    </w:lvl>
  </w:abstractNum>
  <w:abstractNum w:abstractNumId="1" w15:restartNumberingAfterBreak="0">
    <w:nsid w:val="00000003"/>
    <w:multiLevelType w:val="multilevel"/>
    <w:tmpl w:val="00000003"/>
    <w:lvl w:ilvl="0">
      <w:start w:val="1"/>
      <w:numFmt w:val="decimal"/>
      <w:pStyle w:val="a6"/>
      <w:suff w:val="nothing"/>
      <w:lvlText w:val="图%1  "/>
      <w:lvlJc w:val="left"/>
      <w:pPr>
        <w:ind w:left="984" w:hanging="700"/>
      </w:pPr>
      <w:rPr>
        <w:rFonts w:ascii="黑体" w:eastAsia="黑体" w:hAnsi="Times New Roman" w:hint="eastAsia"/>
        <w:b w:val="0"/>
        <w:i w:val="0"/>
        <w:color w:val="auto"/>
        <w:sz w:val="21"/>
        <w:szCs w:val="21"/>
        <w:u w:val="none"/>
      </w:rPr>
    </w:lvl>
    <w:lvl w:ilvl="1">
      <w:start w:val="1"/>
      <w:numFmt w:val="decimal"/>
      <w:suff w:val="nothing"/>
      <w:lvlText w:val="%1%2　"/>
      <w:lvlJc w:val="left"/>
      <w:pPr>
        <w:ind w:left="284" w:firstLine="0"/>
      </w:pPr>
      <w:rPr>
        <w:rFonts w:ascii="Times New Roman" w:eastAsia="黑体" w:hAnsi="Times New Roman" w:hint="default"/>
        <w:b w:val="0"/>
        <w:i w:val="0"/>
        <w:sz w:val="21"/>
      </w:rPr>
    </w:lvl>
    <w:lvl w:ilvl="2">
      <w:start w:val="1"/>
      <w:numFmt w:val="decimal"/>
      <w:suff w:val="nothing"/>
      <w:lvlText w:val="%1%2.%3　"/>
      <w:lvlJc w:val="left"/>
      <w:pPr>
        <w:ind w:left="284" w:firstLine="0"/>
      </w:pPr>
      <w:rPr>
        <w:rFonts w:ascii="Times New Roman" w:eastAsia="黑体" w:hAnsi="Times New Roman" w:hint="default"/>
        <w:b w:val="0"/>
        <w:i w:val="0"/>
        <w:sz w:val="21"/>
      </w:rPr>
    </w:lvl>
    <w:lvl w:ilvl="3">
      <w:start w:val="1"/>
      <w:numFmt w:val="decimal"/>
      <w:suff w:val="nothing"/>
      <w:lvlText w:val="%1%2.%3.%4　"/>
      <w:lvlJc w:val="left"/>
      <w:pPr>
        <w:ind w:left="284" w:firstLine="0"/>
      </w:pPr>
      <w:rPr>
        <w:rFonts w:ascii="Times New Roman" w:eastAsia="黑体" w:hAnsi="Times New Roman" w:hint="default"/>
        <w:b w:val="0"/>
        <w:i w:val="0"/>
        <w:sz w:val="21"/>
      </w:rPr>
    </w:lvl>
    <w:lvl w:ilvl="4">
      <w:start w:val="1"/>
      <w:numFmt w:val="decimal"/>
      <w:suff w:val="nothing"/>
      <w:lvlText w:val="%1%2.%3.%4.%5　"/>
      <w:lvlJc w:val="left"/>
      <w:pPr>
        <w:ind w:left="284" w:firstLine="0"/>
      </w:pPr>
      <w:rPr>
        <w:rFonts w:ascii="Times New Roman" w:eastAsia="黑体" w:hAnsi="Times New Roman" w:hint="default"/>
        <w:b w:val="0"/>
        <w:i w:val="0"/>
        <w:sz w:val="21"/>
      </w:rPr>
    </w:lvl>
    <w:lvl w:ilvl="5">
      <w:start w:val="1"/>
      <w:numFmt w:val="decimal"/>
      <w:suff w:val="nothing"/>
      <w:lvlText w:val="%1%2.%3.%4.%5.%6　"/>
      <w:lvlJc w:val="left"/>
      <w:pPr>
        <w:ind w:left="284" w:firstLine="0"/>
      </w:pPr>
      <w:rPr>
        <w:rFonts w:ascii="Times New Roman" w:eastAsia="黑体" w:hAnsi="Times New Roman" w:hint="default"/>
        <w:b w:val="0"/>
        <w:i w:val="0"/>
        <w:sz w:val="21"/>
      </w:rPr>
    </w:lvl>
    <w:lvl w:ilvl="6">
      <w:start w:val="1"/>
      <w:numFmt w:val="decimal"/>
      <w:suff w:val="nothing"/>
      <w:lvlText w:val="%1%2.%3.%4.%5.%6.%7　"/>
      <w:lvlJc w:val="left"/>
      <w:pPr>
        <w:ind w:left="284" w:firstLine="0"/>
      </w:pPr>
      <w:rPr>
        <w:rFonts w:ascii="Times New Roman" w:eastAsia="黑体" w:hAnsi="Times New Roman" w:hint="default"/>
        <w:b w:val="0"/>
        <w:i w:val="0"/>
        <w:sz w:val="21"/>
      </w:rPr>
    </w:lvl>
    <w:lvl w:ilvl="7">
      <w:start w:val="1"/>
      <w:numFmt w:val="decimal"/>
      <w:lvlText w:val="%1.%2.%3.%4.%5.%6.%7.%8"/>
      <w:lvlJc w:val="left"/>
      <w:pPr>
        <w:tabs>
          <w:tab w:val="left" w:pos="4635"/>
        </w:tabs>
        <w:ind w:left="4253" w:hanging="1418"/>
      </w:pPr>
      <w:rPr>
        <w:rFonts w:hint="eastAsia"/>
      </w:rPr>
    </w:lvl>
    <w:lvl w:ilvl="8">
      <w:start w:val="1"/>
      <w:numFmt w:val="decimal"/>
      <w:lvlText w:val="%1.%2.%3.%4.%5.%6.%7.%8.%9"/>
      <w:lvlJc w:val="left"/>
      <w:pPr>
        <w:tabs>
          <w:tab w:val="left" w:pos="5061"/>
        </w:tabs>
        <w:ind w:left="4961" w:hanging="1700"/>
      </w:pPr>
      <w:rPr>
        <w:rFonts w:hint="eastAsia"/>
      </w:rPr>
    </w:lvl>
  </w:abstractNum>
  <w:abstractNum w:abstractNumId="2" w15:restartNumberingAfterBreak="0">
    <w:nsid w:val="00000005"/>
    <w:multiLevelType w:val="multilevel"/>
    <w:tmpl w:val="00000005"/>
    <w:lvl w:ilvl="0">
      <w:numFmt w:val="decimal"/>
      <w:lvlText w:val="%1"/>
      <w:lvlJc w:val="left"/>
      <w:pPr>
        <w:ind w:left="440" w:hanging="440"/>
      </w:pPr>
      <w:rPr>
        <w:rFonts w:hint="eastAsia"/>
      </w:rPr>
    </w:lvl>
    <w:lvl w:ilvl="1">
      <w:start w:val="1"/>
      <w:numFmt w:val="decimal"/>
      <w:isLgl/>
      <w:lvlText w:val="%1.%2"/>
      <w:lvlJc w:val="left"/>
      <w:pPr>
        <w:ind w:left="654" w:hanging="37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2784" w:hanging="108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3" w15:restartNumberingAfterBreak="0">
    <w:nsid w:val="10106E55"/>
    <w:multiLevelType w:val="multilevel"/>
    <w:tmpl w:val="EA5A0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D87515"/>
    <w:multiLevelType w:val="multilevel"/>
    <w:tmpl w:val="0D1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4064F5"/>
    <w:multiLevelType w:val="multilevel"/>
    <w:tmpl w:val="8E00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C466AA"/>
    <w:multiLevelType w:val="multilevel"/>
    <w:tmpl w:val="9F6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025E7F"/>
    <w:multiLevelType w:val="multilevel"/>
    <w:tmpl w:val="078CE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D23179"/>
    <w:multiLevelType w:val="multilevel"/>
    <w:tmpl w:val="457ACDD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0B6663E"/>
    <w:multiLevelType w:val="multilevel"/>
    <w:tmpl w:val="59F0B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F224C8"/>
    <w:multiLevelType w:val="multilevel"/>
    <w:tmpl w:val="66F224C8"/>
    <w:lvl w:ilvl="0">
      <w:start w:val="1"/>
      <w:numFmt w:val="decimal"/>
      <w:lvlText w:val="2.%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72DC4346"/>
    <w:multiLevelType w:val="multilevel"/>
    <w:tmpl w:val="72DC4346"/>
    <w:lvl w:ilvl="0">
      <w:start w:val="1"/>
      <w:numFmt w:val="decimal"/>
      <w:lvlText w:val="3.%1"/>
      <w:lvlJc w:val="left"/>
      <w:pPr>
        <w:ind w:left="440" w:hanging="4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72FB492C"/>
    <w:multiLevelType w:val="multilevel"/>
    <w:tmpl w:val="E608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4509EA"/>
    <w:multiLevelType w:val="multilevel"/>
    <w:tmpl w:val="7A4509EA"/>
    <w:lvl w:ilvl="0">
      <w:start w:val="1"/>
      <w:numFmt w:val="decimal"/>
      <w:pStyle w:val="SWIEE"/>
      <w:suff w:val="nothing"/>
      <w:lvlText w:val="图%1　"/>
      <w:lvlJc w:val="left"/>
      <w:pPr>
        <w:ind w:left="3403" w:firstLine="0"/>
      </w:pPr>
      <w:rPr>
        <w:rFonts w:ascii="宋体" w:eastAsia="宋体" w:hAnsi="宋体" w:hint="eastAsia"/>
        <w:b/>
        <w:bCs/>
        <w:i w:val="0"/>
        <w:sz w:val="15"/>
        <w:szCs w:val="15"/>
        <w:lang w:val="en-US"/>
      </w:rPr>
    </w:lvl>
    <w:lvl w:ilvl="1">
      <w:start w:val="1"/>
      <w:numFmt w:val="decimal"/>
      <w:suff w:val="nothing"/>
      <w:lvlText w:val="%1%2　"/>
      <w:lvlJc w:val="left"/>
      <w:pPr>
        <w:ind w:left="2126" w:firstLine="0"/>
      </w:pPr>
      <w:rPr>
        <w:rFonts w:ascii="Times New Roman" w:eastAsia="黑体" w:hAnsi="Times New Roman" w:hint="default"/>
        <w:b w:val="0"/>
        <w:i w:val="0"/>
        <w:sz w:val="21"/>
      </w:rPr>
    </w:lvl>
    <w:lvl w:ilvl="2">
      <w:start w:val="1"/>
      <w:numFmt w:val="decimal"/>
      <w:suff w:val="nothing"/>
      <w:lvlText w:val="%1%2.%3　"/>
      <w:lvlJc w:val="left"/>
      <w:pPr>
        <w:ind w:left="2126" w:firstLine="0"/>
      </w:pPr>
      <w:rPr>
        <w:rFonts w:ascii="Times New Roman" w:eastAsia="黑体" w:hAnsi="Times New Roman" w:hint="default"/>
        <w:b w:val="0"/>
        <w:i w:val="0"/>
        <w:sz w:val="21"/>
      </w:rPr>
    </w:lvl>
    <w:lvl w:ilvl="3">
      <w:start w:val="1"/>
      <w:numFmt w:val="decimal"/>
      <w:suff w:val="nothing"/>
      <w:lvlText w:val="%1%2.%3.%4　"/>
      <w:lvlJc w:val="left"/>
      <w:pPr>
        <w:ind w:left="2126" w:firstLine="0"/>
      </w:pPr>
      <w:rPr>
        <w:rFonts w:ascii="Times New Roman" w:eastAsia="黑体" w:hAnsi="Times New Roman" w:hint="default"/>
        <w:b w:val="0"/>
        <w:i w:val="0"/>
        <w:sz w:val="21"/>
      </w:rPr>
    </w:lvl>
    <w:lvl w:ilvl="4">
      <w:start w:val="1"/>
      <w:numFmt w:val="decimal"/>
      <w:suff w:val="nothing"/>
      <w:lvlText w:val="%1%2.%3.%4.%5　"/>
      <w:lvlJc w:val="left"/>
      <w:pPr>
        <w:ind w:left="2126" w:firstLine="0"/>
      </w:pPr>
      <w:rPr>
        <w:rFonts w:ascii="Times New Roman" w:eastAsia="黑体" w:hAnsi="Times New Roman" w:hint="default"/>
        <w:b w:val="0"/>
        <w:i w:val="0"/>
        <w:sz w:val="21"/>
      </w:rPr>
    </w:lvl>
    <w:lvl w:ilvl="5">
      <w:start w:val="1"/>
      <w:numFmt w:val="decimal"/>
      <w:suff w:val="nothing"/>
      <w:lvlText w:val="%1%2.%3.%4.%5.%6　"/>
      <w:lvlJc w:val="left"/>
      <w:pPr>
        <w:ind w:left="2126" w:firstLine="0"/>
      </w:pPr>
      <w:rPr>
        <w:rFonts w:ascii="Times New Roman" w:eastAsia="黑体" w:hAnsi="Times New Roman" w:hint="default"/>
        <w:b w:val="0"/>
        <w:i w:val="0"/>
        <w:sz w:val="21"/>
      </w:rPr>
    </w:lvl>
    <w:lvl w:ilvl="6">
      <w:start w:val="1"/>
      <w:numFmt w:val="decimal"/>
      <w:suff w:val="nothing"/>
      <w:lvlText w:val="%1%2.%3.%4.%5.%6.%7　"/>
      <w:lvlJc w:val="left"/>
      <w:pPr>
        <w:ind w:left="2126" w:firstLine="0"/>
      </w:pPr>
      <w:rPr>
        <w:rFonts w:ascii="Times New Roman" w:eastAsia="黑体" w:hAnsi="Times New Roman" w:hint="default"/>
        <w:b w:val="0"/>
        <w:i w:val="0"/>
        <w:sz w:val="21"/>
      </w:rPr>
    </w:lvl>
    <w:lvl w:ilvl="7">
      <w:start w:val="1"/>
      <w:numFmt w:val="decimal"/>
      <w:lvlText w:val="%1.%2.%3.%4.%5.%6.%7.%8"/>
      <w:lvlJc w:val="left"/>
      <w:pPr>
        <w:tabs>
          <w:tab w:val="left" w:pos="6477"/>
        </w:tabs>
        <w:ind w:left="6095" w:hanging="1418"/>
      </w:pPr>
      <w:rPr>
        <w:rFonts w:hint="eastAsia"/>
      </w:rPr>
    </w:lvl>
    <w:lvl w:ilvl="8">
      <w:start w:val="1"/>
      <w:numFmt w:val="decimal"/>
      <w:lvlText w:val="%1.%2.%3.%4.%5.%6.%7.%8.%9"/>
      <w:lvlJc w:val="left"/>
      <w:pPr>
        <w:tabs>
          <w:tab w:val="left" w:pos="6903"/>
        </w:tabs>
        <w:ind w:left="6803" w:hanging="1700"/>
      </w:pPr>
      <w:rPr>
        <w:rFonts w:hint="eastAsia"/>
      </w:rPr>
    </w:lvl>
  </w:abstractNum>
  <w:num w:numId="1">
    <w:abstractNumId w:val="13"/>
  </w:num>
  <w:num w:numId="2">
    <w:abstractNumId w:val="0"/>
  </w:num>
  <w:num w:numId="3">
    <w:abstractNumId w:val="1"/>
  </w:num>
  <w:num w:numId="4">
    <w:abstractNumId w:val="2"/>
  </w:num>
  <w:num w:numId="5">
    <w:abstractNumId w:val="10"/>
  </w:num>
  <w:num w:numId="6">
    <w:abstractNumId w:val="11"/>
  </w:num>
  <w:num w:numId="7">
    <w:abstractNumId w:val="9"/>
  </w:num>
  <w:num w:numId="8">
    <w:abstractNumId w:val="4"/>
  </w:num>
  <w:num w:numId="9">
    <w:abstractNumId w:val="5"/>
  </w:num>
  <w:num w:numId="10">
    <w:abstractNumId w:val="3"/>
  </w:num>
  <w:num w:numId="11">
    <w:abstractNumId w:val="7"/>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1D3"/>
    <w:rsid w:val="000158E7"/>
    <w:rsid w:val="000600D6"/>
    <w:rsid w:val="000712A7"/>
    <w:rsid w:val="000B3CBE"/>
    <w:rsid w:val="000D0352"/>
    <w:rsid w:val="000F4378"/>
    <w:rsid w:val="0011732D"/>
    <w:rsid w:val="00121661"/>
    <w:rsid w:val="0012387B"/>
    <w:rsid w:val="00182AB6"/>
    <w:rsid w:val="00183E94"/>
    <w:rsid w:val="001C7302"/>
    <w:rsid w:val="001E061B"/>
    <w:rsid w:val="001E7AD6"/>
    <w:rsid w:val="001E7D8F"/>
    <w:rsid w:val="00220EC2"/>
    <w:rsid w:val="00227442"/>
    <w:rsid w:val="002A25DC"/>
    <w:rsid w:val="002C0E13"/>
    <w:rsid w:val="00335C57"/>
    <w:rsid w:val="00372E79"/>
    <w:rsid w:val="003779EE"/>
    <w:rsid w:val="0038360D"/>
    <w:rsid w:val="00383B09"/>
    <w:rsid w:val="003C2EEA"/>
    <w:rsid w:val="003D2B29"/>
    <w:rsid w:val="003E066B"/>
    <w:rsid w:val="004428DC"/>
    <w:rsid w:val="00443B47"/>
    <w:rsid w:val="0047114E"/>
    <w:rsid w:val="0047645E"/>
    <w:rsid w:val="004D0980"/>
    <w:rsid w:val="004E3A30"/>
    <w:rsid w:val="004E521E"/>
    <w:rsid w:val="00502484"/>
    <w:rsid w:val="00557F35"/>
    <w:rsid w:val="00572BFB"/>
    <w:rsid w:val="005966C1"/>
    <w:rsid w:val="005A61D3"/>
    <w:rsid w:val="005D4F07"/>
    <w:rsid w:val="005F22F7"/>
    <w:rsid w:val="006000C5"/>
    <w:rsid w:val="006029C3"/>
    <w:rsid w:val="006256B4"/>
    <w:rsid w:val="00641B29"/>
    <w:rsid w:val="00650BE9"/>
    <w:rsid w:val="00666976"/>
    <w:rsid w:val="006A678A"/>
    <w:rsid w:val="006B1CD6"/>
    <w:rsid w:val="006D7153"/>
    <w:rsid w:val="006E763C"/>
    <w:rsid w:val="00705216"/>
    <w:rsid w:val="0071012B"/>
    <w:rsid w:val="007651C8"/>
    <w:rsid w:val="00784CC0"/>
    <w:rsid w:val="007A697C"/>
    <w:rsid w:val="007B410C"/>
    <w:rsid w:val="007C579C"/>
    <w:rsid w:val="007E0246"/>
    <w:rsid w:val="007F6B3A"/>
    <w:rsid w:val="00820D11"/>
    <w:rsid w:val="00850FF5"/>
    <w:rsid w:val="00862025"/>
    <w:rsid w:val="00862674"/>
    <w:rsid w:val="00867C9C"/>
    <w:rsid w:val="00883081"/>
    <w:rsid w:val="008A4B50"/>
    <w:rsid w:val="008B17A3"/>
    <w:rsid w:val="008E4DDC"/>
    <w:rsid w:val="008E543F"/>
    <w:rsid w:val="009072CE"/>
    <w:rsid w:val="009300B7"/>
    <w:rsid w:val="00947804"/>
    <w:rsid w:val="00967057"/>
    <w:rsid w:val="00992B25"/>
    <w:rsid w:val="009A39C8"/>
    <w:rsid w:val="00A14C1F"/>
    <w:rsid w:val="00A465E2"/>
    <w:rsid w:val="00A9471B"/>
    <w:rsid w:val="00AB62C1"/>
    <w:rsid w:val="00AE40A3"/>
    <w:rsid w:val="00B31AF3"/>
    <w:rsid w:val="00B428F6"/>
    <w:rsid w:val="00B65037"/>
    <w:rsid w:val="00B9717D"/>
    <w:rsid w:val="00BA565E"/>
    <w:rsid w:val="00BB04D4"/>
    <w:rsid w:val="00C41238"/>
    <w:rsid w:val="00C81CA8"/>
    <w:rsid w:val="00CA2DC5"/>
    <w:rsid w:val="00CB217C"/>
    <w:rsid w:val="00CB5476"/>
    <w:rsid w:val="00CE43F3"/>
    <w:rsid w:val="00D21EE1"/>
    <w:rsid w:val="00D371A0"/>
    <w:rsid w:val="00D40925"/>
    <w:rsid w:val="00DA788F"/>
    <w:rsid w:val="00DF066E"/>
    <w:rsid w:val="00DF1C0B"/>
    <w:rsid w:val="00E102ED"/>
    <w:rsid w:val="00E133C1"/>
    <w:rsid w:val="00E308FB"/>
    <w:rsid w:val="00E62BA4"/>
    <w:rsid w:val="00EC35C5"/>
    <w:rsid w:val="00ED2348"/>
    <w:rsid w:val="00EE4A8C"/>
    <w:rsid w:val="00EF63BD"/>
    <w:rsid w:val="00EF68D3"/>
    <w:rsid w:val="00F41475"/>
    <w:rsid w:val="00F55620"/>
    <w:rsid w:val="00F62B46"/>
    <w:rsid w:val="00F6646F"/>
    <w:rsid w:val="00F840CB"/>
    <w:rsid w:val="00F9302F"/>
    <w:rsid w:val="00F93828"/>
    <w:rsid w:val="00FB7335"/>
    <w:rsid w:val="00FE5F3C"/>
    <w:rsid w:val="0DDC22B7"/>
    <w:rsid w:val="1F6226C9"/>
    <w:rsid w:val="3D111333"/>
    <w:rsid w:val="4F6C34E7"/>
    <w:rsid w:val="521F0AC4"/>
    <w:rsid w:val="6FB90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5E9626"/>
  <w15:docId w15:val="{265681F0-0041-4419-8A63-4E14F49F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宋体"/>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pPr>
      <w:widowControl w:val="0"/>
      <w:jc w:val="both"/>
    </w:pPr>
    <w:rPr>
      <w:kern w:val="2"/>
      <w:sz w:val="21"/>
      <w:szCs w:val="22"/>
    </w:rPr>
  </w:style>
  <w:style w:type="paragraph" w:styleId="1">
    <w:name w:val="heading 1"/>
    <w:basedOn w:val="a7"/>
    <w:next w:val="a7"/>
    <w:link w:val="10"/>
    <w:uiPriority w:val="9"/>
    <w:qFormat/>
    <w:pPr>
      <w:keepNext/>
      <w:keepLines/>
      <w:spacing w:before="480" w:after="80"/>
      <w:outlineLvl w:val="0"/>
    </w:pPr>
    <w:rPr>
      <w:rFonts w:ascii="等线 Light" w:eastAsia="等线 Light" w:hAnsi="等线 Light"/>
      <w:color w:val="0F4761"/>
      <w:sz w:val="48"/>
      <w:szCs w:val="48"/>
    </w:rPr>
  </w:style>
  <w:style w:type="paragraph" w:styleId="2">
    <w:name w:val="heading 2"/>
    <w:basedOn w:val="a7"/>
    <w:next w:val="a7"/>
    <w:link w:val="20"/>
    <w:uiPriority w:val="9"/>
    <w:semiHidden/>
    <w:unhideWhenUsed/>
    <w:qFormat/>
    <w:pPr>
      <w:keepNext/>
      <w:keepLines/>
      <w:spacing w:before="160" w:after="80"/>
      <w:outlineLvl w:val="1"/>
    </w:pPr>
    <w:rPr>
      <w:rFonts w:ascii="等线 Light" w:eastAsia="等线 Light" w:hAnsi="等线 Light"/>
      <w:color w:val="0F4761"/>
      <w:sz w:val="40"/>
      <w:szCs w:val="40"/>
    </w:rPr>
  </w:style>
  <w:style w:type="paragraph" w:styleId="3">
    <w:name w:val="heading 3"/>
    <w:basedOn w:val="a7"/>
    <w:next w:val="a7"/>
    <w:link w:val="30"/>
    <w:uiPriority w:val="9"/>
    <w:semiHidden/>
    <w:unhideWhenUsed/>
    <w:qFormat/>
    <w:pPr>
      <w:keepNext/>
      <w:keepLines/>
      <w:spacing w:before="160" w:after="80"/>
      <w:outlineLvl w:val="2"/>
    </w:pPr>
    <w:rPr>
      <w:rFonts w:ascii="等线 Light" w:eastAsia="等线 Light" w:hAnsi="等线 Light"/>
      <w:color w:val="0F4761"/>
      <w:sz w:val="32"/>
      <w:szCs w:val="32"/>
    </w:rPr>
  </w:style>
  <w:style w:type="paragraph" w:styleId="4">
    <w:name w:val="heading 4"/>
    <w:basedOn w:val="a7"/>
    <w:next w:val="a7"/>
    <w:link w:val="40"/>
    <w:uiPriority w:val="9"/>
    <w:semiHidden/>
    <w:unhideWhenUsed/>
    <w:qFormat/>
    <w:pPr>
      <w:keepNext/>
      <w:keepLines/>
      <w:spacing w:before="80" w:after="40"/>
      <w:outlineLvl w:val="3"/>
    </w:pPr>
    <w:rPr>
      <w:color w:val="0F4761"/>
      <w:sz w:val="28"/>
      <w:szCs w:val="28"/>
    </w:rPr>
  </w:style>
  <w:style w:type="paragraph" w:styleId="5">
    <w:name w:val="heading 5"/>
    <w:basedOn w:val="a7"/>
    <w:next w:val="a7"/>
    <w:link w:val="50"/>
    <w:uiPriority w:val="9"/>
    <w:semiHidden/>
    <w:unhideWhenUsed/>
    <w:qFormat/>
    <w:pPr>
      <w:keepNext/>
      <w:keepLines/>
      <w:spacing w:before="80" w:after="40"/>
      <w:outlineLvl w:val="4"/>
    </w:pPr>
    <w:rPr>
      <w:color w:val="0F4761"/>
      <w:sz w:val="24"/>
      <w:szCs w:val="24"/>
    </w:rPr>
  </w:style>
  <w:style w:type="paragraph" w:styleId="6">
    <w:name w:val="heading 6"/>
    <w:basedOn w:val="a7"/>
    <w:next w:val="a7"/>
    <w:link w:val="60"/>
    <w:uiPriority w:val="9"/>
    <w:semiHidden/>
    <w:unhideWhenUsed/>
    <w:qFormat/>
    <w:pPr>
      <w:keepNext/>
      <w:keepLines/>
      <w:spacing w:before="40"/>
      <w:outlineLvl w:val="5"/>
    </w:pPr>
    <w:rPr>
      <w:b/>
      <w:bCs/>
      <w:color w:val="0F4761"/>
    </w:rPr>
  </w:style>
  <w:style w:type="paragraph" w:styleId="7">
    <w:name w:val="heading 7"/>
    <w:basedOn w:val="a7"/>
    <w:next w:val="a7"/>
    <w:link w:val="70"/>
    <w:uiPriority w:val="9"/>
    <w:qFormat/>
    <w:pPr>
      <w:keepNext/>
      <w:keepLines/>
      <w:spacing w:before="40"/>
      <w:outlineLvl w:val="6"/>
    </w:pPr>
    <w:rPr>
      <w:b/>
      <w:bCs/>
      <w:color w:val="595959"/>
    </w:rPr>
  </w:style>
  <w:style w:type="paragraph" w:styleId="8">
    <w:name w:val="heading 8"/>
    <w:basedOn w:val="a7"/>
    <w:next w:val="a7"/>
    <w:link w:val="80"/>
    <w:uiPriority w:val="9"/>
    <w:qFormat/>
    <w:pPr>
      <w:keepNext/>
      <w:keepLines/>
      <w:outlineLvl w:val="7"/>
    </w:pPr>
    <w:rPr>
      <w:color w:val="595959"/>
    </w:rPr>
  </w:style>
  <w:style w:type="paragraph" w:styleId="9">
    <w:name w:val="heading 9"/>
    <w:basedOn w:val="a7"/>
    <w:next w:val="a7"/>
    <w:link w:val="90"/>
    <w:uiPriority w:val="9"/>
    <w:qFormat/>
    <w:pPr>
      <w:keepNext/>
      <w:keepLines/>
      <w:outlineLvl w:val="8"/>
    </w:pPr>
    <w:rPr>
      <w:rFonts w:eastAsia="等线 Light"/>
      <w:color w:val="595959"/>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caption"/>
    <w:basedOn w:val="a7"/>
    <w:next w:val="a7"/>
    <w:link w:val="ac"/>
    <w:uiPriority w:val="35"/>
    <w:qFormat/>
    <w:pPr>
      <w:spacing w:before="60" w:after="60" w:line="360" w:lineRule="auto"/>
      <w:jc w:val="center"/>
    </w:pPr>
    <w:rPr>
      <w:rFonts w:ascii="Times New Roman" w:eastAsia="黑体" w:hAnsi="Times New Roman" w:cs="Times New Roman"/>
      <w:szCs w:val="20"/>
    </w:rPr>
  </w:style>
  <w:style w:type="paragraph" w:styleId="ad">
    <w:name w:val="footer"/>
    <w:basedOn w:val="a7"/>
    <w:link w:val="ae"/>
    <w:uiPriority w:val="99"/>
    <w:pPr>
      <w:tabs>
        <w:tab w:val="center" w:pos="4153"/>
        <w:tab w:val="right" w:pos="8306"/>
      </w:tabs>
      <w:snapToGrid w:val="0"/>
      <w:jc w:val="left"/>
    </w:pPr>
    <w:rPr>
      <w:sz w:val="18"/>
      <w:szCs w:val="18"/>
    </w:rPr>
  </w:style>
  <w:style w:type="paragraph" w:styleId="af">
    <w:name w:val="header"/>
    <w:basedOn w:val="a7"/>
    <w:link w:val="af0"/>
    <w:uiPriority w:val="99"/>
    <w:qFormat/>
    <w:pPr>
      <w:tabs>
        <w:tab w:val="center" w:pos="4153"/>
        <w:tab w:val="right" w:pos="8306"/>
      </w:tabs>
      <w:snapToGrid w:val="0"/>
      <w:jc w:val="center"/>
    </w:pPr>
    <w:rPr>
      <w:sz w:val="18"/>
      <w:szCs w:val="18"/>
    </w:rPr>
  </w:style>
  <w:style w:type="paragraph" w:styleId="af1">
    <w:name w:val="Subtitle"/>
    <w:basedOn w:val="a7"/>
    <w:next w:val="a7"/>
    <w:link w:val="af2"/>
    <w:uiPriority w:val="11"/>
    <w:qFormat/>
    <w:pPr>
      <w:spacing w:after="160"/>
      <w:jc w:val="center"/>
    </w:pPr>
    <w:rPr>
      <w:rFonts w:ascii="等线 Light" w:eastAsia="等线 Light" w:hAnsi="等线 Light"/>
      <w:color w:val="595959"/>
      <w:spacing w:val="15"/>
      <w:sz w:val="28"/>
      <w:szCs w:val="28"/>
    </w:rPr>
  </w:style>
  <w:style w:type="paragraph" w:styleId="af3">
    <w:name w:val="Title"/>
    <w:basedOn w:val="a7"/>
    <w:next w:val="a7"/>
    <w:link w:val="af4"/>
    <w:uiPriority w:val="10"/>
    <w:qFormat/>
    <w:pPr>
      <w:spacing w:after="80"/>
      <w:contextualSpacing/>
      <w:jc w:val="center"/>
    </w:pPr>
    <w:rPr>
      <w:rFonts w:ascii="等线 Light" w:eastAsia="等线 Light" w:hAnsi="等线 Light"/>
      <w:spacing w:val="-10"/>
      <w:kern w:val="28"/>
      <w:sz w:val="56"/>
      <w:szCs w:val="56"/>
    </w:rPr>
  </w:style>
  <w:style w:type="table" w:styleId="af5">
    <w:name w:val="Table Grid"/>
    <w:basedOn w:val="a9"/>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8"/>
    <w:uiPriority w:val="99"/>
    <w:semiHidden/>
    <w:unhideWhenUsed/>
    <w:rPr>
      <w:color w:val="0000FF"/>
      <w:u w:val="single"/>
    </w:rPr>
  </w:style>
  <w:style w:type="character" w:customStyle="1" w:styleId="10">
    <w:name w:val="标题 1 字符"/>
    <w:basedOn w:val="a8"/>
    <w:link w:val="1"/>
    <w:uiPriority w:val="9"/>
    <w:rPr>
      <w:rFonts w:ascii="等线 Light" w:eastAsia="等线 Light" w:hAnsi="等线 Light" w:cs="宋体"/>
      <w:color w:val="0F4761"/>
      <w:sz w:val="48"/>
      <w:szCs w:val="48"/>
    </w:rPr>
  </w:style>
  <w:style w:type="character" w:customStyle="1" w:styleId="20">
    <w:name w:val="标题 2 字符"/>
    <w:basedOn w:val="a8"/>
    <w:link w:val="2"/>
    <w:uiPriority w:val="9"/>
    <w:qFormat/>
    <w:rPr>
      <w:rFonts w:ascii="等线 Light" w:eastAsia="等线 Light" w:hAnsi="等线 Light" w:cs="宋体"/>
      <w:color w:val="0F4761"/>
      <w:sz w:val="40"/>
      <w:szCs w:val="40"/>
    </w:rPr>
  </w:style>
  <w:style w:type="character" w:customStyle="1" w:styleId="30">
    <w:name w:val="标题 3 字符"/>
    <w:basedOn w:val="a8"/>
    <w:link w:val="3"/>
    <w:uiPriority w:val="9"/>
    <w:qFormat/>
    <w:rPr>
      <w:rFonts w:ascii="等线 Light" w:eastAsia="等线 Light" w:hAnsi="等线 Light" w:cs="宋体"/>
      <w:color w:val="0F4761"/>
      <w:sz w:val="32"/>
      <w:szCs w:val="32"/>
    </w:rPr>
  </w:style>
  <w:style w:type="character" w:customStyle="1" w:styleId="40">
    <w:name w:val="标题 4 字符"/>
    <w:basedOn w:val="a8"/>
    <w:link w:val="4"/>
    <w:uiPriority w:val="9"/>
    <w:qFormat/>
    <w:rPr>
      <w:rFonts w:cs="宋体"/>
      <w:color w:val="0F4761"/>
      <w:sz w:val="28"/>
      <w:szCs w:val="28"/>
    </w:rPr>
  </w:style>
  <w:style w:type="character" w:customStyle="1" w:styleId="50">
    <w:name w:val="标题 5 字符"/>
    <w:basedOn w:val="a8"/>
    <w:link w:val="5"/>
    <w:uiPriority w:val="9"/>
    <w:rPr>
      <w:rFonts w:cs="宋体"/>
      <w:color w:val="0F4761"/>
      <w:sz w:val="24"/>
      <w:szCs w:val="24"/>
    </w:rPr>
  </w:style>
  <w:style w:type="character" w:customStyle="1" w:styleId="60">
    <w:name w:val="标题 6 字符"/>
    <w:basedOn w:val="a8"/>
    <w:link w:val="6"/>
    <w:uiPriority w:val="9"/>
    <w:qFormat/>
    <w:rPr>
      <w:rFonts w:cs="宋体"/>
      <w:b/>
      <w:bCs/>
      <w:color w:val="0F4761"/>
    </w:rPr>
  </w:style>
  <w:style w:type="character" w:customStyle="1" w:styleId="70">
    <w:name w:val="标题 7 字符"/>
    <w:basedOn w:val="a8"/>
    <w:link w:val="7"/>
    <w:uiPriority w:val="9"/>
    <w:rPr>
      <w:rFonts w:cs="宋体"/>
      <w:b/>
      <w:bCs/>
      <w:color w:val="595959"/>
    </w:rPr>
  </w:style>
  <w:style w:type="character" w:customStyle="1" w:styleId="80">
    <w:name w:val="标题 8 字符"/>
    <w:basedOn w:val="a8"/>
    <w:link w:val="8"/>
    <w:uiPriority w:val="9"/>
    <w:rPr>
      <w:rFonts w:cs="宋体"/>
      <w:color w:val="595959"/>
    </w:rPr>
  </w:style>
  <w:style w:type="character" w:customStyle="1" w:styleId="90">
    <w:name w:val="标题 9 字符"/>
    <w:basedOn w:val="a8"/>
    <w:link w:val="9"/>
    <w:uiPriority w:val="9"/>
    <w:rPr>
      <w:rFonts w:eastAsia="等线 Light" w:cs="宋体"/>
      <w:color w:val="595959"/>
    </w:rPr>
  </w:style>
  <w:style w:type="character" w:customStyle="1" w:styleId="af4">
    <w:name w:val="标题 字符"/>
    <w:basedOn w:val="a8"/>
    <w:link w:val="af3"/>
    <w:uiPriority w:val="10"/>
    <w:rPr>
      <w:rFonts w:ascii="等线 Light" w:eastAsia="等线 Light" w:hAnsi="等线 Light" w:cs="宋体"/>
      <w:spacing w:val="-10"/>
      <w:kern w:val="28"/>
      <w:sz w:val="56"/>
      <w:szCs w:val="56"/>
    </w:rPr>
  </w:style>
  <w:style w:type="character" w:customStyle="1" w:styleId="af2">
    <w:name w:val="副标题 字符"/>
    <w:basedOn w:val="a8"/>
    <w:link w:val="af1"/>
    <w:uiPriority w:val="11"/>
    <w:rPr>
      <w:rFonts w:ascii="等线 Light" w:eastAsia="等线 Light" w:hAnsi="等线 Light" w:cs="宋体"/>
      <w:color w:val="595959"/>
      <w:spacing w:val="15"/>
      <w:sz w:val="28"/>
      <w:szCs w:val="28"/>
    </w:rPr>
  </w:style>
  <w:style w:type="paragraph" w:styleId="af7">
    <w:name w:val="Quote"/>
    <w:basedOn w:val="a7"/>
    <w:next w:val="a7"/>
    <w:link w:val="af8"/>
    <w:uiPriority w:val="29"/>
    <w:qFormat/>
    <w:pPr>
      <w:spacing w:before="160" w:after="160"/>
      <w:jc w:val="center"/>
    </w:pPr>
    <w:rPr>
      <w:i/>
      <w:iCs/>
      <w:color w:val="404040"/>
    </w:rPr>
  </w:style>
  <w:style w:type="character" w:customStyle="1" w:styleId="af8">
    <w:name w:val="引用 字符"/>
    <w:basedOn w:val="a8"/>
    <w:link w:val="af7"/>
    <w:uiPriority w:val="29"/>
    <w:rPr>
      <w:i/>
      <w:iCs/>
      <w:color w:val="404040"/>
    </w:rPr>
  </w:style>
  <w:style w:type="paragraph" w:styleId="af9">
    <w:name w:val="List Paragraph"/>
    <w:basedOn w:val="a7"/>
    <w:uiPriority w:val="34"/>
    <w:qFormat/>
    <w:pPr>
      <w:ind w:left="720"/>
      <w:contextualSpacing/>
    </w:pPr>
  </w:style>
  <w:style w:type="character" w:customStyle="1" w:styleId="11">
    <w:name w:val="明显强调1"/>
    <w:basedOn w:val="a8"/>
    <w:uiPriority w:val="21"/>
    <w:qFormat/>
    <w:rPr>
      <w:i/>
      <w:iCs/>
      <w:color w:val="0F4761"/>
    </w:rPr>
  </w:style>
  <w:style w:type="paragraph" w:styleId="afa">
    <w:name w:val="Intense Quote"/>
    <w:basedOn w:val="a7"/>
    <w:next w:val="a7"/>
    <w:link w:val="afb"/>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b">
    <w:name w:val="明显引用 字符"/>
    <w:basedOn w:val="a8"/>
    <w:link w:val="afa"/>
    <w:uiPriority w:val="30"/>
    <w:rPr>
      <w:i/>
      <w:iCs/>
      <w:color w:val="0F4761"/>
    </w:rPr>
  </w:style>
  <w:style w:type="character" w:customStyle="1" w:styleId="12">
    <w:name w:val="明显参考1"/>
    <w:basedOn w:val="a8"/>
    <w:uiPriority w:val="32"/>
    <w:qFormat/>
    <w:rPr>
      <w:b/>
      <w:bCs/>
      <w:smallCaps/>
      <w:color w:val="0F4761"/>
      <w:spacing w:val="5"/>
    </w:rPr>
  </w:style>
  <w:style w:type="character" w:customStyle="1" w:styleId="af0">
    <w:name w:val="页眉 字符"/>
    <w:basedOn w:val="a8"/>
    <w:link w:val="af"/>
    <w:uiPriority w:val="99"/>
    <w:rPr>
      <w:sz w:val="18"/>
      <w:szCs w:val="18"/>
    </w:rPr>
  </w:style>
  <w:style w:type="character" w:customStyle="1" w:styleId="ae">
    <w:name w:val="页脚 字符"/>
    <w:basedOn w:val="a8"/>
    <w:link w:val="ad"/>
    <w:uiPriority w:val="99"/>
    <w:rPr>
      <w:sz w:val="18"/>
      <w:szCs w:val="18"/>
    </w:rPr>
  </w:style>
  <w:style w:type="character" w:customStyle="1" w:styleId="ac">
    <w:name w:val="题注 字符"/>
    <w:link w:val="ab"/>
    <w:uiPriority w:val="35"/>
    <w:qFormat/>
    <w:rPr>
      <w:rFonts w:ascii="Times New Roman" w:eastAsia="黑体" w:hAnsi="Times New Roman" w:cs="Times New Roman"/>
      <w:szCs w:val="20"/>
    </w:rPr>
  </w:style>
  <w:style w:type="paragraph" w:customStyle="1" w:styleId="21">
    <w:name w:val="样式2"/>
    <w:basedOn w:val="a7"/>
    <w:link w:val="22"/>
    <w:qFormat/>
    <w:pPr>
      <w:ind w:left="440" w:hanging="440"/>
    </w:pPr>
    <w:rPr>
      <w:rFonts w:ascii="Times New Roman" w:eastAsia="宋体" w:hAnsi="Times New Roman" w:cs="Times New Roman"/>
      <w:b/>
      <w:szCs w:val="21"/>
    </w:rPr>
  </w:style>
  <w:style w:type="character" w:customStyle="1" w:styleId="22">
    <w:name w:val="样式2 字符"/>
    <w:basedOn w:val="a8"/>
    <w:link w:val="21"/>
    <w:qFormat/>
    <w:rPr>
      <w:rFonts w:ascii="Times New Roman" w:eastAsia="宋体" w:hAnsi="Times New Roman" w:cs="Times New Roman"/>
      <w:b/>
      <w:szCs w:val="21"/>
    </w:rPr>
  </w:style>
  <w:style w:type="paragraph" w:customStyle="1" w:styleId="SWIEE">
    <w:name w:val="正文图标题[SWIEE]"/>
    <w:next w:val="a7"/>
    <w:pPr>
      <w:numPr>
        <w:numId w:val="1"/>
      </w:numPr>
      <w:ind w:left="3261"/>
      <w:jc w:val="center"/>
    </w:pPr>
    <w:rPr>
      <w:rFonts w:ascii="黑体" w:eastAsia="黑体" w:hAnsi="Times New Roman" w:cs="Times New Roman"/>
      <w:kern w:val="2"/>
      <w:sz w:val="21"/>
      <w:szCs w:val="22"/>
    </w:rPr>
  </w:style>
  <w:style w:type="character" w:customStyle="1" w:styleId="CharChar">
    <w:name w:val="章标题 Char Char"/>
    <w:link w:val="a"/>
    <w:qFormat/>
    <w:rPr>
      <w:rFonts w:ascii="黑体" w:eastAsia="黑体"/>
      <w:sz w:val="28"/>
    </w:rPr>
  </w:style>
  <w:style w:type="paragraph" w:customStyle="1" w:styleId="a">
    <w:name w:val="章标题"/>
    <w:next w:val="a7"/>
    <w:link w:val="CharChar"/>
    <w:qFormat/>
    <w:pPr>
      <w:numPr>
        <w:numId w:val="2"/>
      </w:numPr>
      <w:spacing w:beforeLines="50" w:afterLines="50" w:line="460" w:lineRule="exact"/>
    </w:pPr>
    <w:rPr>
      <w:rFonts w:ascii="黑体" w:eastAsia="黑体"/>
      <w:kern w:val="2"/>
      <w:sz w:val="28"/>
      <w:szCs w:val="22"/>
    </w:rPr>
  </w:style>
  <w:style w:type="paragraph" w:customStyle="1" w:styleId="a1">
    <w:name w:val="二级条标题"/>
    <w:next w:val="a7"/>
    <w:pPr>
      <w:numPr>
        <w:ilvl w:val="2"/>
        <w:numId w:val="2"/>
      </w:numPr>
      <w:spacing w:line="460" w:lineRule="exact"/>
    </w:pPr>
    <w:rPr>
      <w:rFonts w:ascii="黑体" w:eastAsia="黑体" w:hAnsi="Times New Roman" w:cs="Times New Roman"/>
      <w:sz w:val="28"/>
    </w:rPr>
  </w:style>
  <w:style w:type="paragraph" w:customStyle="1" w:styleId="a5">
    <w:name w:val="正文列项_字母"/>
    <w:pPr>
      <w:numPr>
        <w:ilvl w:val="6"/>
        <w:numId w:val="2"/>
      </w:numPr>
      <w:spacing w:line="460" w:lineRule="exact"/>
    </w:pPr>
    <w:rPr>
      <w:rFonts w:ascii="Times New Roman" w:eastAsia="宋体" w:hAnsi="Times New Roman" w:cs="Times New Roman"/>
      <w:sz w:val="28"/>
    </w:rPr>
  </w:style>
  <w:style w:type="paragraph" w:customStyle="1" w:styleId="a6">
    <w:name w:val="正文图标题"/>
    <w:next w:val="a7"/>
    <w:qFormat/>
    <w:pPr>
      <w:numPr>
        <w:numId w:val="3"/>
      </w:numPr>
      <w:spacing w:line="460" w:lineRule="exact"/>
      <w:jc w:val="center"/>
    </w:pPr>
    <w:rPr>
      <w:rFonts w:ascii="黑体" w:eastAsia="黑体" w:hAnsi="Times New Roman" w:cs="Times New Roman"/>
      <w:sz w:val="28"/>
    </w:rPr>
  </w:style>
  <w:style w:type="paragraph" w:customStyle="1" w:styleId="a2">
    <w:name w:val="三级条标题"/>
    <w:next w:val="a7"/>
    <w:pPr>
      <w:numPr>
        <w:ilvl w:val="3"/>
        <w:numId w:val="2"/>
      </w:numPr>
      <w:spacing w:line="460" w:lineRule="exact"/>
    </w:pPr>
    <w:rPr>
      <w:rFonts w:ascii="黑体" w:eastAsia="黑体" w:hAnsi="Times New Roman" w:cs="Times New Roman"/>
      <w:sz w:val="28"/>
    </w:rPr>
  </w:style>
  <w:style w:type="paragraph" w:customStyle="1" w:styleId="a3">
    <w:name w:val="四级条标题"/>
    <w:next w:val="a7"/>
    <w:pPr>
      <w:numPr>
        <w:ilvl w:val="4"/>
        <w:numId w:val="2"/>
      </w:numPr>
      <w:spacing w:line="460" w:lineRule="exact"/>
    </w:pPr>
    <w:rPr>
      <w:rFonts w:ascii="黑体" w:eastAsia="黑体" w:hAnsi="Times New Roman" w:cs="Times New Roman"/>
      <w:sz w:val="28"/>
    </w:rPr>
  </w:style>
  <w:style w:type="paragraph" w:customStyle="1" w:styleId="a0">
    <w:name w:val="一级条标题"/>
    <w:next w:val="a7"/>
    <w:qFormat/>
    <w:pPr>
      <w:numPr>
        <w:ilvl w:val="1"/>
        <w:numId w:val="2"/>
      </w:numPr>
      <w:spacing w:line="460" w:lineRule="exact"/>
    </w:pPr>
    <w:rPr>
      <w:rFonts w:ascii="黑体" w:eastAsia="黑体" w:hAnsi="Times New Roman" w:cs="Times New Roman"/>
      <w:sz w:val="28"/>
    </w:rPr>
  </w:style>
  <w:style w:type="paragraph" w:customStyle="1" w:styleId="a4">
    <w:name w:val="五级条标题"/>
    <w:next w:val="a7"/>
    <w:qFormat/>
    <w:pPr>
      <w:numPr>
        <w:ilvl w:val="5"/>
        <w:numId w:val="2"/>
      </w:numPr>
      <w:spacing w:line="460" w:lineRule="exact"/>
    </w:pPr>
    <w:rPr>
      <w:rFonts w:ascii="黑体" w:eastAsia="黑体" w:hAnsi="Times New Roman" w:cs="Times New Roman"/>
      <w:sz w:val="28"/>
    </w:rPr>
  </w:style>
  <w:style w:type="paragraph" w:customStyle="1" w:styleId="afc">
    <w:name w:val="标准文件_正文图标题"/>
    <w:next w:val="a7"/>
    <w:qFormat/>
    <w:pPr>
      <w:spacing w:beforeLines="50" w:before="50" w:afterLines="50" w:after="50"/>
      <w:jc w:val="center"/>
    </w:pPr>
    <w:rPr>
      <w:rFonts w:ascii="黑体" w:eastAsia="黑体" w:hAnsi="Times New Roman" w:cs="Times New Roman"/>
      <w:sz w:val="21"/>
    </w:rPr>
  </w:style>
  <w:style w:type="paragraph" w:styleId="afd">
    <w:name w:val="Balloon Text"/>
    <w:basedOn w:val="a7"/>
    <w:link w:val="afe"/>
    <w:uiPriority w:val="99"/>
    <w:semiHidden/>
    <w:unhideWhenUsed/>
    <w:rsid w:val="00AB62C1"/>
    <w:rPr>
      <w:sz w:val="18"/>
      <w:szCs w:val="18"/>
    </w:rPr>
  </w:style>
  <w:style w:type="character" w:customStyle="1" w:styleId="afe">
    <w:name w:val="批注框文本 字符"/>
    <w:basedOn w:val="a8"/>
    <w:link w:val="afd"/>
    <w:uiPriority w:val="99"/>
    <w:semiHidden/>
    <w:rsid w:val="00AB62C1"/>
    <w:rPr>
      <w:kern w:val="2"/>
      <w:sz w:val="18"/>
      <w:szCs w:val="18"/>
    </w:rPr>
  </w:style>
  <w:style w:type="character" w:styleId="aff">
    <w:name w:val="Strong"/>
    <w:basedOn w:val="a8"/>
    <w:uiPriority w:val="22"/>
    <w:qFormat/>
    <w:rsid w:val="00862025"/>
    <w:rPr>
      <w:b/>
      <w:bCs/>
    </w:rPr>
  </w:style>
  <w:style w:type="character" w:styleId="aff0">
    <w:name w:val="annotation reference"/>
    <w:basedOn w:val="a8"/>
    <w:uiPriority w:val="99"/>
    <w:semiHidden/>
    <w:unhideWhenUsed/>
    <w:rsid w:val="006E763C"/>
    <w:rPr>
      <w:sz w:val="21"/>
      <w:szCs w:val="21"/>
    </w:rPr>
  </w:style>
  <w:style w:type="paragraph" w:styleId="aff1">
    <w:name w:val="annotation text"/>
    <w:basedOn w:val="a7"/>
    <w:link w:val="aff2"/>
    <w:uiPriority w:val="99"/>
    <w:unhideWhenUsed/>
    <w:rsid w:val="006E763C"/>
    <w:pPr>
      <w:jc w:val="left"/>
    </w:pPr>
  </w:style>
  <w:style w:type="character" w:customStyle="1" w:styleId="aff2">
    <w:name w:val="批注文字 字符"/>
    <w:basedOn w:val="a8"/>
    <w:link w:val="aff1"/>
    <w:uiPriority w:val="99"/>
    <w:rsid w:val="006E763C"/>
    <w:rPr>
      <w:kern w:val="2"/>
      <w:sz w:val="21"/>
      <w:szCs w:val="22"/>
    </w:rPr>
  </w:style>
  <w:style w:type="paragraph" w:styleId="aff3">
    <w:name w:val="annotation subject"/>
    <w:basedOn w:val="aff1"/>
    <w:next w:val="aff1"/>
    <w:link w:val="aff4"/>
    <w:uiPriority w:val="99"/>
    <w:semiHidden/>
    <w:unhideWhenUsed/>
    <w:rsid w:val="006E763C"/>
    <w:rPr>
      <w:b/>
      <w:bCs/>
    </w:rPr>
  </w:style>
  <w:style w:type="character" w:customStyle="1" w:styleId="aff4">
    <w:name w:val="批注主题 字符"/>
    <w:basedOn w:val="aff2"/>
    <w:link w:val="aff3"/>
    <w:uiPriority w:val="99"/>
    <w:semiHidden/>
    <w:rsid w:val="006E763C"/>
    <w:rPr>
      <w:b/>
      <w:bCs/>
      <w:kern w:val="2"/>
      <w:sz w:val="21"/>
      <w:szCs w:val="22"/>
    </w:rPr>
  </w:style>
  <w:style w:type="paragraph" w:customStyle="1" w:styleId="ds-markdown-paragraph">
    <w:name w:val="ds-markdown-paragraph"/>
    <w:basedOn w:val="a7"/>
    <w:rsid w:val="007651C8"/>
    <w:pPr>
      <w:widowControl/>
      <w:spacing w:before="100" w:beforeAutospacing="1" w:after="100" w:afterAutospacing="1"/>
      <w:jc w:val="left"/>
    </w:pPr>
    <w:rPr>
      <w:rFonts w:ascii="宋体" w:eastAsia="宋体" w:hAnsi="宋体"/>
      <w:kern w:val="0"/>
      <w:sz w:val="24"/>
      <w:szCs w:val="24"/>
    </w:rPr>
  </w:style>
  <w:style w:type="character" w:styleId="aff5">
    <w:name w:val="Emphasis"/>
    <w:basedOn w:val="a8"/>
    <w:uiPriority w:val="20"/>
    <w:qFormat/>
    <w:rsid w:val="003C2E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50057">
      <w:bodyDiv w:val="1"/>
      <w:marLeft w:val="0"/>
      <w:marRight w:val="0"/>
      <w:marTop w:val="0"/>
      <w:marBottom w:val="0"/>
      <w:divBdr>
        <w:top w:val="none" w:sz="0" w:space="0" w:color="auto"/>
        <w:left w:val="none" w:sz="0" w:space="0" w:color="auto"/>
        <w:bottom w:val="none" w:sz="0" w:space="0" w:color="auto"/>
        <w:right w:val="none" w:sz="0" w:space="0" w:color="auto"/>
      </w:divBdr>
    </w:div>
    <w:div w:id="524834511">
      <w:bodyDiv w:val="1"/>
      <w:marLeft w:val="0"/>
      <w:marRight w:val="0"/>
      <w:marTop w:val="0"/>
      <w:marBottom w:val="0"/>
      <w:divBdr>
        <w:top w:val="none" w:sz="0" w:space="0" w:color="auto"/>
        <w:left w:val="none" w:sz="0" w:space="0" w:color="auto"/>
        <w:bottom w:val="none" w:sz="0" w:space="0" w:color="auto"/>
        <w:right w:val="none" w:sz="0" w:space="0" w:color="auto"/>
      </w:divBdr>
    </w:div>
    <w:div w:id="621037383">
      <w:bodyDiv w:val="1"/>
      <w:marLeft w:val="0"/>
      <w:marRight w:val="0"/>
      <w:marTop w:val="0"/>
      <w:marBottom w:val="0"/>
      <w:divBdr>
        <w:top w:val="none" w:sz="0" w:space="0" w:color="auto"/>
        <w:left w:val="none" w:sz="0" w:space="0" w:color="auto"/>
        <w:bottom w:val="none" w:sz="0" w:space="0" w:color="auto"/>
        <w:right w:val="none" w:sz="0" w:space="0" w:color="auto"/>
      </w:divBdr>
    </w:div>
    <w:div w:id="1098599445">
      <w:bodyDiv w:val="1"/>
      <w:marLeft w:val="0"/>
      <w:marRight w:val="0"/>
      <w:marTop w:val="0"/>
      <w:marBottom w:val="0"/>
      <w:divBdr>
        <w:top w:val="none" w:sz="0" w:space="0" w:color="auto"/>
        <w:left w:val="none" w:sz="0" w:space="0" w:color="auto"/>
        <w:bottom w:val="none" w:sz="0" w:space="0" w:color="auto"/>
        <w:right w:val="none" w:sz="0" w:space="0" w:color="auto"/>
      </w:divBdr>
    </w:div>
    <w:div w:id="1475482960">
      <w:bodyDiv w:val="1"/>
      <w:marLeft w:val="0"/>
      <w:marRight w:val="0"/>
      <w:marTop w:val="0"/>
      <w:marBottom w:val="0"/>
      <w:divBdr>
        <w:top w:val="none" w:sz="0" w:space="0" w:color="auto"/>
        <w:left w:val="none" w:sz="0" w:space="0" w:color="auto"/>
        <w:bottom w:val="none" w:sz="0" w:space="0" w:color="auto"/>
        <w:right w:val="none" w:sz="0" w:space="0" w:color="auto"/>
      </w:divBdr>
    </w:div>
    <w:div w:id="1546604305">
      <w:bodyDiv w:val="1"/>
      <w:marLeft w:val="0"/>
      <w:marRight w:val="0"/>
      <w:marTop w:val="0"/>
      <w:marBottom w:val="0"/>
      <w:divBdr>
        <w:top w:val="none" w:sz="0" w:space="0" w:color="auto"/>
        <w:left w:val="none" w:sz="0" w:space="0" w:color="auto"/>
        <w:bottom w:val="none" w:sz="0" w:space="0" w:color="auto"/>
        <w:right w:val="none" w:sz="0" w:space="0" w:color="auto"/>
      </w:divBdr>
    </w:div>
    <w:div w:id="2004507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package" Target="embeddings/Microsoft_Visio___1.vs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524</TotalTime>
  <Pages>8</Pages>
  <Words>1289</Words>
  <Characters>7351</Characters>
  <Application>Microsoft Office Word</Application>
  <DocSecurity>0</DocSecurity>
  <Lines>61</Lines>
  <Paragraphs>17</Paragraphs>
  <ScaleCrop>false</ScaleCrop>
  <Company>微软中国</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泉 唐</dc:creator>
  <cp:lastModifiedBy>admin</cp:lastModifiedBy>
  <cp:revision>56</cp:revision>
  <cp:lastPrinted>2025-06-30T06:24:00Z</cp:lastPrinted>
  <dcterms:created xsi:type="dcterms:W3CDTF">2025-06-30T06:34:00Z</dcterms:created>
  <dcterms:modified xsi:type="dcterms:W3CDTF">2025-07-09T09:22:00Z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2e6cbe6e85bf433e924251598d0f65a1_23</vt:lpwstr>
  </property>
  <property fmtid="{D5CDD505-2E9C-101B-9397-08002B2CF9AE}" pid="3" name="KSOTemplateDocerSaveRecord">
    <vt:lpwstr>eyJoZGlkIjoiOTVmMGNlMWZhYjg1NTI2OWQ4MzkxNjZhNTYwMjAxNGYiLCJ1c2VySWQiOiIzMTA5MjI2MzYifQ==</vt:lpwstr>
  </property>
  <property fmtid="{D5CDD505-2E9C-101B-9397-08002B2CF9AE}" pid="4" name="KSOProductBuildVer">
    <vt:lpwstr>2052-12.1.0.21171</vt:lpwstr>
  </property>
</Properties>
</file>