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DDD419" w14:textId="77777777" w:rsidR="00455074" w:rsidRDefault="00A45B6B">
      <w:pPr>
        <w:widowControl w:val="0"/>
        <w:snapToGrid/>
        <w:ind w:firstLineChars="0" w:firstLine="0"/>
        <w:jc w:val="center"/>
        <w:rPr>
          <w:rFonts w:eastAsia="黑体"/>
          <w:b/>
          <w:kern w:val="2"/>
          <w:sz w:val="36"/>
          <w:szCs w:val="36"/>
        </w:rPr>
      </w:pPr>
      <w:bookmarkStart w:id="0" w:name="OLE_LINK35"/>
      <w:r>
        <w:rPr>
          <w:rFonts w:eastAsia="黑体" w:hint="eastAsia"/>
          <w:b/>
          <w:kern w:val="2"/>
          <w:sz w:val="36"/>
          <w:szCs w:val="36"/>
        </w:rPr>
        <w:t>D</w:t>
      </w:r>
      <w:r>
        <w:rPr>
          <w:rFonts w:eastAsia="黑体"/>
          <w:b/>
          <w:kern w:val="2"/>
          <w:sz w:val="36"/>
          <w:szCs w:val="36"/>
        </w:rPr>
        <w:t>A</w:t>
      </w:r>
      <w:r>
        <w:rPr>
          <w:rFonts w:eastAsia="黑体" w:hint="eastAsia"/>
          <w:b/>
          <w:kern w:val="2"/>
          <w:sz w:val="36"/>
          <w:szCs w:val="36"/>
        </w:rPr>
        <w:t>S</w:t>
      </w:r>
      <w:r>
        <w:rPr>
          <w:rFonts w:eastAsia="黑体" w:hint="eastAsia"/>
          <w:b/>
          <w:kern w:val="2"/>
          <w:sz w:val="36"/>
          <w:szCs w:val="36"/>
        </w:rPr>
        <w:t>技术在公路智能监测领域的应用</w:t>
      </w:r>
    </w:p>
    <w:p w14:paraId="1F1EB92C" w14:textId="77777777" w:rsidR="00455074" w:rsidRDefault="00A45B6B">
      <w:pPr>
        <w:widowControl w:val="0"/>
        <w:snapToGrid/>
        <w:ind w:firstLineChars="0" w:firstLine="0"/>
        <w:jc w:val="center"/>
        <w:rPr>
          <w:b/>
          <w:kern w:val="2"/>
          <w:sz w:val="24"/>
          <w:szCs w:val="24"/>
        </w:rPr>
      </w:pPr>
      <w:r>
        <w:rPr>
          <w:rFonts w:hint="eastAsia"/>
          <w:b/>
          <w:kern w:val="2"/>
          <w:sz w:val="24"/>
          <w:szCs w:val="24"/>
        </w:rPr>
        <w:t>张</w:t>
      </w:r>
      <w:bookmarkStart w:id="1" w:name="OLE_LINK28"/>
      <w:r>
        <w:rPr>
          <w:rFonts w:hint="eastAsia"/>
          <w:b/>
          <w:kern w:val="2"/>
          <w:sz w:val="24"/>
          <w:szCs w:val="24"/>
        </w:rPr>
        <w:t>旭苹</w:t>
      </w:r>
      <w:r>
        <w:rPr>
          <w:rFonts w:hint="eastAsia"/>
          <w:vertAlign w:val="superscript"/>
        </w:rPr>
        <w:t>1</w:t>
      </w:r>
      <w:r>
        <w:rPr>
          <w:vertAlign w:val="superscript"/>
        </w:rPr>
        <w:t>, 2</w:t>
      </w:r>
      <w:r>
        <w:rPr>
          <w:rFonts w:hint="eastAsia"/>
          <w:b/>
          <w:kern w:val="2"/>
          <w:sz w:val="24"/>
          <w:szCs w:val="24"/>
        </w:rPr>
        <w:t>*</w:t>
      </w:r>
      <w:r>
        <w:rPr>
          <w:b/>
          <w:kern w:val="2"/>
          <w:sz w:val="24"/>
          <w:szCs w:val="24"/>
        </w:rPr>
        <w:t>，</w:t>
      </w:r>
      <w:r>
        <w:rPr>
          <w:rFonts w:hint="eastAsia"/>
          <w:b/>
          <w:kern w:val="2"/>
          <w:sz w:val="24"/>
          <w:szCs w:val="24"/>
        </w:rPr>
        <w:t>闫</w:t>
      </w:r>
      <w:r>
        <w:rPr>
          <w:rFonts w:hint="eastAsia"/>
          <w:b/>
          <w:kern w:val="2"/>
          <w:sz w:val="24"/>
          <w:szCs w:val="24"/>
        </w:rPr>
        <w:t xml:space="preserve"> </w:t>
      </w:r>
      <w:r>
        <w:rPr>
          <w:rFonts w:hint="eastAsia"/>
          <w:b/>
          <w:kern w:val="2"/>
          <w:sz w:val="24"/>
          <w:szCs w:val="24"/>
        </w:rPr>
        <w:t>森</w:t>
      </w:r>
      <w:r>
        <w:rPr>
          <w:rFonts w:hint="eastAsia"/>
          <w:vertAlign w:val="superscript"/>
        </w:rPr>
        <w:t>1</w:t>
      </w:r>
      <w:r>
        <w:rPr>
          <w:vertAlign w:val="superscript"/>
        </w:rPr>
        <w:t>, 2</w:t>
      </w:r>
      <w:r>
        <w:rPr>
          <w:rFonts w:hint="eastAsia"/>
          <w:b/>
          <w:kern w:val="2"/>
          <w:sz w:val="24"/>
          <w:szCs w:val="24"/>
        </w:rPr>
        <w:t>†</w:t>
      </w:r>
      <w:r>
        <w:rPr>
          <w:b/>
          <w:kern w:val="2"/>
          <w:sz w:val="24"/>
          <w:szCs w:val="24"/>
        </w:rPr>
        <w:t>，</w:t>
      </w:r>
      <w:r>
        <w:rPr>
          <w:rFonts w:hint="eastAsia"/>
          <w:b/>
          <w:kern w:val="2"/>
          <w:sz w:val="24"/>
          <w:szCs w:val="24"/>
        </w:rPr>
        <w:t>张益昕</w:t>
      </w:r>
      <w:r>
        <w:rPr>
          <w:rFonts w:hint="eastAsia"/>
          <w:vertAlign w:val="superscript"/>
        </w:rPr>
        <w:t>1</w:t>
      </w:r>
      <w:r>
        <w:rPr>
          <w:vertAlign w:val="superscript"/>
        </w:rPr>
        <w:t>, 2</w:t>
      </w:r>
      <w:r>
        <w:rPr>
          <w:b/>
          <w:kern w:val="2"/>
          <w:sz w:val="24"/>
          <w:szCs w:val="24"/>
        </w:rPr>
        <w:t>，</w:t>
      </w:r>
      <w:r>
        <w:rPr>
          <w:rFonts w:hint="eastAsia"/>
          <w:b/>
          <w:kern w:val="2"/>
          <w:sz w:val="24"/>
          <w:szCs w:val="24"/>
        </w:rPr>
        <w:t>董智捷</w:t>
      </w:r>
      <w:r>
        <w:rPr>
          <w:vertAlign w:val="superscript"/>
        </w:rPr>
        <w:t>3</w:t>
      </w:r>
      <w:r>
        <w:rPr>
          <w:rFonts w:hint="eastAsia"/>
          <w:b/>
          <w:kern w:val="2"/>
          <w:sz w:val="24"/>
          <w:szCs w:val="24"/>
        </w:rPr>
        <w:t>，黄尚佚</w:t>
      </w:r>
      <w:r>
        <w:rPr>
          <w:rFonts w:hint="eastAsia"/>
          <w:vertAlign w:val="superscript"/>
        </w:rPr>
        <w:t>1</w:t>
      </w:r>
      <w:r>
        <w:rPr>
          <w:vertAlign w:val="superscript"/>
        </w:rPr>
        <w:t>, 2</w:t>
      </w:r>
      <w:r>
        <w:rPr>
          <w:b/>
          <w:kern w:val="2"/>
          <w:sz w:val="24"/>
          <w:szCs w:val="24"/>
        </w:rPr>
        <w:t>，</w:t>
      </w:r>
      <w:r>
        <w:rPr>
          <w:rFonts w:hint="eastAsia"/>
          <w:b/>
          <w:kern w:val="2"/>
          <w:sz w:val="24"/>
          <w:szCs w:val="24"/>
        </w:rPr>
        <w:t>江亚楠</w:t>
      </w:r>
      <w:r>
        <w:rPr>
          <w:rFonts w:hint="eastAsia"/>
          <w:vertAlign w:val="superscript"/>
        </w:rPr>
        <w:t>1</w:t>
      </w:r>
      <w:r>
        <w:rPr>
          <w:vertAlign w:val="superscript"/>
        </w:rPr>
        <w:t>, 2</w:t>
      </w:r>
      <w:r>
        <w:rPr>
          <w:rFonts w:hint="eastAsia"/>
          <w:b/>
          <w:kern w:val="2"/>
          <w:sz w:val="24"/>
          <w:szCs w:val="24"/>
        </w:rPr>
        <w:t>，</w:t>
      </w:r>
    </w:p>
    <w:p w14:paraId="78B28AA6" w14:textId="77777777" w:rsidR="00455074" w:rsidRDefault="00A45B6B">
      <w:pPr>
        <w:widowControl w:val="0"/>
        <w:snapToGrid/>
        <w:ind w:firstLineChars="0" w:firstLine="0"/>
        <w:jc w:val="center"/>
        <w:rPr>
          <w:b/>
          <w:kern w:val="2"/>
          <w:sz w:val="24"/>
          <w:szCs w:val="24"/>
        </w:rPr>
      </w:pPr>
      <w:r>
        <w:rPr>
          <w:rFonts w:hint="eastAsia"/>
          <w:b/>
          <w:kern w:val="2"/>
          <w:sz w:val="24"/>
          <w:szCs w:val="24"/>
        </w:rPr>
        <w:t>桂</w:t>
      </w:r>
      <w:r>
        <w:rPr>
          <w:rFonts w:hint="eastAsia"/>
          <w:b/>
          <w:kern w:val="2"/>
          <w:sz w:val="24"/>
          <w:szCs w:val="24"/>
        </w:rPr>
        <w:t xml:space="preserve"> </w:t>
      </w:r>
      <w:r>
        <w:rPr>
          <w:rFonts w:hint="eastAsia"/>
          <w:b/>
          <w:kern w:val="2"/>
          <w:sz w:val="24"/>
          <w:szCs w:val="24"/>
        </w:rPr>
        <w:t>今</w:t>
      </w:r>
      <w:r>
        <w:rPr>
          <w:rFonts w:hint="eastAsia"/>
          <w:vertAlign w:val="superscript"/>
        </w:rPr>
        <w:t>1</w:t>
      </w:r>
      <w:r>
        <w:rPr>
          <w:vertAlign w:val="superscript"/>
        </w:rPr>
        <w:t>, 2</w:t>
      </w:r>
      <w:r>
        <w:rPr>
          <w:rFonts w:hint="eastAsia"/>
          <w:b/>
          <w:kern w:val="2"/>
          <w:sz w:val="24"/>
          <w:szCs w:val="24"/>
        </w:rPr>
        <w:t>，赵晓宇</w:t>
      </w:r>
      <w:r>
        <w:rPr>
          <w:rFonts w:hint="eastAsia"/>
          <w:vertAlign w:val="superscript"/>
        </w:rPr>
        <w:t>1</w:t>
      </w:r>
      <w:r>
        <w:rPr>
          <w:vertAlign w:val="superscript"/>
        </w:rPr>
        <w:t>, 2</w:t>
      </w:r>
      <w:r>
        <w:rPr>
          <w:rFonts w:hint="eastAsia"/>
          <w:b/>
          <w:kern w:val="2"/>
          <w:sz w:val="24"/>
          <w:szCs w:val="24"/>
        </w:rPr>
        <w:t>，陈奂文</w:t>
      </w:r>
      <w:bookmarkEnd w:id="1"/>
      <w:r>
        <w:rPr>
          <w:vertAlign w:val="superscript"/>
        </w:rPr>
        <w:t>4</w:t>
      </w:r>
    </w:p>
    <w:p w14:paraId="747DEEF3" w14:textId="77777777" w:rsidR="00455074" w:rsidRDefault="00A45B6B">
      <w:pPr>
        <w:pStyle w:val="af4"/>
        <w:widowControl w:val="0"/>
        <w:snapToGrid/>
        <w:ind w:left="885" w:firstLineChars="0" w:firstLine="0"/>
        <w:rPr>
          <w:kern w:val="2"/>
          <w:sz w:val="15"/>
          <w:szCs w:val="15"/>
        </w:rPr>
      </w:pPr>
      <w:r>
        <w:rPr>
          <w:rFonts w:hint="eastAsia"/>
          <w:kern w:val="2"/>
          <w:sz w:val="15"/>
          <w:szCs w:val="15"/>
        </w:rPr>
        <w:t>1.</w:t>
      </w:r>
      <w:r>
        <w:rPr>
          <w:rFonts w:hint="eastAsia"/>
          <w:kern w:val="2"/>
          <w:sz w:val="15"/>
          <w:szCs w:val="15"/>
        </w:rPr>
        <w:t>南京大学</w:t>
      </w:r>
      <w:r>
        <w:rPr>
          <w:rFonts w:hint="eastAsia"/>
          <w:kern w:val="2"/>
          <w:sz w:val="15"/>
          <w:szCs w:val="15"/>
        </w:rPr>
        <w:t xml:space="preserve"> </w:t>
      </w:r>
      <w:r>
        <w:rPr>
          <w:rFonts w:hint="eastAsia"/>
          <w:kern w:val="2"/>
          <w:sz w:val="15"/>
          <w:szCs w:val="15"/>
        </w:rPr>
        <w:t>现代工程与应用科学学院</w:t>
      </w:r>
      <w:r>
        <w:rPr>
          <w:kern w:val="2"/>
          <w:sz w:val="15"/>
          <w:szCs w:val="15"/>
        </w:rPr>
        <w:t>，</w:t>
      </w:r>
      <w:r>
        <w:rPr>
          <w:rFonts w:hint="eastAsia"/>
          <w:kern w:val="2"/>
          <w:sz w:val="15"/>
          <w:szCs w:val="15"/>
        </w:rPr>
        <w:t>南京</w:t>
      </w:r>
      <w:r>
        <w:rPr>
          <w:kern w:val="2"/>
          <w:sz w:val="15"/>
          <w:szCs w:val="15"/>
        </w:rPr>
        <w:t xml:space="preserve"> </w:t>
      </w:r>
      <w:r>
        <w:rPr>
          <w:rFonts w:hint="eastAsia"/>
          <w:kern w:val="2"/>
          <w:sz w:val="15"/>
          <w:szCs w:val="15"/>
        </w:rPr>
        <w:t>210023</w:t>
      </w:r>
      <w:r>
        <w:rPr>
          <w:rFonts w:hint="eastAsia"/>
          <w:kern w:val="2"/>
          <w:sz w:val="15"/>
          <w:szCs w:val="15"/>
        </w:rPr>
        <w:t>；</w:t>
      </w:r>
      <w:r>
        <w:rPr>
          <w:rFonts w:hint="eastAsia"/>
          <w:kern w:val="2"/>
          <w:sz w:val="15"/>
          <w:szCs w:val="15"/>
        </w:rPr>
        <w:t>2.</w:t>
      </w:r>
      <w:r>
        <w:rPr>
          <w:rFonts w:hint="eastAsia"/>
          <w:kern w:val="2"/>
          <w:sz w:val="15"/>
          <w:szCs w:val="15"/>
        </w:rPr>
        <w:t>智能光传感与调控技术教育部重点实验</w:t>
      </w:r>
      <w:r>
        <w:rPr>
          <w:kern w:val="2"/>
          <w:sz w:val="15"/>
          <w:szCs w:val="15"/>
        </w:rPr>
        <w:t>，</w:t>
      </w:r>
      <w:r>
        <w:rPr>
          <w:rFonts w:hint="eastAsia"/>
          <w:kern w:val="2"/>
          <w:sz w:val="15"/>
          <w:szCs w:val="15"/>
        </w:rPr>
        <w:t>南京</w:t>
      </w:r>
      <w:r>
        <w:rPr>
          <w:kern w:val="2"/>
          <w:sz w:val="15"/>
          <w:szCs w:val="15"/>
        </w:rPr>
        <w:t xml:space="preserve"> </w:t>
      </w:r>
      <w:r>
        <w:rPr>
          <w:rFonts w:hint="eastAsia"/>
          <w:kern w:val="2"/>
          <w:sz w:val="15"/>
          <w:szCs w:val="15"/>
        </w:rPr>
        <w:t>210023</w:t>
      </w:r>
      <w:r>
        <w:rPr>
          <w:rFonts w:hint="eastAsia"/>
          <w:kern w:val="2"/>
          <w:sz w:val="15"/>
          <w:szCs w:val="15"/>
        </w:rPr>
        <w:t>；</w:t>
      </w:r>
    </w:p>
    <w:p w14:paraId="1E44C8CE" w14:textId="77777777" w:rsidR="00455074" w:rsidRDefault="00A45B6B">
      <w:pPr>
        <w:pStyle w:val="af4"/>
        <w:widowControl w:val="0"/>
        <w:snapToGrid/>
        <w:ind w:left="885" w:firstLineChars="0" w:firstLine="0"/>
        <w:rPr>
          <w:kern w:val="2"/>
          <w:sz w:val="15"/>
          <w:szCs w:val="15"/>
        </w:rPr>
      </w:pPr>
      <w:r>
        <w:rPr>
          <w:kern w:val="2"/>
          <w:sz w:val="15"/>
          <w:szCs w:val="15"/>
        </w:rPr>
        <w:t>3.</w:t>
      </w:r>
      <w:r>
        <w:rPr>
          <w:rFonts w:hint="eastAsia"/>
          <w:kern w:val="2"/>
          <w:sz w:val="15"/>
          <w:szCs w:val="15"/>
        </w:rPr>
        <w:t>东南大学</w:t>
      </w:r>
      <w:r>
        <w:rPr>
          <w:rFonts w:hint="eastAsia"/>
          <w:kern w:val="2"/>
          <w:sz w:val="15"/>
          <w:szCs w:val="15"/>
        </w:rPr>
        <w:t xml:space="preserve"> </w:t>
      </w:r>
      <w:r>
        <w:rPr>
          <w:rFonts w:hint="eastAsia"/>
          <w:kern w:val="2"/>
          <w:sz w:val="15"/>
          <w:szCs w:val="15"/>
        </w:rPr>
        <w:t>交通学院，南京</w:t>
      </w:r>
      <w:r>
        <w:rPr>
          <w:rFonts w:hint="eastAsia"/>
          <w:kern w:val="2"/>
          <w:sz w:val="15"/>
          <w:szCs w:val="15"/>
        </w:rPr>
        <w:t xml:space="preserve"> 211189</w:t>
      </w:r>
      <w:r>
        <w:rPr>
          <w:rFonts w:hint="eastAsia"/>
          <w:kern w:val="2"/>
          <w:sz w:val="15"/>
          <w:szCs w:val="15"/>
        </w:rPr>
        <w:t>；</w:t>
      </w:r>
      <w:r>
        <w:rPr>
          <w:kern w:val="2"/>
          <w:sz w:val="15"/>
          <w:szCs w:val="15"/>
        </w:rPr>
        <w:t>4.</w:t>
      </w:r>
      <w:r>
        <w:rPr>
          <w:rFonts w:hint="eastAsia"/>
          <w:kern w:val="2"/>
          <w:sz w:val="15"/>
          <w:szCs w:val="15"/>
        </w:rPr>
        <w:t>杭州法艾博光电科技有限公司，杭州</w:t>
      </w:r>
      <w:r>
        <w:rPr>
          <w:rFonts w:hint="eastAsia"/>
          <w:kern w:val="2"/>
          <w:sz w:val="15"/>
          <w:szCs w:val="15"/>
        </w:rPr>
        <w:t xml:space="preserve"> 3</w:t>
      </w:r>
      <w:r>
        <w:rPr>
          <w:kern w:val="2"/>
          <w:sz w:val="15"/>
          <w:szCs w:val="15"/>
        </w:rPr>
        <w:t>10000</w:t>
      </w:r>
    </w:p>
    <w:p w14:paraId="4FD8494C" w14:textId="77777777" w:rsidR="00455074" w:rsidRDefault="00455074">
      <w:pPr>
        <w:widowControl w:val="0"/>
        <w:snapToGrid/>
        <w:ind w:firstLineChars="350" w:firstLine="525"/>
        <w:jc w:val="center"/>
        <w:rPr>
          <w:kern w:val="2"/>
          <w:sz w:val="15"/>
          <w:szCs w:val="15"/>
        </w:rPr>
      </w:pPr>
    </w:p>
    <w:p w14:paraId="5FBD8785" w14:textId="77777777" w:rsidR="00455074" w:rsidRDefault="00A45B6B">
      <w:pPr>
        <w:widowControl w:val="0"/>
        <w:snapToGrid/>
        <w:ind w:firstLineChars="0" w:firstLine="0"/>
        <w:rPr>
          <w:rFonts w:ascii="楷体_GB2312" w:eastAsia="楷体_GB2312"/>
          <w:sz w:val="18"/>
          <w:szCs w:val="18"/>
        </w:rPr>
      </w:pPr>
      <w:r>
        <w:rPr>
          <w:rFonts w:hint="eastAsia"/>
          <w:b/>
          <w:kern w:val="2"/>
          <w:sz w:val="18"/>
          <w:szCs w:val="18"/>
        </w:rPr>
        <w:t>摘要：</w:t>
      </w:r>
      <w:r>
        <w:rPr>
          <w:rFonts w:ascii="楷体_GB2312" w:eastAsia="楷体_GB2312" w:hint="eastAsia"/>
          <w:sz w:val="18"/>
          <w:szCs w:val="18"/>
        </w:rPr>
        <w:t>针对传统点式传感在公路长距离连续监测及内部隐性病害识别上的局限，阐述分布式光纤声传感（DAS）的传感原理、系统架构、光缆布设方案及信号处理与参数反演技术，归纳其在路面病害检测、边坡预警及周界安防中的应用，并实施非开挖路面全链路监测系统进行分车型车流全天量化监测验证。结果表明：该系统能有效实现交通运行状态与结构健康的一体化监测，提供全天候分车型车流量化数据，验证了DAS技术在智慧公路全结构深度感知中的可行性与应用价值。</w:t>
      </w:r>
    </w:p>
    <w:p w14:paraId="625A1FD1" w14:textId="77777777" w:rsidR="00455074" w:rsidRDefault="00A45B6B">
      <w:pPr>
        <w:widowControl w:val="0"/>
        <w:snapToGrid/>
        <w:ind w:firstLineChars="0" w:firstLine="0"/>
        <w:rPr>
          <w:rFonts w:ascii="楷体_GB2312" w:eastAsia="楷体_GB2312"/>
          <w:kern w:val="2"/>
          <w:sz w:val="18"/>
          <w:szCs w:val="18"/>
        </w:rPr>
      </w:pPr>
      <w:r>
        <w:rPr>
          <w:b/>
          <w:kern w:val="2"/>
          <w:sz w:val="18"/>
          <w:szCs w:val="18"/>
        </w:rPr>
        <w:t>关键词：</w:t>
      </w:r>
      <w:bookmarkStart w:id="2" w:name="_Hlk233836485"/>
      <w:r>
        <w:rPr>
          <w:rFonts w:ascii="楷体_GB2312" w:eastAsia="楷体_GB2312" w:hint="eastAsia"/>
          <w:kern w:val="2"/>
          <w:sz w:val="18"/>
          <w:szCs w:val="18"/>
        </w:rPr>
        <w:t>分布式光纤声传感；公路智能监测；结构健康监测；交通流监测</w:t>
      </w:r>
      <w:bookmarkEnd w:id="2"/>
    </w:p>
    <w:p w14:paraId="368387B8" w14:textId="77777777" w:rsidR="00455074" w:rsidRDefault="00A45B6B">
      <w:pPr>
        <w:widowControl w:val="0"/>
        <w:snapToGrid/>
        <w:ind w:firstLineChars="0" w:firstLine="0"/>
        <w:rPr>
          <w:color w:val="000000"/>
          <w:kern w:val="2"/>
          <w:sz w:val="18"/>
          <w:szCs w:val="18"/>
        </w:rPr>
      </w:pPr>
      <w:r>
        <w:rPr>
          <w:rFonts w:hint="eastAsia"/>
          <w:b/>
          <w:color w:val="000000"/>
          <w:kern w:val="2"/>
          <w:sz w:val="18"/>
          <w:szCs w:val="18"/>
        </w:rPr>
        <w:t>中图分类号：</w:t>
      </w:r>
      <w:r>
        <w:rPr>
          <w:color w:val="000000"/>
          <w:kern w:val="2"/>
          <w:sz w:val="18"/>
          <w:szCs w:val="18"/>
        </w:rPr>
        <w:t xml:space="preserve">TN256 </w:t>
      </w:r>
      <w:r>
        <w:rPr>
          <w:rFonts w:hint="eastAsia"/>
          <w:color w:val="000000"/>
          <w:kern w:val="2"/>
          <w:sz w:val="18"/>
          <w:szCs w:val="18"/>
        </w:rPr>
        <w:t xml:space="preserve">   </w:t>
      </w:r>
      <w:r>
        <w:rPr>
          <w:rFonts w:hint="eastAsia"/>
          <w:color w:val="000000"/>
          <w:kern w:val="2"/>
          <w:sz w:val="18"/>
          <w:szCs w:val="18"/>
        </w:rPr>
        <w:t>文献标识码</w:t>
      </w:r>
      <w:r>
        <w:rPr>
          <w:color w:val="000000"/>
          <w:kern w:val="2"/>
          <w:sz w:val="18"/>
          <w:szCs w:val="18"/>
        </w:rPr>
        <w:t xml:space="preserve">: A        </w:t>
      </w:r>
    </w:p>
    <w:p w14:paraId="6EFA5BCF" w14:textId="77777777" w:rsidR="00455074" w:rsidRDefault="00455074">
      <w:pPr>
        <w:widowControl w:val="0"/>
        <w:snapToGrid/>
        <w:ind w:firstLineChars="0" w:firstLine="0"/>
        <w:rPr>
          <w:kern w:val="2"/>
          <w:sz w:val="18"/>
          <w:szCs w:val="18"/>
        </w:rPr>
      </w:pPr>
    </w:p>
    <w:p w14:paraId="15A0F65C" w14:textId="77777777" w:rsidR="00455074" w:rsidRDefault="00A45B6B">
      <w:pPr>
        <w:widowControl w:val="0"/>
        <w:adjustRightInd w:val="0"/>
        <w:ind w:firstLineChars="0" w:firstLine="0"/>
        <w:contextualSpacing/>
        <w:jc w:val="center"/>
        <w:rPr>
          <w:b/>
          <w:kern w:val="2"/>
          <w:szCs w:val="21"/>
        </w:rPr>
      </w:pPr>
      <w:bookmarkStart w:id="3" w:name="_Hlk233839638"/>
      <w:r>
        <w:rPr>
          <w:rFonts w:hint="eastAsia"/>
          <w:b/>
          <w:kern w:val="2"/>
          <w:sz w:val="32"/>
          <w:szCs w:val="32"/>
        </w:rPr>
        <w:t xml:space="preserve">Application of </w:t>
      </w:r>
      <w:r>
        <w:rPr>
          <w:b/>
          <w:kern w:val="2"/>
          <w:sz w:val="32"/>
          <w:szCs w:val="32"/>
        </w:rPr>
        <w:t>DAS</w:t>
      </w:r>
      <w:r>
        <w:rPr>
          <w:rFonts w:hint="eastAsia"/>
          <w:b/>
          <w:kern w:val="2"/>
          <w:sz w:val="32"/>
          <w:szCs w:val="32"/>
        </w:rPr>
        <w:t xml:space="preserve"> </w:t>
      </w:r>
      <w:r>
        <w:rPr>
          <w:b/>
          <w:kern w:val="2"/>
          <w:sz w:val="32"/>
          <w:szCs w:val="32"/>
        </w:rPr>
        <w:t>in intelligent road monitoring</w:t>
      </w:r>
      <w:bookmarkEnd w:id="3"/>
    </w:p>
    <w:p w14:paraId="5B17D919" w14:textId="77777777" w:rsidR="00455074" w:rsidRDefault="00A45B6B">
      <w:pPr>
        <w:widowControl w:val="0"/>
        <w:adjustRightInd w:val="0"/>
        <w:ind w:leftChars="250" w:left="525" w:rightChars="250" w:right="525" w:firstLineChars="0" w:firstLine="0"/>
        <w:jc w:val="center"/>
        <w:rPr>
          <w:b/>
          <w:kern w:val="2"/>
          <w:szCs w:val="21"/>
        </w:rPr>
      </w:pPr>
      <w:bookmarkStart w:id="4" w:name="_Hlk233839651"/>
      <w:bookmarkStart w:id="5" w:name="OLE_LINK5"/>
      <w:r>
        <w:rPr>
          <w:b/>
          <w:kern w:val="2"/>
          <w:szCs w:val="21"/>
        </w:rPr>
        <w:t>ZHANG Xuping</w:t>
      </w:r>
      <w:r>
        <w:rPr>
          <w:rFonts w:hint="eastAsia"/>
          <w:vertAlign w:val="superscript"/>
        </w:rPr>
        <w:t>1</w:t>
      </w:r>
      <w:r>
        <w:rPr>
          <w:b/>
          <w:kern w:val="2"/>
          <w:szCs w:val="21"/>
        </w:rPr>
        <w:t>*, YAN Sen</w:t>
      </w:r>
      <w:r>
        <w:rPr>
          <w:rFonts w:hint="eastAsia"/>
          <w:vertAlign w:val="superscript"/>
        </w:rPr>
        <w:t>1</w:t>
      </w:r>
      <w:r>
        <w:rPr>
          <w:b/>
          <w:kern w:val="2"/>
          <w:szCs w:val="21"/>
        </w:rPr>
        <w:t>†, ZHANG Yixin</w:t>
      </w:r>
      <w:r>
        <w:rPr>
          <w:rFonts w:hint="eastAsia"/>
          <w:vertAlign w:val="superscript"/>
        </w:rPr>
        <w:t>1</w:t>
      </w:r>
      <w:r>
        <w:rPr>
          <w:b/>
          <w:kern w:val="2"/>
          <w:szCs w:val="21"/>
        </w:rPr>
        <w:t xml:space="preserve">, </w:t>
      </w:r>
      <w:r>
        <w:rPr>
          <w:rFonts w:hint="eastAsia"/>
          <w:b/>
          <w:kern w:val="2"/>
          <w:szCs w:val="21"/>
        </w:rPr>
        <w:t>D</w:t>
      </w:r>
      <w:r>
        <w:rPr>
          <w:b/>
          <w:kern w:val="2"/>
          <w:szCs w:val="21"/>
        </w:rPr>
        <w:t>ONG</w:t>
      </w:r>
      <w:r>
        <w:rPr>
          <w:rFonts w:hint="eastAsia"/>
          <w:b/>
          <w:kern w:val="2"/>
          <w:szCs w:val="21"/>
        </w:rPr>
        <w:t xml:space="preserve"> Zhijie</w:t>
      </w:r>
      <w:r>
        <w:rPr>
          <w:rFonts w:hint="eastAsia"/>
          <w:vertAlign w:val="superscript"/>
        </w:rPr>
        <w:t>2</w:t>
      </w:r>
      <w:r>
        <w:rPr>
          <w:rFonts w:hint="eastAsia"/>
          <w:b/>
          <w:kern w:val="2"/>
          <w:szCs w:val="21"/>
        </w:rPr>
        <w:t xml:space="preserve">, </w:t>
      </w:r>
      <w:r>
        <w:rPr>
          <w:b/>
          <w:kern w:val="2"/>
          <w:szCs w:val="21"/>
        </w:rPr>
        <w:t>HUANG Shangyi</w:t>
      </w:r>
      <w:r>
        <w:rPr>
          <w:rFonts w:hint="eastAsia"/>
          <w:vertAlign w:val="superscript"/>
        </w:rPr>
        <w:t>1</w:t>
      </w:r>
      <w:r>
        <w:rPr>
          <w:b/>
          <w:kern w:val="2"/>
          <w:szCs w:val="21"/>
        </w:rPr>
        <w:t>, JIANG Yanan</w:t>
      </w:r>
      <w:r>
        <w:rPr>
          <w:rFonts w:hint="eastAsia"/>
          <w:vertAlign w:val="superscript"/>
        </w:rPr>
        <w:t>1</w:t>
      </w:r>
      <w:r>
        <w:rPr>
          <w:b/>
          <w:kern w:val="2"/>
          <w:szCs w:val="21"/>
        </w:rPr>
        <w:t>, GUI Jin</w:t>
      </w:r>
      <w:r>
        <w:rPr>
          <w:rFonts w:hint="eastAsia"/>
          <w:vertAlign w:val="superscript"/>
        </w:rPr>
        <w:t>1</w:t>
      </w:r>
      <w:r>
        <w:rPr>
          <w:b/>
          <w:kern w:val="2"/>
          <w:szCs w:val="21"/>
        </w:rPr>
        <w:t>, ZHAO Xiaoyu</w:t>
      </w:r>
      <w:r>
        <w:rPr>
          <w:rFonts w:hint="eastAsia"/>
          <w:vertAlign w:val="superscript"/>
        </w:rPr>
        <w:t>1</w:t>
      </w:r>
      <w:r>
        <w:rPr>
          <w:b/>
          <w:kern w:val="2"/>
          <w:szCs w:val="21"/>
        </w:rPr>
        <w:t xml:space="preserve">, </w:t>
      </w:r>
      <w:r>
        <w:rPr>
          <w:rFonts w:hint="eastAsia"/>
          <w:b/>
          <w:kern w:val="2"/>
          <w:szCs w:val="21"/>
        </w:rPr>
        <w:t>C</w:t>
      </w:r>
      <w:r>
        <w:rPr>
          <w:b/>
          <w:kern w:val="2"/>
          <w:szCs w:val="21"/>
        </w:rPr>
        <w:t xml:space="preserve">HEN </w:t>
      </w:r>
      <w:r>
        <w:rPr>
          <w:rFonts w:hint="eastAsia"/>
          <w:b/>
          <w:kern w:val="2"/>
          <w:szCs w:val="21"/>
        </w:rPr>
        <w:t>Huawen</w:t>
      </w:r>
      <w:r>
        <w:rPr>
          <w:vertAlign w:val="superscript"/>
        </w:rPr>
        <w:t>3</w:t>
      </w:r>
    </w:p>
    <w:p w14:paraId="3CF07E55" w14:textId="77777777" w:rsidR="00455074" w:rsidRDefault="00A45B6B">
      <w:pPr>
        <w:widowControl w:val="0"/>
        <w:adjustRightInd w:val="0"/>
        <w:ind w:leftChars="250" w:left="525" w:rightChars="250" w:right="525" w:firstLineChars="0" w:firstLine="0"/>
        <w:jc w:val="center"/>
        <w:rPr>
          <w:b/>
          <w:kern w:val="2"/>
          <w:sz w:val="15"/>
          <w:szCs w:val="15"/>
        </w:rPr>
      </w:pPr>
      <w:r>
        <w:rPr>
          <w:rFonts w:hint="eastAsia"/>
          <w:b/>
          <w:kern w:val="2"/>
          <w:sz w:val="15"/>
          <w:szCs w:val="15"/>
        </w:rPr>
        <w:t>（</w:t>
      </w:r>
      <w:r>
        <w:rPr>
          <w:b/>
          <w:kern w:val="2"/>
          <w:sz w:val="15"/>
          <w:szCs w:val="15"/>
        </w:rPr>
        <w:t xml:space="preserve">1. </w:t>
      </w:r>
      <w:r>
        <w:rPr>
          <w:rFonts w:hint="eastAsia"/>
          <w:b/>
          <w:kern w:val="2"/>
          <w:sz w:val="15"/>
          <w:szCs w:val="15"/>
        </w:rPr>
        <w:t>Key Laboratory of Intelligent Optical Sensing and Manipulation, Ministry of Education, College of</w:t>
      </w:r>
    </w:p>
    <w:p w14:paraId="712B4C15" w14:textId="77777777" w:rsidR="00455074" w:rsidRDefault="00A45B6B">
      <w:pPr>
        <w:widowControl w:val="0"/>
        <w:adjustRightInd w:val="0"/>
        <w:ind w:leftChars="250" w:left="525" w:rightChars="250" w:right="525" w:firstLineChars="0" w:firstLine="0"/>
        <w:jc w:val="center"/>
        <w:rPr>
          <w:b/>
          <w:kern w:val="2"/>
          <w:sz w:val="15"/>
          <w:szCs w:val="15"/>
        </w:rPr>
      </w:pPr>
      <w:r>
        <w:rPr>
          <w:rFonts w:hint="eastAsia"/>
          <w:b/>
          <w:kern w:val="2"/>
          <w:sz w:val="15"/>
          <w:szCs w:val="15"/>
        </w:rPr>
        <w:t>Engineering and Applied Sciences, Nanjing University, Nanjing 210023, China</w:t>
      </w:r>
      <w:r>
        <w:rPr>
          <w:rFonts w:hint="eastAsia"/>
          <w:b/>
          <w:kern w:val="2"/>
          <w:sz w:val="15"/>
          <w:szCs w:val="15"/>
        </w:rPr>
        <w:t>；</w:t>
      </w:r>
    </w:p>
    <w:p w14:paraId="2512AD3A" w14:textId="77777777" w:rsidR="00455074" w:rsidRDefault="00A45B6B">
      <w:pPr>
        <w:widowControl w:val="0"/>
        <w:adjustRightInd w:val="0"/>
        <w:ind w:leftChars="250" w:left="525" w:rightChars="250" w:right="525" w:firstLineChars="0" w:firstLine="0"/>
        <w:jc w:val="center"/>
        <w:rPr>
          <w:b/>
          <w:kern w:val="2"/>
          <w:sz w:val="15"/>
          <w:szCs w:val="15"/>
        </w:rPr>
      </w:pPr>
      <w:r>
        <w:rPr>
          <w:b/>
          <w:kern w:val="2"/>
          <w:sz w:val="15"/>
          <w:szCs w:val="15"/>
        </w:rPr>
        <w:t>2 .</w:t>
      </w:r>
      <w:r>
        <w:rPr>
          <w:rFonts w:hint="eastAsia"/>
          <w:b/>
          <w:kern w:val="2"/>
          <w:sz w:val="15"/>
          <w:szCs w:val="15"/>
        </w:rPr>
        <w:t xml:space="preserve">Southeast University </w:t>
      </w:r>
      <w:r>
        <w:rPr>
          <w:b/>
          <w:kern w:val="2"/>
          <w:sz w:val="15"/>
          <w:szCs w:val="15"/>
        </w:rPr>
        <w:t>, Nanjing 2111</w:t>
      </w:r>
      <w:r>
        <w:rPr>
          <w:rFonts w:hint="eastAsia"/>
          <w:b/>
          <w:kern w:val="2"/>
          <w:sz w:val="15"/>
          <w:szCs w:val="15"/>
        </w:rPr>
        <w:t>89</w:t>
      </w:r>
      <w:r>
        <w:rPr>
          <w:b/>
          <w:kern w:val="2"/>
          <w:sz w:val="15"/>
          <w:szCs w:val="15"/>
        </w:rPr>
        <w:t>, China</w:t>
      </w:r>
      <w:r>
        <w:rPr>
          <w:rFonts w:hint="eastAsia"/>
          <w:b/>
          <w:kern w:val="2"/>
          <w:sz w:val="15"/>
          <w:szCs w:val="15"/>
        </w:rPr>
        <w:t>；</w:t>
      </w:r>
    </w:p>
    <w:p w14:paraId="588C5D9D" w14:textId="77777777" w:rsidR="00455074" w:rsidRDefault="00A45B6B">
      <w:pPr>
        <w:widowControl w:val="0"/>
        <w:adjustRightInd w:val="0"/>
        <w:ind w:leftChars="250" w:left="525" w:rightChars="250" w:right="525" w:firstLineChars="0" w:firstLine="0"/>
        <w:jc w:val="center"/>
        <w:rPr>
          <w:b/>
          <w:kern w:val="2"/>
          <w:sz w:val="15"/>
          <w:szCs w:val="15"/>
        </w:rPr>
      </w:pPr>
      <w:r>
        <w:rPr>
          <w:b/>
          <w:kern w:val="2"/>
          <w:sz w:val="15"/>
          <w:szCs w:val="15"/>
        </w:rPr>
        <w:t>3</w:t>
      </w:r>
      <w:r>
        <w:rPr>
          <w:rFonts w:hint="eastAsia"/>
          <w:b/>
          <w:kern w:val="2"/>
          <w:sz w:val="15"/>
          <w:szCs w:val="15"/>
        </w:rPr>
        <w:t xml:space="preserve"> </w:t>
      </w:r>
      <w:r>
        <w:rPr>
          <w:b/>
          <w:kern w:val="2"/>
          <w:sz w:val="15"/>
          <w:szCs w:val="15"/>
        </w:rPr>
        <w:t>.</w:t>
      </w:r>
      <w:r>
        <w:rPr>
          <w:rFonts w:hint="eastAsia"/>
          <w:b/>
          <w:kern w:val="2"/>
          <w:sz w:val="15"/>
          <w:szCs w:val="15"/>
        </w:rPr>
        <w:t>Hangzhou</w:t>
      </w:r>
      <w:r>
        <w:rPr>
          <w:b/>
          <w:kern w:val="2"/>
          <w:sz w:val="15"/>
          <w:szCs w:val="15"/>
        </w:rPr>
        <w:t xml:space="preserve"> Fiber Photonics Technology Co., Ltd., </w:t>
      </w:r>
      <w:r>
        <w:rPr>
          <w:rFonts w:hint="eastAsia"/>
          <w:b/>
          <w:kern w:val="2"/>
          <w:sz w:val="15"/>
          <w:szCs w:val="15"/>
        </w:rPr>
        <w:t>Hangzhou</w:t>
      </w:r>
      <w:r>
        <w:rPr>
          <w:b/>
          <w:kern w:val="2"/>
          <w:sz w:val="15"/>
          <w:szCs w:val="15"/>
        </w:rPr>
        <w:t xml:space="preserve"> </w:t>
      </w:r>
      <w:r>
        <w:rPr>
          <w:rFonts w:hint="eastAsia"/>
          <w:b/>
          <w:kern w:val="2"/>
          <w:sz w:val="15"/>
          <w:szCs w:val="15"/>
        </w:rPr>
        <w:t>310000</w:t>
      </w:r>
      <w:r>
        <w:rPr>
          <w:b/>
          <w:kern w:val="2"/>
          <w:sz w:val="15"/>
          <w:szCs w:val="15"/>
        </w:rPr>
        <w:t>, China</w:t>
      </w:r>
      <w:r>
        <w:rPr>
          <w:rFonts w:hint="eastAsia"/>
          <w:b/>
          <w:kern w:val="2"/>
          <w:sz w:val="15"/>
          <w:szCs w:val="15"/>
        </w:rPr>
        <w:t>）</w:t>
      </w:r>
    </w:p>
    <w:p w14:paraId="1BF03E2F" w14:textId="77777777" w:rsidR="00455074" w:rsidRDefault="00455074">
      <w:pPr>
        <w:widowControl w:val="0"/>
        <w:adjustRightInd w:val="0"/>
        <w:ind w:leftChars="250" w:left="525" w:rightChars="250" w:right="525" w:firstLineChars="0" w:firstLine="0"/>
        <w:jc w:val="center"/>
        <w:rPr>
          <w:b/>
          <w:kern w:val="2"/>
          <w:sz w:val="15"/>
          <w:szCs w:val="15"/>
        </w:rPr>
      </w:pPr>
    </w:p>
    <w:bookmarkEnd w:id="4"/>
    <w:p w14:paraId="6A8E44FF" w14:textId="77777777" w:rsidR="00455074" w:rsidRDefault="00455074">
      <w:pPr>
        <w:widowControl w:val="0"/>
        <w:adjustRightInd w:val="0"/>
        <w:ind w:leftChars="250" w:left="525" w:rightChars="250" w:right="525" w:firstLineChars="0" w:firstLine="0"/>
        <w:jc w:val="center"/>
        <w:rPr>
          <w:b/>
          <w:strike/>
          <w:kern w:val="2"/>
          <w:szCs w:val="21"/>
        </w:rPr>
      </w:pPr>
    </w:p>
    <w:p w14:paraId="6EF9E61E" w14:textId="77777777" w:rsidR="00455074" w:rsidRDefault="00A45B6B">
      <w:pPr>
        <w:widowControl w:val="0"/>
        <w:snapToGrid/>
        <w:ind w:firstLineChars="0" w:firstLine="0"/>
        <w:rPr>
          <w:kern w:val="2"/>
          <w:sz w:val="18"/>
          <w:szCs w:val="18"/>
        </w:rPr>
      </w:pPr>
      <w:bookmarkStart w:id="6" w:name="OLE_LINK1"/>
      <w:bookmarkStart w:id="7" w:name="_Hlk233839663"/>
      <w:bookmarkEnd w:id="5"/>
      <w:r>
        <w:rPr>
          <w:b/>
          <w:kern w:val="2"/>
          <w:sz w:val="18"/>
          <w:szCs w:val="18"/>
        </w:rPr>
        <w:t>Abstract:</w:t>
      </w:r>
      <w:bookmarkEnd w:id="6"/>
      <w:r>
        <w:rPr>
          <w:b/>
          <w:kern w:val="2"/>
          <w:sz w:val="18"/>
          <w:szCs w:val="18"/>
        </w:rPr>
        <w:t xml:space="preserve"> </w:t>
      </w:r>
      <w:r>
        <w:rPr>
          <w:kern w:val="2"/>
          <w:sz w:val="18"/>
          <w:szCs w:val="18"/>
        </w:rPr>
        <w:t>To address the limitations of conventional point sensors in long-distance continuous highway monitoring and the identification of hidden internal defects, this paper describes the sensing principles, system architecture, fiber-optic cable deployment schemes, signal-processing methods, and parameter-inversion techniques of distributed acoustic sensing (DAS). Its applications in pavement distress detection, slope early warning, and perimeter security are reviewed. In addition, a trenchless end-to-end pavement monitoring system is implemented and validated through round-the-clock quantitative traffic monitoring by vehicle class. The results demonstrate that the system can effectively integrate traffic-operation monitoring with structural health monitoring and provide continuous, all-weather, vehicle-class-specific traffic data. These findings confirm the feasibility and practical value of DAS for in-depth, full-structure sensing of smart highways.</w:t>
      </w:r>
    </w:p>
    <w:p w14:paraId="03FDF3EE" w14:textId="77777777" w:rsidR="00455074" w:rsidRDefault="00A45B6B">
      <w:pPr>
        <w:widowControl w:val="0"/>
        <w:snapToGrid/>
        <w:ind w:firstLineChars="0" w:firstLine="0"/>
        <w:rPr>
          <w:kern w:val="2"/>
          <w:sz w:val="18"/>
          <w:szCs w:val="18"/>
        </w:rPr>
      </w:pPr>
      <w:r>
        <w:rPr>
          <w:b/>
          <w:kern w:val="2"/>
          <w:sz w:val="18"/>
          <w:szCs w:val="18"/>
        </w:rPr>
        <w:t xml:space="preserve">Key words: </w:t>
      </w:r>
      <w:bookmarkStart w:id="8" w:name="_Hlk233836518"/>
      <w:r>
        <w:rPr>
          <w:kern w:val="2"/>
          <w:sz w:val="18"/>
          <w:szCs w:val="18"/>
        </w:rPr>
        <w:t>distributed optical fiber acoustic sensi</w:t>
      </w:r>
      <w:r>
        <w:rPr>
          <w:rFonts w:hint="eastAsia"/>
          <w:kern w:val="2"/>
          <w:sz w:val="18"/>
          <w:szCs w:val="18"/>
        </w:rPr>
        <w:t>ng</w:t>
      </w:r>
      <w:r>
        <w:rPr>
          <w:kern w:val="2"/>
          <w:sz w:val="18"/>
          <w:szCs w:val="18"/>
        </w:rPr>
        <w:t>,</w:t>
      </w:r>
      <w:r>
        <w:rPr>
          <w:rFonts w:hint="eastAsia"/>
          <w:kern w:val="2"/>
          <w:sz w:val="18"/>
          <w:szCs w:val="18"/>
        </w:rPr>
        <w:t xml:space="preserve"> smart highway</w:t>
      </w:r>
      <w:r>
        <w:rPr>
          <w:kern w:val="2"/>
          <w:sz w:val="18"/>
          <w:szCs w:val="18"/>
        </w:rPr>
        <w:t>,</w:t>
      </w:r>
      <w:r>
        <w:rPr>
          <w:rFonts w:hint="eastAsia"/>
          <w:kern w:val="2"/>
          <w:sz w:val="18"/>
          <w:szCs w:val="18"/>
        </w:rPr>
        <w:t xml:space="preserve"> structural health monitoring</w:t>
      </w:r>
      <w:r>
        <w:rPr>
          <w:kern w:val="2"/>
          <w:sz w:val="18"/>
          <w:szCs w:val="18"/>
        </w:rPr>
        <w:t>,</w:t>
      </w:r>
      <w:r>
        <w:rPr>
          <w:rFonts w:hint="eastAsia"/>
          <w:kern w:val="2"/>
          <w:sz w:val="18"/>
          <w:szCs w:val="18"/>
        </w:rPr>
        <w:t xml:space="preserve"> traffic monitoring</w:t>
      </w:r>
      <w:bookmarkEnd w:id="8"/>
    </w:p>
    <w:bookmarkEnd w:id="0"/>
    <w:bookmarkEnd w:id="7"/>
    <w:p w14:paraId="40839BA5" w14:textId="77777777" w:rsidR="00455074" w:rsidRDefault="00A45B6B">
      <w:pPr>
        <w:ind w:firstLineChars="0" w:firstLine="0"/>
        <w:rPr>
          <w:rFonts w:ascii="黑体" w:eastAsia="黑体" w:hAnsi="黑体" w:cs="黑体"/>
          <w:b/>
          <w:sz w:val="24"/>
          <w:szCs w:val="24"/>
        </w:rPr>
      </w:pPr>
      <w:r>
        <w:rPr>
          <w:rStyle w:val="20"/>
          <w:rFonts w:ascii="黑体" w:hAnsi="黑体" w:cs="黑体" w:hint="eastAsia"/>
          <w:szCs w:val="24"/>
        </w:rPr>
        <w:t>0</w:t>
      </w:r>
      <w:r>
        <w:rPr>
          <w:rStyle w:val="20"/>
          <w:rFonts w:ascii="黑体" w:hAnsi="黑体" w:cs="黑体"/>
          <w:szCs w:val="24"/>
        </w:rPr>
        <w:t xml:space="preserve"> </w:t>
      </w:r>
      <w:r>
        <w:rPr>
          <w:rStyle w:val="20"/>
          <w:rFonts w:ascii="黑体" w:hAnsi="黑体" w:cs="黑体" w:hint="eastAsia"/>
          <w:szCs w:val="24"/>
        </w:rPr>
        <w:t>引言</w:t>
      </w:r>
    </w:p>
    <w:p w14:paraId="13F6ECE6" w14:textId="77777777" w:rsidR="00455074" w:rsidRDefault="00A45B6B">
      <w:pPr>
        <w:ind w:firstLine="420"/>
        <w:rPr>
          <w:bCs/>
          <w:szCs w:val="21"/>
        </w:rPr>
      </w:pPr>
      <w:bookmarkStart w:id="9" w:name="_Hlk234145953"/>
      <w:bookmarkStart w:id="10" w:name="OLE_LINK36"/>
      <w:r>
        <w:rPr>
          <w:rFonts w:hint="eastAsia"/>
          <w:bCs/>
          <w:szCs w:val="21"/>
        </w:rPr>
        <w:t>公路是现代交通基础设施的重要组成部分，路面服役状况与实时交通运行状态直接关系</w:t>
      </w:r>
      <w:bookmarkEnd w:id="9"/>
      <w:r>
        <w:rPr>
          <w:rFonts w:hint="eastAsia"/>
          <w:bCs/>
          <w:szCs w:val="21"/>
        </w:rPr>
        <w:t>到运行安全和运输效率</w:t>
      </w:r>
      <w:r>
        <w:rPr>
          <w:bCs/>
          <w:szCs w:val="21"/>
        </w:rPr>
        <w:fldChar w:fldCharType="begin"/>
      </w:r>
      <w:r>
        <w:rPr>
          <w:bCs/>
          <w:szCs w:val="21"/>
        </w:rPr>
        <w:instrText xml:space="preserve"> REF _Ref233842044 \r \h  \* MERGEFORMAT </w:instrText>
      </w:r>
      <w:r>
        <w:rPr>
          <w:bCs/>
          <w:szCs w:val="21"/>
        </w:rPr>
      </w:r>
      <w:r>
        <w:rPr>
          <w:bCs/>
          <w:szCs w:val="21"/>
        </w:rPr>
        <w:fldChar w:fldCharType="separate"/>
      </w:r>
      <w:r>
        <w:rPr>
          <w:bCs/>
          <w:szCs w:val="21"/>
        </w:rPr>
        <w:t>[1]</w:t>
      </w:r>
      <w:r>
        <w:rPr>
          <w:bCs/>
          <w:szCs w:val="21"/>
        </w:rPr>
        <w:fldChar w:fldCharType="end"/>
      </w:r>
      <w:r>
        <w:rPr>
          <w:rFonts w:hint="eastAsia"/>
          <w:bCs/>
          <w:szCs w:val="21"/>
        </w:rPr>
        <w:t>。随着服役年限不断增加，早期建设的公路逐步进入老化、病害高发阶段，路面破损、路基沉降、桥梁损伤、边坡滑坡等病害频发，严重影响公路通行安全与服役寿命</w:t>
      </w:r>
      <w:r>
        <w:rPr>
          <w:bCs/>
          <w:szCs w:val="21"/>
        </w:rPr>
        <w:fldChar w:fldCharType="begin"/>
      </w:r>
      <w:r>
        <w:rPr>
          <w:bCs/>
          <w:szCs w:val="21"/>
        </w:rPr>
        <w:instrText xml:space="preserve"> REF _Ref233842051 \r \h  \* MERGEFORMAT </w:instrText>
      </w:r>
      <w:r>
        <w:rPr>
          <w:bCs/>
          <w:szCs w:val="21"/>
        </w:rPr>
      </w:r>
      <w:r>
        <w:rPr>
          <w:bCs/>
          <w:szCs w:val="21"/>
        </w:rPr>
        <w:fldChar w:fldCharType="separate"/>
      </w:r>
      <w:r>
        <w:rPr>
          <w:bCs/>
          <w:szCs w:val="21"/>
        </w:rPr>
        <w:t>[2]</w:t>
      </w:r>
      <w:r>
        <w:rPr>
          <w:bCs/>
          <w:szCs w:val="21"/>
        </w:rPr>
        <w:fldChar w:fldCharType="end"/>
      </w:r>
      <w:r>
        <w:rPr>
          <w:rFonts w:hint="eastAsia"/>
          <w:bCs/>
          <w:szCs w:val="21"/>
        </w:rPr>
        <w:t>。同时，现阶段公路交通流量持续攀升，违规施工、极端天气、地质灾害等外部因素进一步加剧了结构损耗，对公路常态化、精细化、智能化监测提出了极高需求</w:t>
      </w:r>
      <w:r>
        <w:rPr>
          <w:bCs/>
          <w:szCs w:val="21"/>
        </w:rPr>
        <w:fldChar w:fldCharType="begin"/>
      </w:r>
      <w:r>
        <w:rPr>
          <w:bCs/>
          <w:szCs w:val="21"/>
        </w:rPr>
        <w:instrText xml:space="preserve"> REF _Ref233842058 \r \h  \* MERGEFORMAT </w:instrText>
      </w:r>
      <w:r>
        <w:rPr>
          <w:bCs/>
          <w:szCs w:val="21"/>
        </w:rPr>
      </w:r>
      <w:r>
        <w:rPr>
          <w:bCs/>
          <w:szCs w:val="21"/>
        </w:rPr>
        <w:fldChar w:fldCharType="separate"/>
      </w:r>
      <w:r>
        <w:rPr>
          <w:bCs/>
          <w:szCs w:val="21"/>
        </w:rPr>
        <w:t>[3]</w:t>
      </w:r>
      <w:r>
        <w:rPr>
          <w:bCs/>
          <w:szCs w:val="21"/>
        </w:rPr>
        <w:fldChar w:fldCharType="end"/>
      </w:r>
      <w:r>
        <w:rPr>
          <w:rFonts w:hint="eastAsia"/>
          <w:bCs/>
          <w:szCs w:val="21"/>
        </w:rPr>
        <w:t>。</w:t>
      </w:r>
    </w:p>
    <w:p w14:paraId="02EAF2E0" w14:textId="28CBD3AE" w:rsidR="00455074" w:rsidRDefault="00A45B6B">
      <w:pPr>
        <w:ind w:firstLine="420"/>
        <w:rPr>
          <w:bCs/>
          <w:szCs w:val="21"/>
        </w:rPr>
      </w:pPr>
      <w:bookmarkStart w:id="11" w:name="OLE_LINK32"/>
      <w:bookmarkEnd w:id="10"/>
      <w:r>
        <w:rPr>
          <w:rFonts w:hint="eastAsia"/>
          <w:bCs/>
          <w:szCs w:val="21"/>
        </w:rPr>
        <w:t>现有公路监测以人工巡检与点式传感设备为主。人工巡检模式依赖工作人员现场排查，人力成本高，监测结果主观性强</w:t>
      </w:r>
      <w:r w:rsidR="00F206D8">
        <w:rPr>
          <w:bCs/>
          <w:szCs w:val="21"/>
        </w:rPr>
        <w:t>[4-</w:t>
      </w:r>
      <w:r>
        <w:rPr>
          <w:bCs/>
          <w:szCs w:val="21"/>
        </w:rPr>
        <w:fldChar w:fldCharType="begin"/>
      </w:r>
      <w:r>
        <w:rPr>
          <w:bCs/>
          <w:szCs w:val="21"/>
        </w:rPr>
        <w:instrText xml:space="preserve"> REF _Ref233842076 \r \h </w:instrText>
      </w:r>
      <w:r>
        <w:rPr>
          <w:bCs/>
          <w:szCs w:val="21"/>
        </w:rPr>
      </w:r>
      <w:r>
        <w:rPr>
          <w:bCs/>
          <w:szCs w:val="21"/>
        </w:rPr>
        <w:fldChar w:fldCharType="separate"/>
      </w:r>
      <w:r>
        <w:rPr>
          <w:bCs/>
          <w:szCs w:val="21"/>
        </w:rPr>
        <w:t>5]</w:t>
      </w:r>
      <w:r>
        <w:rPr>
          <w:bCs/>
          <w:szCs w:val="21"/>
        </w:rPr>
        <w:fldChar w:fldCharType="end"/>
      </w:r>
      <w:r>
        <w:rPr>
          <w:rFonts w:hint="eastAsia"/>
          <w:bCs/>
          <w:szCs w:val="21"/>
        </w:rPr>
        <w:t>。地感线圈、微波雷达、视频摄像头等点式监测设备均存在明显技术局限性：地感线圈易受路面变形破坏，维护频次高；微波雷达在雨雪、大雾天气下监测精度大幅下降；视频摄像头依赖良好光照条件，易被遮挡、干扰，且无法监测结构内部物理参数</w:t>
      </w:r>
      <w:r>
        <w:rPr>
          <w:bCs/>
          <w:szCs w:val="21"/>
        </w:rPr>
        <w:fldChar w:fldCharType="begin"/>
      </w:r>
      <w:r>
        <w:rPr>
          <w:bCs/>
          <w:szCs w:val="21"/>
        </w:rPr>
        <w:instrText xml:space="preserve"> REF _Ref233842083 \r \h  \* MERGEFORMAT </w:instrText>
      </w:r>
      <w:r>
        <w:rPr>
          <w:bCs/>
          <w:szCs w:val="21"/>
        </w:rPr>
      </w:r>
      <w:r>
        <w:rPr>
          <w:bCs/>
          <w:szCs w:val="21"/>
        </w:rPr>
        <w:fldChar w:fldCharType="separate"/>
      </w:r>
      <w:r>
        <w:rPr>
          <w:bCs/>
          <w:szCs w:val="21"/>
        </w:rPr>
        <w:t>[6]</w:t>
      </w:r>
      <w:r>
        <w:rPr>
          <w:bCs/>
          <w:szCs w:val="21"/>
        </w:rPr>
        <w:fldChar w:fldCharType="end"/>
      </w:r>
      <w:r>
        <w:rPr>
          <w:rFonts w:hint="eastAsia"/>
          <w:bCs/>
          <w:szCs w:val="21"/>
        </w:rPr>
        <w:t>。这些都难以满足公路长距离、全域连续状态感知的需求。因此，亟需一种新型分布式监测技术，弥补上述技术空白</w:t>
      </w:r>
      <w:r>
        <w:rPr>
          <w:bCs/>
          <w:szCs w:val="21"/>
        </w:rPr>
        <w:fldChar w:fldCharType="begin"/>
      </w:r>
      <w:r>
        <w:rPr>
          <w:bCs/>
          <w:szCs w:val="21"/>
        </w:rPr>
        <w:instrText xml:space="preserve"> REF _Ref233842090 \r \h  \* MERGEFORMAT </w:instrText>
      </w:r>
      <w:r>
        <w:rPr>
          <w:bCs/>
          <w:szCs w:val="21"/>
        </w:rPr>
      </w:r>
      <w:r>
        <w:rPr>
          <w:bCs/>
          <w:szCs w:val="21"/>
        </w:rPr>
        <w:fldChar w:fldCharType="separate"/>
      </w:r>
      <w:r>
        <w:rPr>
          <w:bCs/>
          <w:szCs w:val="21"/>
        </w:rPr>
        <w:t>[7]</w:t>
      </w:r>
      <w:r>
        <w:rPr>
          <w:bCs/>
          <w:szCs w:val="21"/>
        </w:rPr>
        <w:fldChar w:fldCharType="end"/>
      </w:r>
      <w:r>
        <w:rPr>
          <w:rFonts w:hint="eastAsia"/>
          <w:bCs/>
          <w:szCs w:val="21"/>
        </w:rPr>
        <w:t>。</w:t>
      </w:r>
    </w:p>
    <w:p w14:paraId="0A741B26" w14:textId="100A9D87" w:rsidR="00455074" w:rsidRDefault="00A45B6B">
      <w:pPr>
        <w:ind w:firstLine="420"/>
        <w:rPr>
          <w:bCs/>
          <w:szCs w:val="21"/>
        </w:rPr>
      </w:pPr>
      <w:bookmarkStart w:id="12" w:name="OLE_LINK42"/>
      <w:bookmarkEnd w:id="11"/>
      <w:r>
        <w:rPr>
          <w:rFonts w:hint="eastAsia"/>
          <w:bCs/>
          <w:szCs w:val="21"/>
        </w:rPr>
        <w:lastRenderedPageBreak/>
        <w:t>分布式光纤声传感（</w:t>
      </w:r>
      <w:r>
        <w:rPr>
          <w:bCs/>
          <w:szCs w:val="21"/>
        </w:rPr>
        <w:t>DAS</w:t>
      </w:r>
      <w:r>
        <w:rPr>
          <w:rFonts w:hint="eastAsia"/>
          <w:bCs/>
          <w:szCs w:val="21"/>
        </w:rPr>
        <w:t>）可实现数十千米级线路的全域连续不间断监测，从根本上突破了传统点式监测手段的空间覆盖局限。该技术对振动、微应变等</w:t>
      </w:r>
      <w:r>
        <w:t>时</w:t>
      </w:r>
      <w:r>
        <w:rPr>
          <w:rFonts w:hint="eastAsia"/>
        </w:rPr>
        <w:t>变</w:t>
      </w:r>
      <w:r>
        <w:rPr>
          <w:rFonts w:hint="eastAsia"/>
          <w:bCs/>
          <w:szCs w:val="21"/>
        </w:rPr>
        <w:t>动态信号具有极高感知灵敏度，能够精准捕捉车辆动荷载诱发的路面振动响应，与公路交通感知、结构健康与安全监测的双重应用需求高度契合。凭借无源抗扰、全域连续的技术特性，</w:t>
      </w:r>
      <w:r>
        <w:rPr>
          <w:bCs/>
          <w:szCs w:val="21"/>
        </w:rPr>
        <w:t>DAS</w:t>
      </w:r>
      <w:r>
        <w:rPr>
          <w:rFonts w:hint="eastAsia"/>
          <w:bCs/>
          <w:szCs w:val="21"/>
        </w:rPr>
        <w:t>可沿线路无盲区采集微弱形变信号，单条链路即可同步实现交通流感知与多结构健康监测</w:t>
      </w:r>
      <w:r>
        <w:rPr>
          <w:bCs/>
          <w:szCs w:val="21"/>
        </w:rPr>
        <w:fldChar w:fldCharType="begin"/>
      </w:r>
      <w:r>
        <w:rPr>
          <w:bCs/>
          <w:szCs w:val="21"/>
        </w:rPr>
        <w:instrText xml:space="preserve"> REF _Ref233842097 \r \h  \* MERGEFORMAT </w:instrText>
      </w:r>
      <w:r>
        <w:rPr>
          <w:bCs/>
          <w:szCs w:val="21"/>
        </w:rPr>
      </w:r>
      <w:r>
        <w:rPr>
          <w:bCs/>
          <w:szCs w:val="21"/>
        </w:rPr>
        <w:fldChar w:fldCharType="separate"/>
      </w:r>
      <w:r>
        <w:rPr>
          <w:bCs/>
          <w:szCs w:val="21"/>
        </w:rPr>
        <w:t>[8]</w:t>
      </w:r>
      <w:r>
        <w:rPr>
          <w:bCs/>
          <w:szCs w:val="21"/>
        </w:rPr>
        <w:fldChar w:fldCharType="end"/>
      </w:r>
      <w:r>
        <w:rPr>
          <w:rFonts w:hint="eastAsia"/>
          <w:bCs/>
          <w:szCs w:val="21"/>
        </w:rPr>
        <w:t>，为公路全要素全生命周期监测提供统一感知方案</w:t>
      </w:r>
      <w:r>
        <w:fldChar w:fldCharType="begin"/>
      </w:r>
      <w:r>
        <w:instrText xml:space="preserve"> REF _Ref233842173 \r \h </w:instrText>
      </w:r>
      <w:r>
        <w:fldChar w:fldCharType="separate"/>
      </w:r>
      <w:r>
        <w:t>[9]</w:t>
      </w:r>
      <w:r>
        <w:fldChar w:fldCharType="end"/>
      </w:r>
      <w:r>
        <w:rPr>
          <w:rFonts w:hint="eastAsia"/>
          <w:bCs/>
          <w:szCs w:val="21"/>
        </w:rPr>
        <w:t>，是当前公路监测领域的重要研究方向，在长距离干线监测、隐性病害早期识别等场景优势显著</w:t>
      </w:r>
      <w:r w:rsidR="00F206D8">
        <w:rPr>
          <w:bCs/>
          <w:szCs w:val="21"/>
        </w:rPr>
        <w:t>[</w:t>
      </w:r>
      <w:r w:rsidR="00F206D8">
        <w:rPr>
          <w:bCs/>
          <w:szCs w:val="21"/>
        </w:rPr>
        <w:t>10</w:t>
      </w:r>
      <w:r w:rsidR="00F206D8">
        <w:rPr>
          <w:bCs/>
          <w:szCs w:val="21"/>
        </w:rPr>
        <w:t>-</w:t>
      </w:r>
      <w:r w:rsidR="00F206D8">
        <w:rPr>
          <w:bCs/>
          <w:szCs w:val="21"/>
        </w:rPr>
        <w:fldChar w:fldCharType="begin"/>
      </w:r>
      <w:r w:rsidR="00F206D8">
        <w:rPr>
          <w:bCs/>
          <w:szCs w:val="21"/>
        </w:rPr>
        <w:instrText xml:space="preserve"> REF _Ref233842076 \r \h </w:instrText>
      </w:r>
      <w:r w:rsidR="00F206D8">
        <w:rPr>
          <w:bCs/>
          <w:szCs w:val="21"/>
        </w:rPr>
      </w:r>
      <w:r w:rsidR="00F206D8">
        <w:rPr>
          <w:bCs/>
          <w:szCs w:val="21"/>
        </w:rPr>
        <w:fldChar w:fldCharType="separate"/>
      </w:r>
      <w:r w:rsidR="00F206D8">
        <w:rPr>
          <w:bCs/>
          <w:szCs w:val="21"/>
        </w:rPr>
        <w:t>11</w:t>
      </w:r>
      <w:r w:rsidR="00F206D8">
        <w:rPr>
          <w:bCs/>
          <w:szCs w:val="21"/>
        </w:rPr>
        <w:t>]</w:t>
      </w:r>
      <w:r w:rsidR="00F206D8">
        <w:rPr>
          <w:bCs/>
          <w:szCs w:val="21"/>
        </w:rPr>
        <w:fldChar w:fldCharType="end"/>
      </w:r>
      <w:r>
        <w:rPr>
          <w:rFonts w:hint="eastAsia"/>
          <w:bCs/>
          <w:szCs w:val="21"/>
        </w:rPr>
        <w:t>。</w:t>
      </w:r>
    </w:p>
    <w:p w14:paraId="234234E2" w14:textId="2D4F21B0" w:rsidR="00455074" w:rsidRDefault="00A45B6B">
      <w:pPr>
        <w:ind w:firstLine="420"/>
        <w:rPr>
          <w:bCs/>
          <w:szCs w:val="21"/>
        </w:rPr>
      </w:pPr>
      <w:bookmarkStart w:id="13" w:name="OLE_LINK34"/>
      <w:bookmarkEnd w:id="12"/>
      <w:r>
        <w:rPr>
          <w:rFonts w:hint="eastAsia"/>
          <w:bCs/>
          <w:szCs w:val="21"/>
        </w:rPr>
        <w:t>当前，</w:t>
      </w:r>
      <w:r>
        <w:rPr>
          <w:bCs/>
          <w:szCs w:val="21"/>
        </w:rPr>
        <w:t>DAS</w:t>
      </w:r>
      <w:r>
        <w:rPr>
          <w:rFonts w:hint="eastAsia"/>
          <w:bCs/>
          <w:szCs w:val="21"/>
        </w:rPr>
        <w:t>公路监测已从可行性验证转向工程化落地技术研究，已在高速公路车流监测和道路健康监测等场景实现规模化示范应用。国内外许多科研团队，正在围绕公路适配传感光缆布设方式、环境噪声抑制、车辆轨迹提取、交通量多参数反演等核心工程难题开展系统性攻关，有效打通</w:t>
      </w:r>
      <w:r>
        <w:rPr>
          <w:bCs/>
          <w:szCs w:val="21"/>
        </w:rPr>
        <w:t>DAS</w:t>
      </w:r>
      <w:r>
        <w:rPr>
          <w:rFonts w:hint="eastAsia"/>
          <w:bCs/>
          <w:szCs w:val="21"/>
        </w:rPr>
        <w:t>公路监测从理论试验到现场部署的技术链路</w:t>
      </w:r>
      <w:r w:rsidR="00020DE1">
        <w:rPr>
          <w:bCs/>
          <w:szCs w:val="21"/>
        </w:rPr>
        <w:t>[1</w:t>
      </w:r>
      <w:r w:rsidR="00020DE1">
        <w:rPr>
          <w:bCs/>
          <w:szCs w:val="21"/>
        </w:rPr>
        <w:t>2</w:t>
      </w:r>
      <w:r w:rsidR="00020DE1">
        <w:rPr>
          <w:bCs/>
          <w:szCs w:val="21"/>
        </w:rPr>
        <w:t>-</w:t>
      </w:r>
      <w:r w:rsidR="00020DE1">
        <w:rPr>
          <w:bCs/>
          <w:szCs w:val="21"/>
        </w:rPr>
        <w:fldChar w:fldCharType="begin"/>
      </w:r>
      <w:r w:rsidR="00020DE1">
        <w:rPr>
          <w:bCs/>
          <w:szCs w:val="21"/>
        </w:rPr>
        <w:instrText xml:space="preserve"> REF _Ref233842076 \r \h </w:instrText>
      </w:r>
      <w:r w:rsidR="00020DE1">
        <w:rPr>
          <w:bCs/>
          <w:szCs w:val="21"/>
        </w:rPr>
      </w:r>
      <w:r w:rsidR="00020DE1">
        <w:rPr>
          <w:bCs/>
          <w:szCs w:val="21"/>
        </w:rPr>
        <w:fldChar w:fldCharType="separate"/>
      </w:r>
      <w:r w:rsidR="00020DE1">
        <w:rPr>
          <w:bCs/>
          <w:szCs w:val="21"/>
        </w:rPr>
        <w:t>1</w:t>
      </w:r>
      <w:r w:rsidR="00020DE1">
        <w:rPr>
          <w:bCs/>
          <w:szCs w:val="21"/>
        </w:rPr>
        <w:t>3</w:t>
      </w:r>
      <w:r w:rsidR="00020DE1">
        <w:rPr>
          <w:bCs/>
          <w:szCs w:val="21"/>
        </w:rPr>
        <w:t>]</w:t>
      </w:r>
      <w:r w:rsidR="00020DE1">
        <w:rPr>
          <w:bCs/>
          <w:szCs w:val="21"/>
        </w:rPr>
        <w:fldChar w:fldCharType="end"/>
      </w:r>
      <w:r>
        <w:rPr>
          <w:rFonts w:hint="eastAsia"/>
          <w:bCs/>
          <w:szCs w:val="21"/>
        </w:rPr>
        <w:t>。</w:t>
      </w:r>
    </w:p>
    <w:p w14:paraId="3DF395CA" w14:textId="77777777" w:rsidR="00455074" w:rsidRDefault="00455074">
      <w:pPr>
        <w:ind w:firstLine="420"/>
        <w:rPr>
          <w:bCs/>
          <w:szCs w:val="21"/>
        </w:rPr>
      </w:pPr>
    </w:p>
    <w:bookmarkEnd w:id="13"/>
    <w:p w14:paraId="44C62CDA" w14:textId="77777777" w:rsidR="00455074" w:rsidRDefault="00A45B6B">
      <w:pPr>
        <w:ind w:firstLineChars="0" w:firstLine="0"/>
        <w:rPr>
          <w:rStyle w:val="20"/>
          <w:rFonts w:ascii="黑体" w:hAnsi="黑体" w:cs="黑体"/>
          <w:szCs w:val="24"/>
        </w:rPr>
      </w:pPr>
      <w:r>
        <w:rPr>
          <w:rStyle w:val="20"/>
          <w:rFonts w:ascii="黑体" w:hAnsi="黑体" w:cs="黑体" w:hint="eastAsia"/>
          <w:szCs w:val="24"/>
        </w:rPr>
        <w:t>1  基于</w:t>
      </w:r>
      <w:r>
        <w:rPr>
          <w:rStyle w:val="20"/>
          <w:rFonts w:ascii="Times New Roman" w:hAnsi="Times New Roman" w:cs="Times New Roman"/>
          <w:szCs w:val="24"/>
        </w:rPr>
        <w:t>DAS</w:t>
      </w:r>
      <w:r>
        <w:rPr>
          <w:rStyle w:val="20"/>
          <w:rFonts w:ascii="Times New Roman" w:hAnsi="Times New Roman" w:cs="Times New Roman" w:hint="eastAsia"/>
          <w:szCs w:val="24"/>
        </w:rPr>
        <w:t>的</w:t>
      </w:r>
      <w:r>
        <w:rPr>
          <w:rStyle w:val="20"/>
          <w:rFonts w:ascii="黑体" w:hAnsi="黑体" w:cs="黑体" w:hint="eastAsia"/>
          <w:szCs w:val="24"/>
        </w:rPr>
        <w:t>公路监测原理与方案</w:t>
      </w:r>
    </w:p>
    <w:p w14:paraId="01B38DDA" w14:textId="77777777" w:rsidR="00455074" w:rsidRDefault="00A45B6B">
      <w:pPr>
        <w:pStyle w:val="3"/>
        <w:rPr>
          <w:rFonts w:ascii="黑体" w:hAnsi="黑体" w:cs="黑体"/>
        </w:rPr>
      </w:pPr>
      <w:r>
        <w:rPr>
          <w:rFonts w:ascii="黑体" w:hAnsi="黑体" w:cs="黑体" w:hint="eastAsia"/>
        </w:rPr>
        <w:t>1.1 DAS技术及其公路监测基本原理</w:t>
      </w:r>
    </w:p>
    <w:p w14:paraId="605591D3" w14:textId="77777777" w:rsidR="00455074" w:rsidRDefault="00A45B6B">
      <w:pPr>
        <w:ind w:firstLine="420"/>
      </w:pPr>
      <w:r>
        <w:rPr>
          <w:rFonts w:hint="eastAsia"/>
        </w:rPr>
        <w:t>当外界声场作用于光纤时，光纤的长度、芯径和折射率等因受到机械应力作用而发生改变，因此受扰动区域的光程会发生变化，从而使传输光的相位发生变化。相位变化与光纤形变量呈如下线性关系：</w:t>
      </w:r>
    </w:p>
    <w:p w14:paraId="4DC83D3F" w14:textId="77777777" w:rsidR="00455074" w:rsidRDefault="00A45B6B">
      <w:pPr>
        <w:ind w:firstLineChars="0" w:firstLine="0"/>
      </w:pPr>
      <m:oMathPara>
        <m:oMath>
          <m:eqArr>
            <m:eqArrPr>
              <m:maxDist m:val="1"/>
              <m:ctrlPr>
                <w:rPr>
                  <w:rFonts w:ascii="Cambria Math" w:hAnsi="Cambria Math"/>
                  <w:i/>
                </w:rPr>
              </m:ctrlPr>
            </m:eqArrPr>
            <m:e>
              <m:r>
                <m:rPr>
                  <m:nor/>
                </m:rPr>
                <m:t>Δ</m:t>
              </m:r>
              <m:r>
                <m:rPr>
                  <m:nor/>
                </m:rPr>
                <w:rPr>
                  <w:i/>
                  <w:iCs/>
                </w:rPr>
                <m:t>φ</m:t>
              </m:r>
              <m:r>
                <m:rPr>
                  <m:nor/>
                </m:rPr>
                <m:t>=</m:t>
              </m:r>
              <m:f>
                <m:fPr>
                  <m:ctrlPr>
                    <w:rPr>
                      <w:rFonts w:ascii="Cambria Math" w:hAnsi="Cambria Math"/>
                    </w:rPr>
                  </m:ctrlPr>
                </m:fPr>
                <m:num>
                  <m:r>
                    <m:rPr>
                      <m:nor/>
                    </m:rPr>
                    <m:t>4πn</m:t>
                  </m:r>
                </m:num>
                <m:den>
                  <m:r>
                    <m:rPr>
                      <m:nor/>
                    </m:rPr>
                    <m:t>λ</m:t>
                  </m:r>
                </m:den>
              </m:f>
              <m:r>
                <m:rPr>
                  <m:nor/>
                </m:rPr>
                <m:t>ΔL</m:t>
              </m:r>
              <m:r>
                <w:rPr>
                  <w:rFonts w:ascii="Cambria Math" w:hAnsi="Cambria Math"/>
                </w:rPr>
                <m:t xml:space="preserve">                 </m:t>
              </m:r>
              <m:d>
                <m:dPr>
                  <m:ctrlPr>
                    <w:rPr>
                      <w:rFonts w:ascii="Cambria Math" w:hAnsi="Cambria Math"/>
                      <w:i/>
                    </w:rPr>
                  </m:ctrlPr>
                </m:dPr>
                <m:e>
                  <m:r>
                    <m:rPr>
                      <m:nor/>
                    </m:rPr>
                    <w:rPr>
                      <w:rFonts w:ascii="Cambria Math" w:hAnsi="Cambria Math"/>
                    </w:rPr>
                    <m:t>1</m:t>
                  </m:r>
                </m:e>
              </m:d>
            </m:e>
          </m:eqArr>
        </m:oMath>
      </m:oMathPara>
    </w:p>
    <w:p w14:paraId="15E27274" w14:textId="77777777" w:rsidR="00455074" w:rsidRDefault="00455074">
      <w:pPr>
        <w:ind w:firstLineChars="0" w:firstLine="0"/>
      </w:pPr>
    </w:p>
    <w:p w14:paraId="2B4D9A71" w14:textId="77777777" w:rsidR="00455074" w:rsidRDefault="00A45B6B">
      <w:pPr>
        <w:ind w:firstLineChars="0" w:firstLine="0"/>
      </w:pPr>
      <w:r>
        <w:t>式中</w:t>
      </w:r>
      <w:r>
        <w:rPr>
          <w:rFonts w:hint="eastAsia"/>
        </w:rPr>
        <w:t>：</w:t>
      </w:r>
      <w:r>
        <w:rPr>
          <w:i/>
          <w:iCs/>
        </w:rPr>
        <w:t>Δ</w:t>
      </w:r>
      <w:bookmarkStart w:id="14" w:name="OLE_LINK47"/>
      <w:r>
        <w:rPr>
          <w:i/>
          <w:iCs/>
        </w:rPr>
        <w:t>φ</w:t>
      </w:r>
      <w:bookmarkEnd w:id="14"/>
      <w:r>
        <w:t>为瑞利散射光相位变化量，</w:t>
      </w:r>
      <w:r>
        <w:rPr>
          <w:i/>
          <w:iCs/>
        </w:rPr>
        <w:t>n</w:t>
      </w:r>
      <w:r>
        <w:t>为光纤纤芯折射率，</w:t>
      </w:r>
      <w:r>
        <w:rPr>
          <w:i/>
          <w:iCs/>
        </w:rPr>
        <w:t>λ</w:t>
      </w:r>
      <w:r>
        <w:t>为入射激光波长，</w:t>
      </w:r>
      <w:r>
        <w:rPr>
          <w:i/>
          <w:iCs/>
        </w:rPr>
        <w:t>ΔL</w:t>
      </w:r>
      <w:r>
        <w:t>为外界扰动引发的光纤局部轴向形变量</w:t>
      </w:r>
      <w:r>
        <w:rPr>
          <w:rFonts w:hint="eastAsia"/>
        </w:rPr>
        <w:t>。</w:t>
      </w:r>
    </w:p>
    <w:p w14:paraId="5B2AB3C5" w14:textId="77777777" w:rsidR="00455074" w:rsidRDefault="00A45B6B">
      <w:pPr>
        <w:ind w:firstLine="420"/>
      </w:pPr>
      <w:r>
        <w:t>式</w:t>
      </w:r>
      <w:r>
        <w:t xml:space="preserve"> (1 )</w:t>
      </w:r>
      <w:r>
        <w:t>反映了相位偏移与光纤微形变的线性对应关系，是</w:t>
      </w:r>
      <w:r>
        <w:t>DAS</w:t>
      </w:r>
      <w:r>
        <w:t>实现振动、声波定量测量的理论基础</w:t>
      </w:r>
      <w:r>
        <w:fldChar w:fldCharType="begin"/>
      </w:r>
      <w:r>
        <w:instrText xml:space="preserve"> </w:instrText>
      </w:r>
      <w:r>
        <w:rPr>
          <w:rFonts w:hint="eastAsia"/>
        </w:rPr>
        <w:instrText>REF _Ref233842314 \r \h</w:instrText>
      </w:r>
      <w:r>
        <w:instrText xml:space="preserve">  \* MERGEFORMAT </w:instrText>
      </w:r>
      <w:r>
        <w:fldChar w:fldCharType="separate"/>
      </w:r>
      <w:r>
        <w:t>[14]</w:t>
      </w:r>
      <w:r>
        <w:fldChar w:fldCharType="end"/>
      </w:r>
      <w:r>
        <w:t xml:space="preserve"> </w:t>
      </w:r>
      <w:r>
        <w:fldChar w:fldCharType="begin"/>
      </w:r>
      <w:r>
        <w:instrText xml:space="preserve"> REF _Ref233842322 \r \h  \* MERGEFORMAT </w:instrText>
      </w:r>
      <w:r>
        <w:fldChar w:fldCharType="separate"/>
      </w:r>
      <w:r>
        <w:t>[15]</w:t>
      </w:r>
      <w:r>
        <w:fldChar w:fldCharType="end"/>
      </w:r>
      <w:r>
        <w:rPr>
          <w:rFonts w:hint="eastAsia"/>
        </w:rPr>
        <w:t>。但直接解调输出的原始相位信号混杂了激光器频漂、全线均匀温度漂移、系统基底噪声等全域共模干扰，难以精准分离局部微小扰动，工程上多采用空间域差分鉴相技术对原始相位信号进行优化处理，提取有效相位信息</w:t>
      </w:r>
      <w:r>
        <w:t>。</w:t>
      </w:r>
    </w:p>
    <w:p w14:paraId="103F7ACA" w14:textId="77777777" w:rsidR="00455074" w:rsidRDefault="00A45B6B">
      <w:pPr>
        <w:ind w:firstLine="420"/>
      </w:pPr>
      <w:bookmarkStart w:id="15" w:name="OLE_LINK20"/>
      <w:r>
        <w:rPr>
          <w:rFonts w:hint="eastAsia"/>
        </w:rPr>
        <w:t>车辆通行过程中，轮胎花纹、轴距、行驶速度及路面平整度等多重因素共同影响荷载的时空分布特征，使路面、近地表介质中诱发准静态应变、弹性波动与局部振动，并经由介质传递至道路沿线的传感光缆中，最终由</w:t>
      </w:r>
      <w:r>
        <w:rPr>
          <w:rFonts w:hint="eastAsia"/>
        </w:rPr>
        <w:t>DAS</w:t>
      </w:r>
      <w:r>
        <w:rPr>
          <w:rFonts w:hint="eastAsia"/>
        </w:rPr>
        <w:t>完成信号采集。因此，受上述多变量耦合影响，</w:t>
      </w:r>
      <w:r>
        <w:rPr>
          <w:rFonts w:hint="eastAsia"/>
        </w:rPr>
        <w:t>DAS</w:t>
      </w:r>
      <w:r>
        <w:rPr>
          <w:rFonts w:hint="eastAsia"/>
        </w:rPr>
        <w:t>系统输出的相位、应变率原始信号无法直接换算为车速、轴载等量化交通指标；同一车辆途经不同路段或光缆布设形式存在差异时，采集到的信号波形也会明显不同</w:t>
      </w:r>
      <w:r>
        <w:fldChar w:fldCharType="begin"/>
      </w:r>
      <w:r>
        <w:instrText xml:space="preserve"> </w:instrText>
      </w:r>
      <w:r>
        <w:rPr>
          <w:rFonts w:hint="eastAsia"/>
        </w:rPr>
        <w:instrText>REF _Ref233842451 \r \h</w:instrText>
      </w:r>
      <w:r>
        <w:instrText xml:space="preserve">  \* MERGEFORMAT </w:instrText>
      </w:r>
      <w:r>
        <w:fldChar w:fldCharType="separate"/>
      </w:r>
      <w:r>
        <w:t>[16]</w:t>
      </w:r>
      <w:r>
        <w:fldChar w:fldCharType="end"/>
      </w:r>
      <w:r>
        <w:fldChar w:fldCharType="begin"/>
      </w:r>
      <w:r>
        <w:instrText xml:space="preserve"> REF _Ref233842465 \r \h </w:instrText>
      </w:r>
      <w:r>
        <w:fldChar w:fldCharType="separate"/>
      </w:r>
      <w:r>
        <w:t>[17]</w:t>
      </w:r>
      <w:r>
        <w:fldChar w:fldCharType="end"/>
      </w:r>
      <w:r>
        <w:rPr>
          <w:rFonts w:hint="eastAsia"/>
        </w:rPr>
        <w:t>。</w:t>
      </w:r>
      <w:r>
        <w:rPr>
          <w:rFonts w:hint="eastAsia"/>
        </w:rPr>
        <w:t>D</w:t>
      </w:r>
      <w:r>
        <w:t>AS</w:t>
      </w:r>
      <w:r>
        <w:rPr>
          <w:rFonts w:hint="eastAsia"/>
        </w:rPr>
        <w:t>检测到的行驶车辆信号可分为两类，一是随车辆同步移动的低频准静态应变场信号；二是轮胎与路面冲击、摩擦耦合作用产生的高频动态面波场信号</w:t>
      </w:r>
      <w:bookmarkStart w:id="16" w:name="OLE_LINK106"/>
      <w:r>
        <w:rPr>
          <w:highlight w:val="yellow"/>
        </w:rPr>
        <w:fldChar w:fldCharType="begin"/>
      </w:r>
      <w:r>
        <w:instrText xml:space="preserve"> </w:instrText>
      </w:r>
      <w:r>
        <w:rPr>
          <w:rFonts w:hint="eastAsia"/>
        </w:rPr>
        <w:instrText>REF _Ref233842619 \r \h</w:instrText>
      </w:r>
      <w:r>
        <w:instrText xml:space="preserve"> </w:instrText>
      </w:r>
      <w:r>
        <w:rPr>
          <w:highlight w:val="yellow"/>
        </w:rPr>
        <w:instrText xml:space="preserve"> \* MERGEFORMAT </w:instrText>
      </w:r>
      <w:r>
        <w:rPr>
          <w:highlight w:val="yellow"/>
        </w:rPr>
      </w:r>
      <w:r>
        <w:rPr>
          <w:highlight w:val="yellow"/>
        </w:rPr>
        <w:fldChar w:fldCharType="separate"/>
      </w:r>
      <w:r>
        <w:t>[18]</w:t>
      </w:r>
      <w:r>
        <w:rPr>
          <w:highlight w:val="yellow"/>
        </w:rPr>
        <w:fldChar w:fldCharType="end"/>
      </w:r>
      <w:bookmarkEnd w:id="16"/>
      <w:r>
        <w:rPr>
          <w:highlight w:val="yellow"/>
        </w:rPr>
        <w:fldChar w:fldCharType="begin"/>
      </w:r>
      <w:r>
        <w:rPr>
          <w:highlight w:val="yellow"/>
        </w:rPr>
        <w:instrText xml:space="preserve"> REF _Ref233842620 \r \h  \* MERGEFORMAT </w:instrText>
      </w:r>
      <w:r>
        <w:rPr>
          <w:highlight w:val="yellow"/>
        </w:rPr>
      </w:r>
      <w:r>
        <w:rPr>
          <w:highlight w:val="yellow"/>
        </w:rPr>
        <w:fldChar w:fldCharType="separate"/>
      </w:r>
      <w:r>
        <w:t>[19]</w:t>
      </w:r>
      <w:r>
        <w:rPr>
          <w:highlight w:val="yellow"/>
        </w:rPr>
        <w:fldChar w:fldCharType="end"/>
      </w:r>
      <w:r>
        <w:rPr>
          <w:rFonts w:hint="eastAsia"/>
        </w:rPr>
        <w:t>。</w:t>
      </w:r>
    </w:p>
    <w:p w14:paraId="6E565246" w14:textId="77777777" w:rsidR="00455074" w:rsidRDefault="00A45B6B">
      <w:pPr>
        <w:ind w:firstLine="420"/>
      </w:pPr>
      <w:r>
        <w:rPr>
          <w:rFonts w:hint="eastAsia"/>
        </w:rPr>
        <w:t>光纤轴向应变与应变率是反映车辆荷载特征的关键物理量，应变率计算公式为</w:t>
      </w:r>
    </w:p>
    <w:p w14:paraId="009F3ECB" w14:textId="77777777" w:rsidR="00455074" w:rsidRDefault="00455074">
      <w:pPr>
        <w:ind w:firstLine="420"/>
      </w:pPr>
    </w:p>
    <w:bookmarkStart w:id="17" w:name="OLE_LINK10"/>
    <w:p w14:paraId="7838B2DB" w14:textId="77777777" w:rsidR="00455074" w:rsidRDefault="00A45B6B">
      <w:pPr>
        <w:ind w:firstLineChars="0" w:firstLine="0"/>
      </w:pPr>
      <m:oMathPara>
        <m:oMath>
          <m:eqArr>
            <m:eqArrPr>
              <m:maxDist m:val="1"/>
              <m:ctrlPr>
                <w:rPr>
                  <w:rFonts w:ascii="Cambria Math" w:hAnsi="Cambria Math"/>
                  <w:i/>
                </w:rPr>
              </m:ctrlPr>
            </m:eqArrPr>
            <m:e>
              <m:acc>
                <m:accPr>
                  <m:chr m:val="̇"/>
                  <m:ctrlPr>
                    <w:rPr>
                      <w:rFonts w:ascii="Cambria Math" w:hAnsi="Cambria Math"/>
                      <w:i/>
                    </w:rPr>
                  </m:ctrlPr>
                </m:accPr>
                <m:e>
                  <m:r>
                    <w:rPr>
                      <w:rFonts w:ascii="Cambria Math" w:hAnsi="Cambria Math"/>
                    </w:rPr>
                    <m:t>ε</m:t>
                  </m:r>
                </m:e>
              </m:acc>
              <m:m>
                <m:mPr>
                  <m:plcHide m:val="1"/>
                  <m:mcs>
                    <m:mc>
                      <m:mcPr>
                        <m:count m:val="1"/>
                        <m:mcJc m:val="center"/>
                      </m:mcPr>
                    </m:mc>
                  </m:mcs>
                  <m:ctrlPr>
                    <w:rPr>
                      <w:rFonts w:ascii="Cambria Math" w:hAnsi="Cambria Math"/>
                    </w:rPr>
                  </m:ctrlPr>
                </m:mPr>
                <m:mr>
                  <m:e>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t</m:t>
                        </m:r>
                      </m:e>
                    </m:d>
                    <m:r>
                      <m:rPr>
                        <m:sty m:val="p"/>
                      </m:rPr>
                      <w:rPr>
                        <w:rFonts w:ascii="Cambria Math" w:hAnsi="Cambria Math"/>
                      </w:rPr>
                      <m:t>=</m:t>
                    </m:r>
                    <m:f>
                      <m:fPr>
                        <m:ctrlPr>
                          <w:rPr>
                            <w:rFonts w:ascii="Cambria Math" w:hAnsi="Cambria Math"/>
                          </w:rPr>
                        </m:ctrlPr>
                      </m:fPr>
                      <m:num>
                        <m:r>
                          <w:rPr>
                            <w:rFonts w:ascii="Cambria Math" w:hAnsi="Cambria Math"/>
                          </w:rPr>
                          <m:t>∂ε</m:t>
                        </m:r>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t</m:t>
                            </m:r>
                          </m:e>
                        </m:d>
                      </m:num>
                      <m:den>
                        <m:r>
                          <w:rPr>
                            <w:rFonts w:ascii="Cambria Math" w:hAnsi="Cambria Math"/>
                          </w:rPr>
                          <m:t>∂t</m:t>
                        </m:r>
                      </m:den>
                    </m:f>
                    <m:r>
                      <m:rPr>
                        <m:sty m:val="p"/>
                      </m:rP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m:t>
                            </m:r>
                          </m:e>
                          <m:sup>
                            <m:r>
                              <m:rPr>
                                <m:sty m:val="p"/>
                              </m:rPr>
                              <w:rPr>
                                <w:rFonts w:ascii="Cambria Math" w:hAnsi="Cambria Math"/>
                              </w:rPr>
                              <m:t>2</m:t>
                            </m:r>
                          </m:sup>
                        </m:sSup>
                        <m:sSub>
                          <m:sSubPr>
                            <m:ctrlPr>
                              <w:rPr>
                                <w:rFonts w:ascii="Cambria Math" w:hAnsi="Cambria Math"/>
                              </w:rPr>
                            </m:ctrlPr>
                          </m:sSubPr>
                          <m:e>
                            <m:r>
                              <w:rPr>
                                <w:rFonts w:ascii="Cambria Math" w:hAnsi="Cambria Math"/>
                              </w:rPr>
                              <m:t>u</m:t>
                            </m:r>
                          </m:e>
                          <m:sub>
                            <m:r>
                              <w:rPr>
                                <w:rFonts w:ascii="Cambria Math" w:hAnsi="Cambria Math"/>
                              </w:rPr>
                              <m:t>z</m:t>
                            </m:r>
                          </m:sub>
                        </m:sSub>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y</m:t>
                            </m:r>
                            <m:r>
                              <m:rPr>
                                <m:sty m:val="p"/>
                              </m:rPr>
                              <w:rPr>
                                <w:rFonts w:ascii="Cambria Math" w:hAnsi="Cambria Math"/>
                              </w:rPr>
                              <m:t>,</m:t>
                            </m:r>
                            <m:r>
                              <w:rPr>
                                <w:rFonts w:ascii="Cambria Math" w:hAnsi="Cambria Math"/>
                              </w:rPr>
                              <m:t>z</m:t>
                            </m:r>
                            <m:r>
                              <m:rPr>
                                <m:sty m:val="p"/>
                              </m:rPr>
                              <w:rPr>
                                <w:rFonts w:ascii="Cambria Math" w:hAnsi="Cambria Math"/>
                              </w:rPr>
                              <m:t>,</m:t>
                            </m:r>
                            <m:r>
                              <w:rPr>
                                <w:rFonts w:ascii="Cambria Math" w:hAnsi="Cambria Math"/>
                              </w:rPr>
                              <m:t>t</m:t>
                            </m:r>
                          </m:e>
                        </m:d>
                      </m:num>
                      <m:den>
                        <m:r>
                          <w:rPr>
                            <w:rFonts w:ascii="Cambria Math" w:hAnsi="Cambria Math"/>
                          </w:rPr>
                          <m:t>∂x∂t</m:t>
                        </m:r>
                      </m:den>
                    </m:f>
                  </m:e>
                </m:mr>
              </m:m>
              <m:r>
                <w:rPr>
                  <w:rFonts w:ascii="Cambria Math" w:hAnsi="Cambria Math"/>
                </w:rPr>
                <m:t xml:space="preserve">                                        </m:t>
              </m:r>
              <m:d>
                <m:dPr>
                  <m:ctrlPr>
                    <w:rPr>
                      <w:rFonts w:ascii="Cambria Math" w:hAnsi="Cambria Math"/>
                      <w:i/>
                    </w:rPr>
                  </m:ctrlPr>
                </m:dPr>
                <m:e>
                  <m:r>
                    <w:rPr>
                      <w:rFonts w:ascii="Cambria Math" w:hAnsi="Cambria Math"/>
                    </w:rPr>
                    <m:t>2</m:t>
                  </m:r>
                </m:e>
              </m:d>
            </m:e>
          </m:eqArr>
        </m:oMath>
      </m:oMathPara>
    </w:p>
    <w:bookmarkEnd w:id="17"/>
    <w:p w14:paraId="323275D8" w14:textId="77777777" w:rsidR="00455074" w:rsidRDefault="00455074">
      <w:pPr>
        <w:ind w:firstLineChars="0" w:firstLine="0"/>
      </w:pPr>
    </w:p>
    <w:p w14:paraId="54DFAF44" w14:textId="77777777" w:rsidR="00455074" w:rsidRDefault="00A45B6B">
      <w:pPr>
        <w:widowControl w:val="0"/>
        <w:snapToGrid/>
        <w:ind w:firstLineChars="0" w:firstLine="0"/>
        <w:rPr>
          <w:rFonts w:ascii="宋体" w:hAnsi="宋体"/>
          <w:kern w:val="2"/>
        </w:rPr>
      </w:pPr>
      <w:r>
        <w:rPr>
          <w:rFonts w:ascii="宋体" w:hAnsi="宋体" w:hint="eastAsia"/>
          <w:kern w:val="2"/>
        </w:rPr>
        <w:t>式中：</w:t>
      </w:r>
      <m:oMath>
        <m:r>
          <w:rPr>
            <w:rFonts w:ascii="Cambria Math" w:hAnsi="Cambria Math"/>
            <w:kern w:val="2"/>
          </w:rPr>
          <m:t>ε</m:t>
        </m:r>
        <m:r>
          <m:rPr>
            <m:sty m:val="p"/>
          </m:rPr>
          <w:rPr>
            <w:rFonts w:ascii="Cambria Math" w:hAnsi="Cambria Math"/>
            <w:kern w:val="2"/>
          </w:rPr>
          <m:t>(</m:t>
        </m:r>
        <m:r>
          <w:rPr>
            <w:rFonts w:ascii="Cambria Math" w:hAnsi="Cambria Math"/>
            <w:kern w:val="2"/>
          </w:rPr>
          <m:t>x</m:t>
        </m:r>
        <m:r>
          <m:rPr>
            <m:sty m:val="p"/>
          </m:rPr>
          <w:rPr>
            <w:rFonts w:ascii="Cambria Math" w:hAnsi="Cambria Math"/>
            <w:kern w:val="2"/>
          </w:rPr>
          <m:t>,</m:t>
        </m:r>
        <m:r>
          <w:rPr>
            <w:rFonts w:ascii="Cambria Math" w:hAnsi="Cambria Math"/>
            <w:kern w:val="2"/>
          </w:rPr>
          <m:t>t</m:t>
        </m:r>
        <m:r>
          <m:rPr>
            <m:sty m:val="p"/>
          </m:rPr>
          <w:rPr>
            <w:rFonts w:ascii="Cambria Math" w:hAnsi="Cambria Math"/>
            <w:kern w:val="2"/>
          </w:rPr>
          <m:t>)</m:t>
        </m:r>
      </m:oMath>
      <w:r>
        <w:t xml:space="preserve"> </w:t>
      </w:r>
      <w:r>
        <w:t>是</w:t>
      </w:r>
      <w:r>
        <w:rPr>
          <w:rFonts w:ascii="宋体" w:hAnsi="宋体" w:hint="eastAsia"/>
          <w:kern w:val="2"/>
        </w:rPr>
        <w:t>光纤轴向应变，</w:t>
      </w:r>
      <m:oMath>
        <m:acc>
          <m:accPr>
            <m:chr m:val="̇"/>
            <m:ctrlPr>
              <w:rPr>
                <w:rFonts w:ascii="Cambria Math" w:hAnsi="Cambria Math"/>
                <w:i/>
              </w:rPr>
            </m:ctrlPr>
          </m:accPr>
          <m:e>
            <m:r>
              <w:rPr>
                <w:rFonts w:ascii="Cambria Math" w:hAnsi="Cambria Math"/>
              </w:rPr>
              <m:t>ε</m:t>
            </m:r>
          </m:e>
        </m:acc>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t</m:t>
            </m:r>
          </m:e>
        </m:d>
      </m:oMath>
      <w:r>
        <w:t>是</w:t>
      </w:r>
      <w:r>
        <w:t>DAS</w:t>
      </w:r>
      <w:r>
        <w:t>的直接输出应变率</w:t>
      </w:r>
      <w:r>
        <w:rPr>
          <w:rFonts w:hint="eastAsia"/>
        </w:rPr>
        <w:t>；</w:t>
      </w:r>
      <m:oMath>
        <m:sSub>
          <m:sSubPr>
            <m:ctrlPr>
              <w:rPr>
                <w:rFonts w:ascii="Cambria Math" w:hAnsi="Cambria Math"/>
              </w:rPr>
            </m:ctrlPr>
          </m:sSubPr>
          <m:e>
            <m:r>
              <w:rPr>
                <w:rFonts w:ascii="Cambria Math" w:hAnsi="Cambria Math"/>
              </w:rPr>
              <m:t>u</m:t>
            </m:r>
          </m:e>
          <m:sub>
            <m:r>
              <w:rPr>
                <w:rFonts w:ascii="Cambria Math" w:hAnsi="Cambria Math"/>
              </w:rPr>
              <m:t>z</m:t>
            </m:r>
          </m:sub>
        </m:sSub>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y</m:t>
            </m:r>
            <m:r>
              <m:rPr>
                <m:sty m:val="p"/>
              </m:rPr>
              <w:rPr>
                <w:rFonts w:ascii="Cambria Math" w:hAnsi="Cambria Math"/>
              </w:rPr>
              <m:t>,</m:t>
            </m:r>
            <m:r>
              <w:rPr>
                <w:rFonts w:ascii="Cambria Math" w:hAnsi="Cambria Math"/>
              </w:rPr>
              <m:t>z</m:t>
            </m:r>
            <m:r>
              <m:rPr>
                <m:sty m:val="p"/>
              </m:rPr>
              <w:rPr>
                <w:rFonts w:ascii="Cambria Math" w:hAnsi="Cambria Math"/>
              </w:rPr>
              <m:t>,</m:t>
            </m:r>
            <m:r>
              <w:rPr>
                <w:rFonts w:ascii="Cambria Math" w:hAnsi="Cambria Math"/>
              </w:rPr>
              <m:t>t</m:t>
            </m:r>
          </m:e>
        </m:d>
      </m:oMath>
      <w:r>
        <w:t>是</w:t>
      </w:r>
      <w:r>
        <w:rPr>
          <w:rFonts w:ascii="宋体" w:hAnsi="宋体" w:hint="eastAsia"/>
          <w:kern w:val="2"/>
        </w:rPr>
        <w:t>路基土体耦合垂直向位移。其表达</w:t>
      </w:r>
      <w:r>
        <w:rPr>
          <w:rFonts w:ascii="宋体" w:hAnsi="宋体"/>
          <w:kern w:val="2"/>
        </w:rPr>
        <w:t>式</w:t>
      </w:r>
      <w:r>
        <w:rPr>
          <w:rFonts w:ascii="宋体" w:hAnsi="宋体" w:hint="eastAsia"/>
          <w:kern w:val="2"/>
        </w:rPr>
        <w:t>为</w:t>
      </w:r>
    </w:p>
    <w:p w14:paraId="2453AEB4" w14:textId="77777777" w:rsidR="00455074" w:rsidRDefault="00A45B6B">
      <w:pPr>
        <w:ind w:firstLineChars="0" w:firstLine="0"/>
      </w:pPr>
      <m:oMathPara>
        <m:oMath>
          <m:eqArr>
            <m:eqArrPr>
              <m:maxDist m:val="1"/>
              <m:ctrlPr>
                <w:rPr>
                  <w:rFonts w:ascii="Cambria Math" w:hAnsi="Cambria Math"/>
                  <w:i/>
                </w:rPr>
              </m:ctrlPr>
            </m:eqArrPr>
            <m:e>
              <m:sSub>
                <m:sSubPr>
                  <m:ctrlPr>
                    <w:rPr>
                      <w:rFonts w:ascii="Cambria Math" w:eastAsiaTheme="minorEastAsia" w:hAnsi="Cambria Math" w:cs="宋体"/>
                      <w:kern w:val="2"/>
                    </w:rPr>
                  </m:ctrlPr>
                </m:sSubPr>
                <m:e>
                  <m:r>
                    <w:rPr>
                      <w:rFonts w:ascii="Cambria Math" w:hAnsi="Cambria Math"/>
                    </w:rPr>
                    <m:t>u</m:t>
                  </m:r>
                </m:e>
                <m:sub>
                  <m:r>
                    <w:rPr>
                      <w:rFonts w:ascii="Cambria Math" w:hAnsi="Cambria Math"/>
                    </w:rPr>
                    <m:t>z</m:t>
                  </m:r>
                </m:sub>
              </m:sSub>
              <m:d>
                <m:dPr>
                  <m:ctrlPr>
                    <w:rPr>
                      <w:rFonts w:ascii="Cambria Math" w:hAnsi="Cambria Math" w:cs="宋体"/>
                      <w:i/>
                      <w:sz w:val="24"/>
                      <w:szCs w:val="24"/>
                    </w:rPr>
                  </m:ctrlPr>
                </m:dPr>
                <m:e>
                  <m:r>
                    <w:rPr>
                      <w:rFonts w:ascii="Cambria Math" w:hAnsi="Cambria Math"/>
                    </w:rPr>
                    <m:t>x,y,z,t</m:t>
                  </m:r>
                </m:e>
              </m:d>
              <m:r>
                <w:rPr>
                  <w:rFonts w:ascii="Cambria Math" w:hAnsi="Cambria Math"/>
                </w:rPr>
                <m:t>=</m:t>
              </m:r>
              <m:f>
                <m:fPr>
                  <m:ctrlPr>
                    <w:rPr>
                      <w:rFonts w:ascii="Cambria Math" w:eastAsiaTheme="minorEastAsia" w:hAnsi="Cambria Math" w:cs="宋体"/>
                      <w:kern w:val="2"/>
                    </w:rPr>
                  </m:ctrlPr>
                </m:fPr>
                <m:num>
                  <m:r>
                    <w:rPr>
                      <w:rFonts w:ascii="Cambria Math" w:hAnsi="Cambria Math"/>
                    </w:rPr>
                    <m:t>Fzx</m:t>
                  </m:r>
                </m:num>
                <m:den>
                  <m:r>
                    <w:rPr>
                      <w:rFonts w:ascii="Cambria Math" w:hAnsi="Cambria Math"/>
                    </w:rPr>
                    <m:t>4πG</m:t>
                  </m:r>
                  <m:sSup>
                    <m:sSupPr>
                      <m:ctrlPr>
                        <w:rPr>
                          <w:rFonts w:ascii="Cambria Math" w:eastAsiaTheme="minorEastAsia" w:hAnsi="Cambria Math" w:cs="宋体"/>
                          <w:kern w:val="2"/>
                        </w:rPr>
                      </m:ctrlPr>
                    </m:sSupPr>
                    <m:e>
                      <m:r>
                        <w:rPr>
                          <w:rFonts w:ascii="Cambria Math" w:hAnsi="Cambria Math"/>
                        </w:rPr>
                        <m:t>r</m:t>
                      </m:r>
                    </m:e>
                    <m:sup>
                      <m:r>
                        <w:rPr>
                          <w:rFonts w:ascii="Cambria Math" w:hAnsi="Cambria Math"/>
                        </w:rPr>
                        <m:t>2</m:t>
                      </m:r>
                    </m:sup>
                  </m:sSup>
                </m:den>
              </m:f>
              <m:d>
                <m:dPr>
                  <m:ctrlPr>
                    <w:rPr>
                      <w:rFonts w:ascii="Cambria Math" w:hAnsi="Cambria Math" w:cs="宋体"/>
                      <w:i/>
                      <w:sz w:val="24"/>
                      <w:szCs w:val="24"/>
                    </w:rPr>
                  </m:ctrlPr>
                </m:dPr>
                <m:e>
                  <m:f>
                    <m:fPr>
                      <m:ctrlPr>
                        <w:rPr>
                          <w:rFonts w:ascii="Cambria Math" w:eastAsiaTheme="minorEastAsia" w:hAnsi="Cambria Math" w:cs="宋体"/>
                          <w:kern w:val="2"/>
                        </w:rPr>
                      </m:ctrlPr>
                    </m:fPr>
                    <m:num>
                      <m:r>
                        <w:rPr>
                          <w:rFonts w:ascii="Cambria Math" w:hAnsi="Cambria Math"/>
                        </w:rPr>
                        <m:t>z</m:t>
                      </m:r>
                    </m:num>
                    <m:den>
                      <m:r>
                        <w:rPr>
                          <w:rFonts w:ascii="Cambria Math" w:hAnsi="Cambria Math"/>
                        </w:rPr>
                        <m:t>r</m:t>
                      </m:r>
                    </m:den>
                  </m:f>
                  <m:r>
                    <w:rPr>
                      <w:rFonts w:ascii="Cambria Math" w:hAnsi="Cambria Math"/>
                    </w:rPr>
                    <m:t>+</m:t>
                  </m:r>
                  <m:f>
                    <m:fPr>
                      <m:ctrlPr>
                        <w:rPr>
                          <w:rFonts w:ascii="Cambria Math" w:eastAsiaTheme="minorEastAsia" w:hAnsi="Cambria Math" w:cs="宋体"/>
                          <w:kern w:val="2"/>
                        </w:rPr>
                      </m:ctrlPr>
                    </m:fPr>
                    <m:num>
                      <m:r>
                        <w:rPr>
                          <w:rFonts w:ascii="Cambria Math" w:hAnsi="Cambria Math"/>
                        </w:rPr>
                        <m:t>2p-1</m:t>
                      </m:r>
                    </m:num>
                    <m:den>
                      <m:r>
                        <w:rPr>
                          <w:rFonts w:ascii="Cambria Math" w:hAnsi="Cambria Math"/>
                        </w:rPr>
                        <m:t>1+</m:t>
                      </m:r>
                      <m:f>
                        <m:fPr>
                          <m:ctrlPr>
                            <w:rPr>
                              <w:rFonts w:ascii="Cambria Math" w:eastAsiaTheme="minorEastAsia" w:hAnsi="Cambria Math" w:cs="宋体"/>
                              <w:kern w:val="2"/>
                            </w:rPr>
                          </m:ctrlPr>
                        </m:fPr>
                        <m:num>
                          <m:r>
                            <w:rPr>
                              <w:rFonts w:ascii="Cambria Math" w:hAnsi="Cambria Math"/>
                            </w:rPr>
                            <m:t>z</m:t>
                          </m:r>
                        </m:num>
                        <m:den>
                          <m:r>
                            <w:rPr>
                              <w:rFonts w:ascii="Cambria Math" w:hAnsi="Cambria Math"/>
                            </w:rPr>
                            <m:t>r</m:t>
                          </m:r>
                        </m:den>
                      </m:f>
                    </m:den>
                  </m:f>
                </m:e>
              </m:d>
              <m:r>
                <w:rPr>
                  <w:rFonts w:ascii="Cambria Math" w:hAnsi="Cambria Math"/>
                </w:rPr>
                <m:t xml:space="preserve">                             </m:t>
              </m:r>
              <m:d>
                <m:dPr>
                  <m:ctrlPr>
                    <w:rPr>
                      <w:rFonts w:ascii="Cambria Math" w:hAnsi="Cambria Math"/>
                      <w:i/>
                    </w:rPr>
                  </m:ctrlPr>
                </m:dPr>
                <m:e>
                  <m:r>
                    <w:rPr>
                      <w:rFonts w:ascii="Cambria Math" w:hAnsi="Cambria Math"/>
                    </w:rPr>
                    <m:t>3</m:t>
                  </m:r>
                </m:e>
              </m:d>
            </m:e>
          </m:eqArr>
        </m:oMath>
      </m:oMathPara>
    </w:p>
    <w:p w14:paraId="3961F18E" w14:textId="77777777" w:rsidR="00455074" w:rsidRDefault="00A45B6B">
      <w:pPr>
        <w:ind w:firstLineChars="0" w:firstLine="0"/>
      </w:pPr>
      <w:r>
        <w:rPr>
          <w:rFonts w:hint="eastAsia"/>
        </w:rPr>
        <w:t>式中</w:t>
      </w:r>
      <w:r>
        <w:t>：</w:t>
      </w:r>
      <w:r>
        <w:rPr>
          <w:rFonts w:hint="eastAsia"/>
          <w:i/>
          <w:iCs/>
        </w:rPr>
        <w:t>F</w:t>
      </w:r>
      <w:r>
        <w:rPr>
          <w:rFonts w:hint="eastAsia"/>
        </w:rPr>
        <w:t>为车辆对地面的总垂直载荷，</w:t>
      </w:r>
      <w:r>
        <w:rPr>
          <w:rFonts w:hint="eastAsia"/>
          <w:i/>
          <w:iCs/>
        </w:rPr>
        <w:t>G</w:t>
      </w:r>
      <w:r>
        <w:rPr>
          <w:rFonts w:hint="eastAsia"/>
        </w:rPr>
        <w:t>为土壤的剪切模量，</w:t>
      </w:r>
      <w:r>
        <w:rPr>
          <w:rFonts w:hint="eastAsia"/>
          <w:i/>
          <w:iCs/>
        </w:rPr>
        <w:t>p</w:t>
      </w:r>
      <w:r>
        <w:rPr>
          <w:rFonts w:hint="eastAsia"/>
        </w:rPr>
        <w:t>为泊松比，</w:t>
      </w:r>
      <m:oMath>
        <m:r>
          <w:rPr>
            <w:rFonts w:ascii="Cambria Math" w:eastAsia="等线" w:hAnsi="Cambria Math"/>
            <w:sz w:val="22"/>
          </w:rPr>
          <m:t>r=</m:t>
        </m:r>
        <m:rad>
          <m:radPr>
            <m:degHide m:val="1"/>
            <m:ctrlPr>
              <w:rPr>
                <w:rFonts w:ascii="Cambria Math" w:eastAsiaTheme="minorEastAsia" w:hAnsi="Cambria Math"/>
                <w:kern w:val="2"/>
              </w:rPr>
            </m:ctrlPr>
          </m:radPr>
          <m:deg/>
          <m:e>
            <w:bookmarkStart w:id="18" w:name="OLE_LINK85"/>
            <m:sSup>
              <m:sSupPr>
                <m:ctrlPr>
                  <w:rPr>
                    <w:rFonts w:ascii="Cambria Math" w:eastAsiaTheme="minorEastAsia" w:hAnsi="Cambria Math"/>
                    <w:kern w:val="2"/>
                  </w:rPr>
                </m:ctrlPr>
              </m:sSupPr>
              <m:e>
                <w:bookmarkStart w:id="19" w:name="OLE_LINK86"/>
                <m:r>
                  <w:rPr>
                    <w:rFonts w:ascii="Cambria Math" w:hAnsi="Cambria Math"/>
                  </w:rPr>
                  <m:t>x</m:t>
                </m:r>
              </m:e>
              <m:sup>
                <m:r>
                  <w:rPr>
                    <w:rFonts w:ascii="Cambria Math" w:hAnsi="Cambria Math"/>
                  </w:rPr>
                  <m:t>2</m:t>
                </m:r>
                <w:bookmarkEnd w:id="19"/>
              </m:sup>
            </m:sSup>
            <m:r>
              <w:rPr>
                <w:rFonts w:ascii="Cambria Math" w:hAnsi="Cambria Math"/>
              </w:rPr>
              <m:t>+</m:t>
            </m:r>
            <m:sSup>
              <m:sSupPr>
                <m:ctrlPr>
                  <w:rPr>
                    <w:rFonts w:ascii="Cambria Math" w:eastAsiaTheme="minorEastAsia" w:hAnsi="Cambria Math"/>
                    <w:kern w:val="2"/>
                  </w:rPr>
                </m:ctrlPr>
              </m:sSupPr>
              <m:e>
                <m:r>
                  <w:rPr>
                    <w:rFonts w:ascii="Cambria Math" w:hAnsi="Cambria Math"/>
                  </w:rPr>
                  <m:t>y</m:t>
                </m:r>
              </m:e>
              <m:sup>
                <m:r>
                  <w:rPr>
                    <w:rFonts w:ascii="Cambria Math" w:hAnsi="Cambria Math"/>
                  </w:rPr>
                  <m:t>2</m:t>
                </m:r>
              </m:sup>
            </m:sSup>
            <m:r>
              <w:rPr>
                <w:rFonts w:ascii="Cambria Math" w:hAnsi="Cambria Math"/>
              </w:rPr>
              <m:t>+</m:t>
            </m:r>
            <m:sSup>
              <m:sSupPr>
                <m:ctrlPr>
                  <w:rPr>
                    <w:rFonts w:ascii="Cambria Math" w:eastAsiaTheme="minorEastAsia" w:hAnsi="Cambria Math"/>
                    <w:kern w:val="2"/>
                  </w:rPr>
                </m:ctrlPr>
              </m:sSupPr>
              <m:e>
                <m:r>
                  <w:rPr>
                    <w:rFonts w:ascii="Cambria Math" w:hAnsi="Cambria Math"/>
                  </w:rPr>
                  <m:t>z</m:t>
                </m:r>
              </m:e>
              <m:sup>
                <m:r>
                  <w:rPr>
                    <w:rFonts w:ascii="Cambria Math" w:hAnsi="Cambria Math"/>
                  </w:rPr>
                  <m:t>2</m:t>
                </m:r>
              </m:sup>
            </m:sSup>
            <w:bookmarkEnd w:id="18"/>
          </m:e>
        </m:rad>
      </m:oMath>
      <w:r>
        <w:rPr>
          <w:rFonts w:hint="eastAsia"/>
        </w:rPr>
        <w:t>，</w:t>
      </w:r>
      <w:r>
        <w:rPr>
          <w:rFonts w:hint="eastAsia"/>
          <w:i/>
          <w:iCs/>
        </w:rPr>
        <w:t>x</w:t>
      </w:r>
      <w:r>
        <w:rPr>
          <w:rFonts w:hint="eastAsia"/>
        </w:rPr>
        <w:t>、</w:t>
      </w:r>
      <w:r>
        <w:rPr>
          <w:rFonts w:hint="eastAsia"/>
        </w:rPr>
        <w:t>y</w:t>
      </w:r>
      <w:r>
        <w:rPr>
          <w:rFonts w:hint="eastAsia"/>
        </w:rPr>
        <w:t>和</w:t>
      </w:r>
      <w:r>
        <w:rPr>
          <w:rFonts w:hint="eastAsia"/>
          <w:i/>
          <w:iCs/>
        </w:rPr>
        <w:t>z</w:t>
      </w:r>
      <w:r>
        <w:rPr>
          <w:rFonts w:hint="eastAsia"/>
        </w:rPr>
        <w:t>分别表示三维空间中沿横向、纵向和垂直向的位移。</w:t>
      </w:r>
    </w:p>
    <w:p w14:paraId="7D7C96F8" w14:textId="77777777" w:rsidR="00455074" w:rsidRDefault="00A45B6B">
      <w:pPr>
        <w:ind w:firstLine="420"/>
        <w:rPr>
          <w:szCs w:val="21"/>
        </w:rPr>
      </w:pPr>
      <w:r>
        <w:rPr>
          <w:rFonts w:hint="eastAsia"/>
        </w:rPr>
        <w:t>车辆行驶速度决定荷载作用时长，荷载空间影响范围决定土体有效变形区间，二者共同决定</w:t>
      </w:r>
      <w:r>
        <w:rPr>
          <w:rFonts w:hint="eastAsia"/>
        </w:rPr>
        <w:t>DAS</w:t>
      </w:r>
      <w:r>
        <w:rPr>
          <w:rFonts w:hint="eastAsia"/>
        </w:rPr>
        <w:t>振动信号的特征频率，</w:t>
      </w:r>
      <w:r>
        <w:t>结合路基土体常规物理参数计算可得车辆准静态振动信号特征频率集中在</w:t>
      </w:r>
      <w:r>
        <w:t>0.1~5 Hz</w:t>
      </w:r>
      <w:r>
        <w:rPr>
          <w:rFonts w:hint="eastAsia"/>
        </w:rPr>
        <w:t>，</w:t>
      </w:r>
      <w:r>
        <w:t>动态波的频率</w:t>
      </w:r>
      <w:r>
        <w:rPr>
          <w:rFonts w:hint="eastAsia"/>
        </w:rPr>
        <w:t>为</w:t>
      </w:r>
      <w:r>
        <w:rPr>
          <w:rFonts w:hint="eastAsia"/>
        </w:rPr>
        <w:t>5</w:t>
      </w:r>
      <w:r>
        <w:t xml:space="preserve">-50 Hz </w:t>
      </w:r>
      <w:r>
        <w:fldChar w:fldCharType="begin"/>
      </w:r>
      <w:r>
        <w:instrText xml:space="preserve"> </w:instrText>
      </w:r>
      <w:r>
        <w:rPr>
          <w:rFonts w:hint="eastAsia"/>
        </w:rPr>
        <w:instrText>REF _Ref233842619 \r \h</w:instrText>
      </w:r>
      <w:r>
        <w:instrText xml:space="preserve">  \* MERGEFORMAT </w:instrText>
      </w:r>
      <w:r>
        <w:fldChar w:fldCharType="separate"/>
      </w:r>
      <w:r>
        <w:t>[18]</w:t>
      </w:r>
      <w:r>
        <w:fldChar w:fldCharType="end"/>
      </w:r>
      <w:r>
        <w:fldChar w:fldCharType="begin"/>
      </w:r>
      <w:r>
        <w:instrText xml:space="preserve"> REF _Ref233842620 \r \h  \* MERGEFORMAT </w:instrText>
      </w:r>
      <w:r>
        <w:fldChar w:fldCharType="separate"/>
      </w:r>
      <w:r>
        <w:t>[19]</w:t>
      </w:r>
      <w:r>
        <w:fldChar w:fldCharType="end"/>
      </w:r>
      <w:r>
        <w:rPr>
          <w:rFonts w:hint="eastAsia"/>
        </w:rPr>
        <w:t>。</w:t>
      </w:r>
    </w:p>
    <w:bookmarkEnd w:id="15"/>
    <w:p w14:paraId="2FB8A5C0" w14:textId="77777777" w:rsidR="00455074" w:rsidRDefault="00A45B6B">
      <w:pPr>
        <w:ind w:firstLine="420"/>
      </w:pPr>
      <w:r>
        <w:rPr>
          <w:rFonts w:hint="eastAsia"/>
        </w:rPr>
        <w:t>路基直埋光缆的布设工况下，光缆与路基土体贴合程度高，车辆荷载产生的准静态位移场传递至光纤，进而形成能量集中、形态稳定的应变响应</w:t>
      </w:r>
      <w:r>
        <w:fldChar w:fldCharType="begin"/>
      </w:r>
      <w:r>
        <w:instrText xml:space="preserve"> </w:instrText>
      </w:r>
      <w:r>
        <w:rPr>
          <w:rFonts w:hint="eastAsia"/>
        </w:rPr>
        <w:instrText>REF _Ref233842658 \r \h</w:instrText>
      </w:r>
      <w:r>
        <w:instrText xml:space="preserve">  \* MERGEFORMAT </w:instrText>
      </w:r>
      <w:r>
        <w:fldChar w:fldCharType="separate"/>
      </w:r>
      <w:r>
        <w:t>[20]</w:t>
      </w:r>
      <w:r>
        <w:fldChar w:fldCharType="end"/>
      </w:r>
      <w:r>
        <w:rPr>
          <w:rFonts w:hint="eastAsia"/>
        </w:rPr>
        <w:t>。若现场条件不支持光缆直埋施工，则需采用路面贴敷布设方案。但路面贴敷布设仅将光纤附着于道路表层，无法与路基</w:t>
      </w:r>
      <w:r>
        <w:rPr>
          <w:rFonts w:hint="eastAsia"/>
        </w:rPr>
        <w:lastRenderedPageBreak/>
        <w:t>土体实现紧密力学耦合，可能致使低频准静态形变信号能量微弱；而轮胎与路面耦合作用激发出的高频动态面波可作用于表层贴敷光缆，在瀑布图中表现为能量突出的离散信号，成为该布设方式下的主要可识别监测信号</w:t>
      </w:r>
      <w:r>
        <w:fldChar w:fldCharType="begin"/>
      </w:r>
      <w:r>
        <w:instrText xml:space="preserve"> REF _Ref233842659 \r \h  \* MERGEFORMAT </w:instrText>
      </w:r>
      <w:r>
        <w:fldChar w:fldCharType="separate"/>
      </w:r>
      <w:r>
        <w:t>[21]</w:t>
      </w:r>
      <w:r>
        <w:fldChar w:fldCharType="end"/>
      </w:r>
      <w:r>
        <w:rPr>
          <w:rFonts w:hint="eastAsia"/>
        </w:rPr>
        <w:t>。</w:t>
      </w:r>
    </w:p>
    <w:p w14:paraId="59BB81C1" w14:textId="77777777" w:rsidR="00455074" w:rsidRDefault="00A45B6B">
      <w:pPr>
        <w:pStyle w:val="3"/>
        <w:rPr>
          <w:rFonts w:ascii="黑体" w:hAnsi="黑体" w:cs="黑体"/>
        </w:rPr>
      </w:pPr>
      <w:r>
        <w:rPr>
          <w:rFonts w:ascii="黑体" w:hAnsi="黑体" w:cs="黑体" w:hint="eastAsia"/>
        </w:rPr>
        <w:t>1.2</w:t>
      </w:r>
      <w:r>
        <w:rPr>
          <w:rFonts w:hint="eastAsia"/>
        </w:rPr>
        <w:t xml:space="preserve"> </w:t>
      </w:r>
      <w:r>
        <w:rPr>
          <w:rFonts w:ascii="黑体" w:hAnsi="黑体" w:cs="黑体" w:hint="eastAsia"/>
        </w:rPr>
        <w:t>基于DAS的公路监测系统</w:t>
      </w:r>
    </w:p>
    <w:p w14:paraId="096D9C23" w14:textId="77777777" w:rsidR="00455074" w:rsidRDefault="00A45B6B">
      <w:pPr>
        <w:ind w:firstLine="420"/>
      </w:pPr>
      <w:r>
        <w:rPr>
          <w:rFonts w:hint="eastAsia"/>
        </w:rPr>
        <w:t>基于</w:t>
      </w:r>
      <w:r>
        <w:rPr>
          <w:rFonts w:hint="eastAsia"/>
        </w:rPr>
        <w:t>DAS</w:t>
      </w:r>
      <w:r>
        <w:rPr>
          <w:rFonts w:hint="eastAsia"/>
        </w:rPr>
        <w:t>的公路监测系统整体分为</w:t>
      </w:r>
      <w:r>
        <w:rPr>
          <w:rFonts w:hint="eastAsia"/>
        </w:rPr>
        <w:t>3</w:t>
      </w:r>
      <w:r>
        <w:rPr>
          <w:rFonts w:hint="eastAsia"/>
        </w:rPr>
        <w:t>层架构：前端传感光缆、中端解调设备和后端数据处理与预警平台，</w:t>
      </w:r>
      <w:r>
        <w:rPr>
          <w:rFonts w:hint="eastAsia"/>
        </w:rPr>
        <w:t>3</w:t>
      </w:r>
      <w:r>
        <w:rPr>
          <w:rFonts w:hint="eastAsia"/>
        </w:rPr>
        <w:t>层协同完成从光信号感知到工程决策支持的完整闭环</w:t>
      </w:r>
      <w:r>
        <w:fldChar w:fldCharType="begin"/>
      </w:r>
      <w:r>
        <w:instrText xml:space="preserve"> </w:instrText>
      </w:r>
      <w:r>
        <w:rPr>
          <w:rFonts w:hint="eastAsia"/>
        </w:rPr>
        <w:instrText>REF _Ref233842829 \r \h</w:instrText>
      </w:r>
      <w:r>
        <w:instrText xml:space="preserve">  \* MERGEFORMAT </w:instrText>
      </w:r>
      <w:r>
        <w:fldChar w:fldCharType="separate"/>
      </w:r>
      <w:r>
        <w:t>[22]</w:t>
      </w:r>
      <w:r>
        <w:fldChar w:fldCharType="end"/>
      </w:r>
      <w:r>
        <w:fldChar w:fldCharType="begin"/>
      </w:r>
      <w:r>
        <w:instrText xml:space="preserve"> REF _Ref233842843 \r \h  \* MERGEFORMAT </w:instrText>
      </w:r>
      <w:r>
        <w:fldChar w:fldCharType="separate"/>
      </w:r>
      <w:r>
        <w:t>[23]</w:t>
      </w:r>
      <w:r>
        <w:fldChar w:fldCharType="end"/>
      </w:r>
      <w:r>
        <w:rPr>
          <w:rFonts w:hint="eastAsia"/>
        </w:rPr>
        <w:t>。整体结构如图</w:t>
      </w:r>
      <w:r>
        <w:t>1</w:t>
      </w:r>
      <w:r>
        <w:rPr>
          <w:rFonts w:hint="eastAsia"/>
        </w:rPr>
        <w:t>所示。</w:t>
      </w:r>
    </w:p>
    <w:p w14:paraId="4D0BA815" w14:textId="77777777" w:rsidR="00455074" w:rsidRDefault="00A45B6B">
      <w:pPr>
        <w:ind w:firstLine="420"/>
      </w:pPr>
      <w:r>
        <w:rPr>
          <w:rFonts w:hint="eastAsia"/>
        </w:rPr>
        <w:t>前端传感光缆是物理量感知的直接载体，需根据工程工况选型。单模光纤传输损耗低，适配数十公里长距离监测，可满足</w:t>
      </w:r>
      <w:r>
        <w:rPr>
          <w:rFonts w:hint="eastAsia"/>
        </w:rPr>
        <w:t>DAS</w:t>
      </w:r>
      <w:r>
        <w:rPr>
          <w:rFonts w:hint="eastAsia"/>
        </w:rPr>
        <w:t>交通振动监测需求，是当前公路干线光纤传感的主流选型</w:t>
      </w:r>
      <w:r>
        <w:fldChar w:fldCharType="begin"/>
      </w:r>
      <w:r>
        <w:instrText xml:space="preserve"> </w:instrText>
      </w:r>
      <w:r>
        <w:rPr>
          <w:rFonts w:hint="eastAsia"/>
        </w:rPr>
        <w:instrText>REF _Ref233842881 \r \h</w:instrText>
      </w:r>
      <w:r>
        <w:instrText xml:space="preserve">  \* MERGEFORMAT </w:instrText>
      </w:r>
      <w:r>
        <w:fldChar w:fldCharType="separate"/>
      </w:r>
      <w:r>
        <w:t>[24]</w:t>
      </w:r>
      <w:r>
        <w:fldChar w:fldCharType="end"/>
      </w:r>
      <w:r>
        <w:fldChar w:fldCharType="begin"/>
      </w:r>
      <w:r>
        <w:instrText xml:space="preserve"> REF _Ref233842883 \r \h  \* MERGEFORMAT </w:instrText>
      </w:r>
      <w:r>
        <w:fldChar w:fldCharType="separate"/>
      </w:r>
      <w:r>
        <w:t>[25]</w:t>
      </w:r>
      <w:r>
        <w:fldChar w:fldCharType="end"/>
      </w:r>
      <w:r>
        <w:rPr>
          <w:rFonts w:hint="eastAsia"/>
        </w:rPr>
        <w:t>。针对施工碾压、沥青摊铺高温、路基腐蚀、沿海盐雾等恶劣工况，需选用不锈钢丝铠装、聚酰亚胺耐高温、防水防腐等特种强化光缆，保障施工与运营阶段的链路完整性与传感精度</w:t>
      </w:r>
      <w:r>
        <w:rPr>
          <w:highlight w:val="yellow"/>
        </w:rPr>
        <w:fldChar w:fldCharType="begin"/>
      </w:r>
      <w:r>
        <w:instrText xml:space="preserve"> </w:instrText>
      </w:r>
      <w:r>
        <w:rPr>
          <w:rFonts w:hint="eastAsia"/>
        </w:rPr>
        <w:instrText>REF _Ref233842897 \r \h</w:instrText>
      </w:r>
      <w:r>
        <w:instrText xml:space="preserve"> </w:instrText>
      </w:r>
      <w:r>
        <w:rPr>
          <w:highlight w:val="yellow"/>
        </w:rPr>
      </w:r>
      <w:r>
        <w:rPr>
          <w:highlight w:val="yellow"/>
        </w:rPr>
        <w:fldChar w:fldCharType="separate"/>
      </w:r>
      <w:r>
        <w:t>[26]</w:t>
      </w:r>
      <w:r>
        <w:rPr>
          <w:highlight w:val="yellow"/>
        </w:rPr>
        <w:fldChar w:fldCharType="end"/>
      </w:r>
      <w:r>
        <w:rPr>
          <w:rFonts w:hint="eastAsia"/>
        </w:rPr>
        <w:t>。</w:t>
      </w:r>
    </w:p>
    <w:p w14:paraId="533BFE67" w14:textId="77777777" w:rsidR="00455074" w:rsidRDefault="00A45B6B">
      <w:pPr>
        <w:widowControl w:val="0"/>
        <w:ind w:firstLine="420"/>
      </w:pPr>
      <w:r>
        <w:rPr>
          <w:rFonts w:hint="eastAsia"/>
        </w:rPr>
        <w:t>解调设备是整套系统的核心硬件单元，基于瑞利后向散射原理完成光信号的收发转换与物理量反演，其核心参数直接决定系统的空间分辨率、采样频率与极限传感距离，目前主流解调设备多采用一体化集成架构，可兼容动态感知、微形变监测等多元监测需求</w:t>
      </w:r>
      <w:r>
        <w:rPr>
          <w:highlight w:val="yellow"/>
        </w:rPr>
        <w:fldChar w:fldCharType="begin"/>
      </w:r>
      <w:r>
        <w:instrText xml:space="preserve"> </w:instrText>
      </w:r>
      <w:r>
        <w:rPr>
          <w:rFonts w:hint="eastAsia"/>
        </w:rPr>
        <w:instrText>REF _Ref233842913 \r \h</w:instrText>
      </w:r>
      <w:r>
        <w:instrText xml:space="preserve"> </w:instrText>
      </w:r>
      <w:r>
        <w:rPr>
          <w:highlight w:val="yellow"/>
        </w:rPr>
      </w:r>
      <w:r>
        <w:rPr>
          <w:highlight w:val="yellow"/>
        </w:rPr>
        <w:fldChar w:fldCharType="separate"/>
      </w:r>
      <w:r>
        <w:t>[27]</w:t>
      </w:r>
      <w:r>
        <w:rPr>
          <w:highlight w:val="yellow"/>
        </w:rPr>
        <w:fldChar w:fldCharType="end"/>
      </w:r>
      <w:r>
        <w:rPr>
          <w:rFonts w:hint="eastAsia"/>
        </w:rPr>
        <w:t>。</w:t>
      </w:r>
    </w:p>
    <w:p w14:paraId="3F9B87EA" w14:textId="45DEAF74" w:rsidR="00455074" w:rsidRDefault="00F96A9D">
      <w:pPr>
        <w:ind w:firstLineChars="0" w:firstLine="0"/>
        <w:jc w:val="center"/>
      </w:pPr>
      <w:r>
        <w:object w:dxaOrig="5011" w:dyaOrig="3136" w14:anchorId="184EB7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50.55pt;height:156.9pt" o:ole="">
            <v:imagedata r:id="rId8" o:title=""/>
          </v:shape>
          <o:OLEObject Type="Embed" ProgID="Visio.Drawing.15" ShapeID="_x0000_i1039" DrawAspect="Content" ObjectID="_1846046666" r:id="rId9"/>
        </w:object>
      </w:r>
    </w:p>
    <w:p w14:paraId="4CB9F552" w14:textId="77777777" w:rsidR="00455074" w:rsidRDefault="00A45B6B">
      <w:pPr>
        <w:ind w:firstLineChars="0" w:firstLine="0"/>
        <w:jc w:val="center"/>
        <w:rPr>
          <w:b/>
          <w:sz w:val="15"/>
        </w:rPr>
      </w:pPr>
      <w:r>
        <w:rPr>
          <w:rFonts w:hint="eastAsia"/>
          <w:b/>
          <w:sz w:val="15"/>
        </w:rPr>
        <w:t>图</w:t>
      </w:r>
      <w:r>
        <w:rPr>
          <w:b/>
          <w:sz w:val="15"/>
        </w:rPr>
        <w:t>1</w:t>
      </w:r>
      <w:r>
        <w:rPr>
          <w:rFonts w:hint="eastAsia"/>
          <w:b/>
          <w:sz w:val="15"/>
        </w:rPr>
        <w:t xml:space="preserve"> </w:t>
      </w:r>
      <w:r>
        <w:rPr>
          <w:rFonts w:hint="eastAsia"/>
          <w:b/>
          <w:sz w:val="15"/>
        </w:rPr>
        <w:t>公路监测系统架构</w:t>
      </w:r>
    </w:p>
    <w:p w14:paraId="15053869" w14:textId="77777777" w:rsidR="00455074" w:rsidRDefault="00A45B6B">
      <w:pPr>
        <w:ind w:firstLine="420"/>
      </w:pPr>
      <w:r>
        <w:rPr>
          <w:rFonts w:hint="eastAsia"/>
        </w:rPr>
        <w:t>后端数据与平台负责原始数据的清洗、分析、预警与决策支撑，通过现场边缘计算单元完成信号降噪、特征提取等前置处理，再由云端平台依托智能算法实现病害识别、性能演化预测与分级预警，最终输出结构化工程数据，提供数据支撑</w:t>
      </w:r>
      <w:r>
        <w:rPr>
          <w:highlight w:val="yellow"/>
        </w:rPr>
        <w:fldChar w:fldCharType="begin"/>
      </w:r>
      <w:r>
        <w:instrText xml:space="preserve"> </w:instrText>
      </w:r>
      <w:r>
        <w:rPr>
          <w:rFonts w:hint="eastAsia"/>
        </w:rPr>
        <w:instrText>REF _Ref233843003 \r \h</w:instrText>
      </w:r>
      <w:r>
        <w:instrText xml:space="preserve"> </w:instrText>
      </w:r>
      <w:r>
        <w:rPr>
          <w:highlight w:val="yellow"/>
        </w:rPr>
      </w:r>
      <w:r>
        <w:rPr>
          <w:highlight w:val="yellow"/>
        </w:rPr>
        <w:fldChar w:fldCharType="separate"/>
      </w:r>
      <w:r>
        <w:t>[28]</w:t>
      </w:r>
      <w:r>
        <w:rPr>
          <w:highlight w:val="yellow"/>
        </w:rPr>
        <w:fldChar w:fldCharType="end"/>
      </w:r>
      <w:r>
        <w:rPr>
          <w:rFonts w:hint="eastAsia"/>
        </w:rPr>
        <w:t>。</w:t>
      </w:r>
    </w:p>
    <w:p w14:paraId="0451E406" w14:textId="77777777" w:rsidR="00455074" w:rsidRDefault="00A45B6B">
      <w:pPr>
        <w:pStyle w:val="3"/>
        <w:rPr>
          <w:rFonts w:ascii="黑体" w:hAnsi="黑体" w:cs="黑体"/>
        </w:rPr>
      </w:pPr>
      <w:r>
        <w:rPr>
          <w:rFonts w:ascii="黑体" w:hAnsi="黑体" w:cs="黑体" w:hint="eastAsia"/>
        </w:rPr>
        <w:t>1.3监测用光缆</w:t>
      </w:r>
    </w:p>
    <w:p w14:paraId="54A55F6B" w14:textId="77777777" w:rsidR="00455074" w:rsidRDefault="00A45B6B">
      <w:pPr>
        <w:ind w:firstLine="420"/>
      </w:pPr>
      <w:bookmarkStart w:id="20" w:name="OLE_LINK4"/>
      <w:r>
        <w:rPr>
          <w:rFonts w:hint="eastAsia"/>
        </w:rPr>
        <w:t>监测用光缆埋设工艺、布设位置和防护方案直接决定了监测数据是否真实有效，同时影响整套传感系统长期服役稳定性</w:t>
      </w:r>
      <w:r>
        <w:rPr>
          <w:highlight w:val="yellow"/>
        </w:rPr>
        <w:fldChar w:fldCharType="begin"/>
      </w:r>
      <w:r>
        <w:instrText xml:space="preserve"> </w:instrText>
      </w:r>
      <w:r>
        <w:rPr>
          <w:rFonts w:hint="eastAsia"/>
        </w:rPr>
        <w:instrText>REF _Ref233842897 \r \h</w:instrText>
      </w:r>
      <w:r>
        <w:instrText xml:space="preserve"> </w:instrText>
      </w:r>
      <w:r>
        <w:rPr>
          <w:highlight w:val="yellow"/>
        </w:rPr>
      </w:r>
      <w:r>
        <w:rPr>
          <w:highlight w:val="yellow"/>
        </w:rPr>
        <w:fldChar w:fldCharType="separate"/>
      </w:r>
      <w:r>
        <w:t>[26]</w:t>
      </w:r>
      <w:r>
        <w:rPr>
          <w:highlight w:val="yellow"/>
        </w:rPr>
        <w:fldChar w:fldCharType="end"/>
      </w:r>
      <w:r>
        <w:rPr>
          <w:rFonts w:hint="eastAsia"/>
        </w:rPr>
        <w:t>。实际工程应用中，需要考虑不同监测对象的力学响应特征，兼顾新建公路预埋施工、既有公路改造应用的差异化施工约束，针对性选取适配的布设方案。现有公路监测用光缆主要有：既有光缆、直埋布设光缆及表面贴敷光缆</w:t>
      </w:r>
      <w:r>
        <w:rPr>
          <w:rFonts w:hint="eastAsia"/>
        </w:rPr>
        <w:t>3</w:t>
      </w:r>
      <w:r>
        <w:rPr>
          <w:rFonts w:hint="eastAsia"/>
        </w:rPr>
        <w:t>类。</w:t>
      </w:r>
    </w:p>
    <w:bookmarkEnd w:id="20"/>
    <w:p w14:paraId="674A7046" w14:textId="77777777" w:rsidR="00455074" w:rsidRDefault="00A45B6B">
      <w:pPr>
        <w:pStyle w:val="4"/>
        <w:spacing w:line="180" w:lineRule="atLeast"/>
        <w:rPr>
          <w:rFonts w:ascii="黑体" w:hAnsi="黑体" w:cs="黑体"/>
          <w:szCs w:val="32"/>
        </w:rPr>
      </w:pPr>
      <w:r>
        <w:rPr>
          <w:rFonts w:ascii="黑体" w:hAnsi="黑体" w:cs="黑体" w:hint="eastAsia"/>
          <w:szCs w:val="32"/>
        </w:rPr>
        <w:t>1.3.1</w:t>
      </w:r>
      <w:bookmarkStart w:id="21" w:name="OLE_LINK23"/>
      <w:r>
        <w:rPr>
          <w:rFonts w:ascii="黑体" w:hAnsi="黑体" w:cs="黑体" w:hint="eastAsia"/>
          <w:szCs w:val="32"/>
        </w:rPr>
        <w:t>既有</w:t>
      </w:r>
      <w:bookmarkEnd w:id="21"/>
      <w:r>
        <w:rPr>
          <w:rFonts w:ascii="黑体" w:hAnsi="黑体" w:cs="黑体" w:hint="eastAsia"/>
          <w:szCs w:val="32"/>
        </w:rPr>
        <w:t>光</w:t>
      </w:r>
      <w:r>
        <w:rPr>
          <w:rFonts w:hint="eastAsia"/>
        </w:rPr>
        <w:t>缆</w:t>
      </w:r>
    </w:p>
    <w:p w14:paraId="2DC2168E" w14:textId="77777777" w:rsidR="00455074" w:rsidRDefault="00A45B6B">
      <w:pPr>
        <w:ind w:firstLine="420"/>
        <w:jc w:val="left"/>
      </w:pPr>
      <w:r>
        <w:rPr>
          <w:rFonts w:ascii="黑体" w:hAnsi="黑体" w:cs="黑体" w:hint="eastAsia"/>
          <w:szCs w:val="32"/>
        </w:rPr>
        <w:t>既有</w:t>
      </w:r>
      <w:r>
        <w:rPr>
          <w:rFonts w:hint="eastAsia"/>
        </w:rPr>
        <w:t>光缆指复用公路沿线已铺设的通信光缆的冗余信道，无需额外布设光缆，具有工程成本低、无需大规模布设的优势，是公路大范围快速监测的常用方案。但受既有通信光缆的建设标准与路由条件限制，沿线光缆接续点、管道弯折点较多，易形成多处信号死区，难以实现全线连续无盲区观测</w:t>
      </w:r>
      <w:r>
        <w:fldChar w:fldCharType="begin"/>
      </w:r>
      <w:r>
        <w:instrText xml:space="preserve"> </w:instrText>
      </w:r>
      <w:r>
        <w:rPr>
          <w:rFonts w:hint="eastAsia"/>
        </w:rPr>
        <w:instrText>REF _Ref234148376 \r \h</w:instrText>
      </w:r>
      <w:r>
        <w:instrText xml:space="preserve"> </w:instrText>
      </w:r>
      <w:r>
        <w:fldChar w:fldCharType="separate"/>
      </w:r>
      <w:r>
        <w:t>[29]</w:t>
      </w:r>
      <w:r>
        <w:fldChar w:fldCharType="end"/>
      </w:r>
      <w:r>
        <w:rPr>
          <w:rFonts w:hint="eastAsia"/>
        </w:rPr>
        <w:t>；同时，既有通信光缆以信号传输为设计目标，其与路基、路面结构的力学耦合一致性较差，难以实现高精度参量反演，通常仅适用于道路交通状态初步识别与大范围监测趋势分析。</w:t>
      </w:r>
    </w:p>
    <w:p w14:paraId="09E8195C" w14:textId="77777777" w:rsidR="00455074" w:rsidRDefault="00A45B6B">
      <w:pPr>
        <w:ind w:firstLineChars="0" w:firstLine="0"/>
        <w:rPr>
          <w:rFonts w:ascii="黑体" w:eastAsia="黑体" w:hAnsi="黑体" w:cs="黑体"/>
          <w:b/>
          <w:bCs/>
          <w:szCs w:val="32"/>
        </w:rPr>
      </w:pPr>
      <w:r>
        <w:rPr>
          <w:rFonts w:ascii="黑体" w:eastAsia="黑体" w:hAnsi="黑体" w:cs="黑体" w:hint="eastAsia"/>
          <w:b/>
          <w:bCs/>
          <w:szCs w:val="32"/>
        </w:rPr>
        <w:t xml:space="preserve">1.3.2 </w:t>
      </w:r>
      <w:r>
        <w:rPr>
          <w:rFonts w:asciiTheme="majorHAnsi" w:eastAsia="黑体" w:hAnsiTheme="majorHAnsi" w:cstheme="majorBidi" w:hint="eastAsia"/>
          <w:b/>
          <w:bCs/>
          <w:szCs w:val="28"/>
        </w:rPr>
        <w:t>直埋光</w:t>
      </w:r>
      <w:r>
        <w:rPr>
          <w:rFonts w:ascii="黑体" w:eastAsia="黑体" w:hAnsi="黑体" w:cs="黑体" w:hint="eastAsia"/>
          <w:b/>
          <w:bCs/>
          <w:szCs w:val="32"/>
        </w:rPr>
        <w:t>缆</w:t>
      </w:r>
    </w:p>
    <w:p w14:paraId="282194BF" w14:textId="77777777" w:rsidR="00455074" w:rsidRDefault="00A45B6B">
      <w:pPr>
        <w:ind w:firstLine="420"/>
      </w:pPr>
      <w:r>
        <w:rPr>
          <w:rFonts w:hint="eastAsia"/>
        </w:rPr>
        <w:t>开槽直埋光缆是公路高精度结构监测主流布设方案，通过将光缆嵌入路面、路肩、混凝土附属构件内部实现紧密力学耦合，包含间预埋法、路肩开槽、同步一体化埋设三类工艺。</w:t>
      </w:r>
      <w:bookmarkStart w:id="22" w:name="OLE_LINK25"/>
    </w:p>
    <w:p w14:paraId="2B543150" w14:textId="77777777" w:rsidR="00455074" w:rsidRDefault="00A45B6B">
      <w:pPr>
        <w:ind w:firstLine="422"/>
      </w:pPr>
      <w:r>
        <w:rPr>
          <w:rFonts w:hint="eastAsia"/>
          <w:b/>
          <w:bCs/>
        </w:rPr>
        <w:t>间预埋法</w:t>
      </w:r>
      <w:bookmarkEnd w:id="22"/>
      <w:r>
        <w:rPr>
          <w:rFonts w:hint="eastAsia"/>
        </w:rPr>
        <w:t>：面向新建沥青、混凝土道路，施工阶段在结构层间开槽布设耐高温铠装光缆并回填密封，光缆与路面协同变形，应变传递高效，可长期监测层间脱空、细微裂缝等内部病害，服役周期与道路本体同步</w:t>
      </w:r>
      <w:r>
        <w:fldChar w:fldCharType="begin"/>
      </w:r>
      <w:r>
        <w:instrText xml:space="preserve"> REF _Ref233843118 \r \h </w:instrText>
      </w:r>
      <w:r>
        <w:fldChar w:fldCharType="separate"/>
      </w:r>
      <w:r>
        <w:t>[30]</w:t>
      </w:r>
      <w:r>
        <w:fldChar w:fldCharType="end"/>
      </w:r>
      <w:r>
        <w:rPr>
          <w:rFonts w:hint="eastAsia"/>
        </w:rPr>
        <w:t>。</w:t>
      </w:r>
    </w:p>
    <w:p w14:paraId="57F4A04E" w14:textId="77777777" w:rsidR="00455074" w:rsidRDefault="00A45B6B">
      <w:pPr>
        <w:ind w:firstLine="422"/>
      </w:pPr>
      <w:r>
        <w:rPr>
          <w:rFonts w:hint="eastAsia"/>
          <w:b/>
          <w:bCs/>
        </w:rPr>
        <w:t>路肩开槽埋设法</w:t>
      </w:r>
      <w:r>
        <w:rPr>
          <w:rFonts w:hint="eastAsia"/>
        </w:rPr>
        <w:t>：适用于已运营道路改造，在行车道外侧路肩处开挖浅沟敷设光缆，以沙土、混凝土分层防护，仅需要道路最外侧车道实施短时交通管控，多用于全线车流与路基沉降常态化监测</w:t>
      </w:r>
      <w:r>
        <w:fldChar w:fldCharType="begin"/>
      </w:r>
      <w:r>
        <w:instrText xml:space="preserve"> REF _Ref233843287 \r \h </w:instrText>
      </w:r>
      <w:r>
        <w:fldChar w:fldCharType="separate"/>
      </w:r>
      <w:r>
        <w:t>[31]</w:t>
      </w:r>
      <w:r>
        <w:fldChar w:fldCharType="end"/>
      </w:r>
      <w:r>
        <w:rPr>
          <w:rFonts w:hint="eastAsia"/>
        </w:rPr>
        <w:t>。</w:t>
      </w:r>
    </w:p>
    <w:p w14:paraId="5EB6ACCC" w14:textId="77777777" w:rsidR="00455074" w:rsidRDefault="00A45B6B">
      <w:pPr>
        <w:ind w:firstLine="422"/>
      </w:pPr>
      <w:bookmarkStart w:id="23" w:name="OLE_LINK12"/>
      <w:r>
        <w:rPr>
          <w:rFonts w:hint="eastAsia"/>
          <w:b/>
          <w:bCs/>
        </w:rPr>
        <w:lastRenderedPageBreak/>
        <w:t>同步埋设法</w:t>
      </w:r>
      <w:bookmarkEnd w:id="23"/>
      <w:r>
        <w:rPr>
          <w:rFonts w:hint="eastAsia"/>
          <w:b/>
          <w:bCs/>
        </w:rPr>
        <w:t>：</w:t>
      </w:r>
      <w:r>
        <w:rPr>
          <w:rFonts w:hint="eastAsia"/>
        </w:rPr>
        <w:t>新建路侧混凝土护栏施工时一体化预埋光缆，光缆完全包裹于混凝土内，耦合效果极佳，可稳定采集低频准静态形变信号，施工效率高、长期防护性能优异。</w:t>
      </w:r>
    </w:p>
    <w:p w14:paraId="210FED7F" w14:textId="77777777" w:rsidR="00455074" w:rsidRDefault="00A45B6B">
      <w:pPr>
        <w:ind w:firstLine="420"/>
      </w:pPr>
      <w:r>
        <w:t>整体而言，</w:t>
      </w:r>
      <w:r>
        <w:rPr>
          <w:rFonts w:hint="eastAsia"/>
        </w:rPr>
        <w:t>直埋式布设能够让光缆与道路结构、路基土体形成紧密的力学耦合，可高效采集亚赫兹准静态低频形变信号，实现车辆荷载与结构响应的定量反演，充分发挥直埋方案优异的低频传感特性。但该高精度低频监测存在多重约束：一方面，亚赫兹频段信号对</w:t>
      </w:r>
      <w:r>
        <w:rPr>
          <w:rFonts w:hint="eastAsia"/>
        </w:rPr>
        <w:t xml:space="preserve"> DAS </w:t>
      </w:r>
      <w:r>
        <w:rPr>
          <w:rFonts w:hint="eastAsia"/>
        </w:rPr>
        <w:t>解调系统的灵敏度、频率分辨率要求严苛，需配备高性能解调硬件；另一方面，直埋所需的路面切槽施工会大幅提升工程造价与系统整体复杂度，且施工过程需临时占道封路，难以应用于交通保通需求高、不具备封闭施工条件的运营道路，适用场景存在明显局限。</w:t>
      </w:r>
    </w:p>
    <w:p w14:paraId="7B16DD60" w14:textId="77777777" w:rsidR="00455074" w:rsidRDefault="00A45B6B">
      <w:pPr>
        <w:ind w:firstLineChars="0" w:firstLine="0"/>
      </w:pPr>
      <w:r>
        <w:rPr>
          <w:rFonts w:ascii="黑体" w:eastAsia="黑体" w:hAnsi="黑体" w:cs="黑体" w:hint="eastAsia"/>
          <w:b/>
          <w:bCs/>
          <w:szCs w:val="32"/>
        </w:rPr>
        <w:t>1.3.3 表面贴敷光缆</w:t>
      </w:r>
    </w:p>
    <w:p w14:paraId="3737AD94" w14:textId="77777777" w:rsidR="00455074" w:rsidRDefault="00A45B6B">
      <w:pPr>
        <w:ind w:firstLine="420"/>
      </w:pPr>
      <w:r>
        <w:rPr>
          <w:rFonts w:hint="eastAsia"/>
        </w:rPr>
        <w:t>针对运营道路不具备开挖施工条件、直埋布设方案难以落地的工程场景，路面表面贴敷式光缆布设提供轻量化非开挖监测解决方案。该布设方式施工灵活，可结合现场工况选用胶粘固定或轧带绑扎</w:t>
      </w:r>
      <w:r>
        <w:rPr>
          <w:rFonts w:hint="eastAsia"/>
        </w:rPr>
        <w:t>2</w:t>
      </w:r>
      <w:r>
        <w:rPr>
          <w:rFonts w:hint="eastAsia"/>
        </w:rPr>
        <w:t>种固定手段：针对硬化路面，打磨清理表层后采用宽度不小于</w:t>
      </w:r>
      <w:r>
        <w:t>2cm</w:t>
      </w:r>
      <w:r>
        <w:rPr>
          <w:rFonts w:hint="eastAsia"/>
        </w:rPr>
        <w:t>的环氧树脂或聚氨酯结构胶粘贴光缆，表层铺设沥青防护层抵御温变、雨水等环境侵蚀；针对护栏、金属杆件等路侧刚性构件，直接使用轧带完成光缆绑扎固定。整体施工流程简便，监测周期结束后光缆均可拆除回收、重复利用，适配短期科研试验、道路病害应急排查等监测场景。</w:t>
      </w:r>
    </w:p>
    <w:p w14:paraId="6E0ACA6C" w14:textId="77777777" w:rsidR="00455074" w:rsidRDefault="00455074">
      <w:pPr>
        <w:ind w:firstLine="420"/>
      </w:pPr>
    </w:p>
    <w:p w14:paraId="2F049243" w14:textId="77777777" w:rsidR="00455074" w:rsidRDefault="00A45B6B">
      <w:pPr>
        <w:ind w:firstLineChars="0" w:firstLine="0"/>
        <w:rPr>
          <w:rStyle w:val="20"/>
          <w:rFonts w:ascii="黑体" w:hAnsi="黑体" w:cs="黑体"/>
          <w:szCs w:val="24"/>
        </w:rPr>
      </w:pPr>
      <w:r>
        <w:rPr>
          <w:rStyle w:val="20"/>
          <w:rFonts w:ascii="黑体" w:hAnsi="黑体" w:cs="黑体" w:hint="eastAsia"/>
          <w:szCs w:val="24"/>
        </w:rPr>
        <w:t xml:space="preserve">2 公路车辆监测技术  </w:t>
      </w:r>
    </w:p>
    <w:p w14:paraId="5D6BE616" w14:textId="77777777" w:rsidR="00455074" w:rsidRDefault="00A45B6B">
      <w:pPr>
        <w:pStyle w:val="4"/>
        <w:rPr>
          <w:rFonts w:ascii="黑体" w:hAnsi="黑体" w:cs="黑体"/>
          <w:szCs w:val="32"/>
        </w:rPr>
      </w:pPr>
      <w:r>
        <w:rPr>
          <w:rFonts w:ascii="黑体" w:hAnsi="黑体" w:cs="黑体" w:hint="eastAsia"/>
          <w:szCs w:val="32"/>
        </w:rPr>
        <w:t>2.1信号增强与降噪技术</w:t>
      </w:r>
    </w:p>
    <w:p w14:paraId="0F66BA5A" w14:textId="77777777" w:rsidR="00455074" w:rsidRDefault="00A45B6B">
      <w:pPr>
        <w:ind w:firstLine="420"/>
      </w:pPr>
      <w:r>
        <w:rPr>
          <w:rFonts w:hint="eastAsia"/>
        </w:rPr>
        <w:t>DAS</w:t>
      </w:r>
      <w:r>
        <w:rPr>
          <w:rFonts w:hint="eastAsia"/>
        </w:rPr>
        <w:t>公路监测中，首先遇到的就是采集信号的处理。依据信号处理技术的实现原理可将现有降噪增强手段划分为经典信号降噪增强技术与基于深度学习的信号增强技术两大类别。</w:t>
      </w:r>
    </w:p>
    <w:p w14:paraId="7307D8CC" w14:textId="77777777" w:rsidR="00455074" w:rsidRDefault="00A45B6B">
      <w:pPr>
        <w:ind w:firstLineChars="0" w:firstLine="0"/>
        <w:rPr>
          <w:rFonts w:ascii="黑体" w:eastAsia="黑体" w:hAnsi="黑体" w:cs="黑体"/>
          <w:b/>
          <w:bCs/>
          <w:szCs w:val="32"/>
        </w:rPr>
      </w:pPr>
      <w:r>
        <w:rPr>
          <w:rFonts w:ascii="黑体" w:eastAsia="黑体" w:hAnsi="黑体" w:cs="黑体" w:hint="eastAsia"/>
          <w:b/>
          <w:bCs/>
          <w:szCs w:val="32"/>
        </w:rPr>
        <w:t>2.1.1</w:t>
      </w:r>
      <w:bookmarkStart w:id="24" w:name="OLE_LINK3"/>
      <w:r>
        <w:rPr>
          <w:rFonts w:ascii="黑体" w:eastAsia="黑体" w:hAnsi="黑体" w:cs="黑体" w:hint="eastAsia"/>
          <w:b/>
          <w:bCs/>
          <w:szCs w:val="32"/>
        </w:rPr>
        <w:t>经典</w:t>
      </w:r>
      <w:bookmarkEnd w:id="24"/>
      <w:r>
        <w:rPr>
          <w:rFonts w:ascii="黑体" w:eastAsia="黑体" w:hAnsi="黑体" w:cs="黑体" w:hint="eastAsia"/>
          <w:b/>
          <w:bCs/>
          <w:szCs w:val="32"/>
        </w:rPr>
        <w:t>信号降噪增强</w:t>
      </w:r>
      <w:bookmarkStart w:id="25" w:name="_Hlk234706252"/>
      <w:r>
        <w:rPr>
          <w:rFonts w:ascii="黑体" w:eastAsia="黑体" w:hAnsi="黑体" w:cs="黑体" w:hint="eastAsia"/>
          <w:b/>
          <w:bCs/>
          <w:szCs w:val="32"/>
        </w:rPr>
        <w:t>技术</w:t>
      </w:r>
      <w:bookmarkEnd w:id="25"/>
    </w:p>
    <w:p w14:paraId="0F14FC9A" w14:textId="77777777" w:rsidR="00455074" w:rsidRDefault="00A45B6B">
      <w:pPr>
        <w:ind w:firstLine="420"/>
      </w:pPr>
      <w:r>
        <w:rPr>
          <w:rFonts w:hint="eastAsia"/>
        </w:rPr>
        <w:t>经典方法依靠人工设定固定参数完成噪声抑制与轨迹优化，实现逻辑简单、实时性较好，但在高密度车流、强环境干扰场景下处理效果存在明显局限。具体分为预处理</w:t>
      </w:r>
      <w:bookmarkStart w:id="26" w:name="OLE_LINK30"/>
      <w:r>
        <w:rPr>
          <w:rFonts w:hint="eastAsia"/>
        </w:rPr>
        <w:t>降噪</w:t>
      </w:r>
      <w:bookmarkEnd w:id="26"/>
      <w:r>
        <w:rPr>
          <w:rFonts w:hint="eastAsia"/>
        </w:rPr>
        <w:t>、域变换信号降噪</w:t>
      </w:r>
      <w:r>
        <w:rPr>
          <w:rFonts w:hint="eastAsia"/>
        </w:rPr>
        <w:t>2</w:t>
      </w:r>
      <w:r>
        <w:rPr>
          <w:rFonts w:hint="eastAsia"/>
        </w:rPr>
        <w:t>类技术。</w:t>
      </w:r>
    </w:p>
    <w:p w14:paraId="332B6867" w14:textId="77777777" w:rsidR="00455074" w:rsidRDefault="00A45B6B">
      <w:pPr>
        <w:ind w:firstLine="420"/>
      </w:pPr>
      <w:r>
        <w:rPr>
          <w:rFonts w:hint="eastAsia"/>
        </w:rPr>
        <w:t>1</w:t>
      </w:r>
      <w:r>
        <w:rPr>
          <w:rFonts w:hint="eastAsia"/>
        </w:rPr>
        <w:t>）预处理降噪</w:t>
      </w:r>
    </w:p>
    <w:p w14:paraId="235103B2" w14:textId="77777777" w:rsidR="00455074" w:rsidRDefault="00A45B6B">
      <w:pPr>
        <w:ind w:firstLine="420"/>
      </w:pPr>
      <w:r>
        <w:rPr>
          <w:rFonts w:hint="eastAsia"/>
        </w:rPr>
        <w:t>预处理是车辆振动信号降噪的前置基础流程，核心目标是剔除采集数据中直观明显的噪声干扰，优化原始数据质量，为后续特征提取、目标识别提供稳定输入，主流手段包含带通低通滤波、中值滤波、异常幅值抑制、列归一化、背景校正等</w:t>
      </w:r>
      <w:r>
        <w:fldChar w:fldCharType="begin"/>
      </w:r>
      <w:r>
        <w:instrText xml:space="preserve"> </w:instrText>
      </w:r>
      <w:r>
        <w:rPr>
          <w:rFonts w:hint="eastAsia"/>
        </w:rPr>
        <w:instrText>REF _Ref233843529 \r \h</w:instrText>
      </w:r>
      <w:r>
        <w:instrText xml:space="preserve"> </w:instrText>
      </w:r>
      <w:r>
        <w:fldChar w:fldCharType="separate"/>
      </w:r>
      <w:r>
        <w:t>[32]</w:t>
      </w:r>
      <w:r>
        <w:fldChar w:fldCharType="end"/>
      </w:r>
      <w:r>
        <w:rPr>
          <w:rFonts w:hint="eastAsia"/>
        </w:rPr>
        <w:t>。</w:t>
      </w:r>
    </w:p>
    <w:p w14:paraId="76079A0E" w14:textId="77777777" w:rsidR="00455074" w:rsidRDefault="00A45B6B">
      <w:pPr>
        <w:ind w:firstLine="420"/>
      </w:pPr>
      <w:r>
        <w:rPr>
          <w:rFonts w:hint="eastAsia"/>
        </w:rPr>
        <w:t>道路交通荷载产生的振动以低频振动为主，工程中一般优先采用带通、低通滤波滤除高频随机噪声</w:t>
      </w:r>
      <w:r>
        <w:fldChar w:fldCharType="begin"/>
      </w:r>
      <w:r>
        <w:instrText xml:space="preserve"> </w:instrText>
      </w:r>
      <w:r>
        <w:rPr>
          <w:rFonts w:hint="eastAsia"/>
        </w:rPr>
        <w:instrText>REF _Ref233843529 \r \h</w:instrText>
      </w:r>
      <w:r>
        <w:instrText xml:space="preserve"> </w:instrText>
      </w:r>
      <w:r>
        <w:fldChar w:fldCharType="separate"/>
      </w:r>
      <w:r>
        <w:t>[32]</w:t>
      </w:r>
      <w:r>
        <w:fldChar w:fldCharType="end"/>
      </w:r>
      <w:r>
        <w:rPr>
          <w:rFonts w:hint="eastAsia"/>
        </w:rPr>
        <w:t>；不同道路工况、车型对应的振动频率区间存在差异，滤波频带参数会直接决定车辆轨迹增强效果。针对光源波动、探测器扰动带来的横竖条纹干扰，可通过异常值检测、幅值截断结合中值滤波完成抑制</w:t>
      </w:r>
      <w:r>
        <w:fldChar w:fldCharType="begin"/>
      </w:r>
      <w:r>
        <w:instrText xml:space="preserve"> </w:instrText>
      </w:r>
      <w:r>
        <w:rPr>
          <w:rFonts w:hint="eastAsia"/>
        </w:rPr>
        <w:instrText>REF _Ref233843549 \r \h</w:instrText>
      </w:r>
      <w:r>
        <w:instrText xml:space="preserve"> </w:instrText>
      </w:r>
      <w:r>
        <w:fldChar w:fldCharType="separate"/>
      </w:r>
      <w:r>
        <w:t>[33]</w:t>
      </w:r>
      <w:r>
        <w:fldChar w:fldCharType="end"/>
      </w:r>
      <w:r>
        <w:rPr>
          <w:rFonts w:hint="eastAsia"/>
        </w:rPr>
        <w:t>；该类算法计算量小、实时性突出，在车流量小、信噪比高的道路场景降噪效果优异。</w:t>
      </w:r>
    </w:p>
    <w:p w14:paraId="1CADF57D" w14:textId="77777777" w:rsidR="00455074" w:rsidRDefault="00A45B6B">
      <w:pPr>
        <w:ind w:firstLine="420"/>
      </w:pPr>
      <w:r>
        <w:rPr>
          <w:rFonts w:hint="eastAsia"/>
        </w:rPr>
        <w:t>文献</w:t>
      </w:r>
      <w:r>
        <w:fldChar w:fldCharType="begin"/>
      </w:r>
      <w:r>
        <w:instrText xml:space="preserve"> </w:instrText>
      </w:r>
      <w:r>
        <w:rPr>
          <w:rFonts w:hint="eastAsia"/>
        </w:rPr>
        <w:instrText>REF _Ref233843529 \r \h</w:instrText>
      </w:r>
      <w:r>
        <w:instrText xml:space="preserve"> </w:instrText>
      </w:r>
      <w:r>
        <w:fldChar w:fldCharType="separate"/>
      </w:r>
      <w:r>
        <w:t>[32]</w:t>
      </w:r>
      <w:r>
        <w:fldChar w:fldCharType="end"/>
      </w:r>
      <w:r>
        <w:rPr>
          <w:rFonts w:hint="eastAsia"/>
        </w:rPr>
        <w:t>研究表明</w:t>
      </w:r>
      <w:r>
        <w:t>，不同滤波频带对应的车辆轨迹清晰程度存在明显差异，其中</w:t>
      </w:r>
      <w:r>
        <w:t>0.4~1.7 Hz</w:t>
      </w:r>
      <w:r>
        <w:t>频带在抑制背景噪声的同时较好地保留了车辆轨迹特征。</w:t>
      </w:r>
      <w:r>
        <w:rPr>
          <w:rFonts w:hint="eastAsia"/>
        </w:rPr>
        <w:t>合理设置滤波频带能够在抑制随机噪声的同时较好地保留车辆响应特征，从而提高车辆轨迹的可辨识性。</w:t>
      </w:r>
    </w:p>
    <w:p w14:paraId="58AF6D30" w14:textId="77777777" w:rsidR="00455074" w:rsidRDefault="00A45B6B">
      <w:pPr>
        <w:ind w:firstLine="420"/>
      </w:pPr>
      <w:r>
        <w:rPr>
          <w:rFonts w:hint="eastAsia"/>
        </w:rPr>
        <w:t>但当道路车流密集、环境噪声与车辆振动频带重叠时，仅依靠固定滤波参数、经验阈值会出现轨迹断裂、弱车辆目标丢失、多车轨迹混叠等缺陷，单一预处理手段无法满足复杂交通高精度监测需求。</w:t>
      </w:r>
    </w:p>
    <w:p w14:paraId="5CFCADCA" w14:textId="77777777" w:rsidR="00455074" w:rsidRDefault="00A45B6B">
      <w:pPr>
        <w:ind w:firstLine="420"/>
      </w:pPr>
      <w:r>
        <w:rPr>
          <w:rFonts w:hint="eastAsia"/>
        </w:rPr>
        <w:t>2</w:t>
      </w:r>
      <w:r>
        <w:rPr>
          <w:rFonts w:hint="eastAsia"/>
        </w:rPr>
        <w:t>）域变换信号降噪</w:t>
      </w:r>
    </w:p>
    <w:p w14:paraId="64A4190A" w14:textId="77777777" w:rsidR="00455074" w:rsidRDefault="00A45B6B">
      <w:pPr>
        <w:ind w:firstLine="420"/>
      </w:pPr>
      <w:r>
        <w:rPr>
          <w:rFonts w:hint="eastAsia"/>
        </w:rPr>
        <w:t>为进一步提高车辆轨迹的可分辨性，研究者提出了基于域变换降噪的信号增强方法，即通过将时空信号映射至其他特征域，实现车辆信号与噪声的有效分离</w:t>
      </w:r>
      <w:r>
        <w:fldChar w:fldCharType="begin"/>
      </w:r>
      <w:r>
        <w:instrText xml:space="preserve"> </w:instrText>
      </w:r>
      <w:r>
        <w:rPr>
          <w:rFonts w:hint="eastAsia"/>
        </w:rPr>
        <w:instrText>REF _Ref233843551 \r \h</w:instrText>
      </w:r>
      <w:r>
        <w:instrText xml:space="preserve"> </w:instrText>
      </w:r>
      <w:r>
        <w:fldChar w:fldCharType="separate"/>
      </w:r>
      <w:r>
        <w:t>[34]</w:t>
      </w:r>
      <w:r>
        <w:fldChar w:fldCharType="end"/>
      </w:r>
      <w:r>
        <w:fldChar w:fldCharType="begin"/>
      </w:r>
      <w:r>
        <w:instrText xml:space="preserve"> REF _Ref233843553 \r \h </w:instrText>
      </w:r>
      <w:r>
        <w:fldChar w:fldCharType="separate"/>
      </w:r>
      <w:r>
        <w:t>[35]</w:t>
      </w:r>
      <w:r>
        <w:fldChar w:fldCharType="end"/>
      </w:r>
      <w:r>
        <w:fldChar w:fldCharType="begin"/>
      </w:r>
      <w:r>
        <w:instrText xml:space="preserve"> REF _Ref233843554 \r \h </w:instrText>
      </w:r>
      <w:r>
        <w:fldChar w:fldCharType="separate"/>
      </w:r>
      <w:r>
        <w:t>[36]</w:t>
      </w:r>
      <w:r>
        <w:fldChar w:fldCharType="end"/>
      </w:r>
      <w:r>
        <w:rPr>
          <w:rFonts w:hint="eastAsia"/>
        </w:rPr>
        <w:t>。典型方法包括小波变换</w:t>
      </w:r>
      <w:r>
        <w:fldChar w:fldCharType="begin"/>
      </w:r>
      <w:r>
        <w:instrText xml:space="preserve"> </w:instrText>
      </w:r>
      <w:r>
        <w:rPr>
          <w:rFonts w:hint="eastAsia"/>
        </w:rPr>
        <w:instrText>REF _Ref233843556 \r \h</w:instrText>
      </w:r>
      <w:r>
        <w:instrText xml:space="preserve"> </w:instrText>
      </w:r>
      <w:r>
        <w:fldChar w:fldCharType="separate"/>
      </w:r>
      <w:r>
        <w:t>[37]</w:t>
      </w:r>
      <w:r>
        <w:fldChar w:fldCharType="end"/>
      </w:r>
      <w:r>
        <w:rPr>
          <w:rFonts w:hint="eastAsia"/>
        </w:rPr>
        <w:t>、</w:t>
      </w:r>
      <w:r>
        <w:rPr>
          <w:rFonts w:hint="eastAsia"/>
        </w:rPr>
        <w:t>Curvelet</w:t>
      </w:r>
      <w:r>
        <w:rPr>
          <w:rFonts w:hint="eastAsia"/>
        </w:rPr>
        <w:t>变换以及波束形成</w:t>
      </w:r>
      <w:r>
        <w:fldChar w:fldCharType="begin"/>
      </w:r>
      <w:r>
        <w:instrText xml:space="preserve"> </w:instrText>
      </w:r>
      <w:r>
        <w:rPr>
          <w:rFonts w:hint="eastAsia"/>
        </w:rPr>
        <w:instrText>REF _Ref234149793 \r \h</w:instrText>
      </w:r>
      <w:r>
        <w:instrText xml:space="preserve"> </w:instrText>
      </w:r>
      <w:r>
        <w:fldChar w:fldCharType="separate"/>
      </w:r>
      <w:r>
        <w:t>[38]</w:t>
      </w:r>
      <w:r>
        <w:fldChar w:fldCharType="end"/>
      </w:r>
      <w:r>
        <w:rPr>
          <w:rFonts w:hint="eastAsia"/>
        </w:rPr>
        <w:t>、</w:t>
      </w:r>
      <w:bookmarkStart w:id="27" w:name="OLE_LINK14"/>
      <w:r>
        <w:rPr>
          <w:rFonts w:hint="eastAsia"/>
        </w:rPr>
        <w:t>F-K</w:t>
      </w:r>
      <w:r>
        <w:rPr>
          <w:rFonts w:hint="eastAsia"/>
        </w:rPr>
        <w:t>变换</w:t>
      </w:r>
      <w:r>
        <w:fldChar w:fldCharType="begin"/>
      </w:r>
      <w:r>
        <w:instrText xml:space="preserve"> </w:instrText>
      </w:r>
      <w:r>
        <w:rPr>
          <w:rFonts w:hint="eastAsia"/>
        </w:rPr>
        <w:instrText>REF _Ref233843551 \r \h</w:instrText>
      </w:r>
      <w:r>
        <w:instrText xml:space="preserve"> </w:instrText>
      </w:r>
      <w:r>
        <w:fldChar w:fldCharType="separate"/>
      </w:r>
      <w:r>
        <w:t>[34]</w:t>
      </w:r>
      <w:r>
        <w:fldChar w:fldCharType="end"/>
      </w:r>
      <w:bookmarkEnd w:id="27"/>
      <w:r>
        <w:rPr>
          <w:rFonts w:hint="eastAsia"/>
        </w:rPr>
        <w:t>等。小波变换通过多尺度分解分离不同频率分量，搭配阈值处理压制随机噪声；</w:t>
      </w:r>
      <w:r>
        <w:rPr>
          <w:rFonts w:hint="eastAsia"/>
        </w:rPr>
        <w:t>Curvelet</w:t>
      </w:r>
      <w:r>
        <w:rPr>
          <w:rFonts w:hint="eastAsia"/>
        </w:rPr>
        <w:t>变换可完整保留车辆线性轨迹的连续性与方向特征，对细长轨迹目标增强效果突出。</w:t>
      </w:r>
    </w:p>
    <w:p w14:paraId="06617BBD" w14:textId="77777777" w:rsidR="00455074" w:rsidRDefault="00A45B6B">
      <w:pPr>
        <w:ind w:firstLine="420"/>
      </w:pPr>
      <w:r>
        <w:rPr>
          <w:rFonts w:hint="eastAsia"/>
        </w:rPr>
        <w:t>其中，</w:t>
      </w:r>
      <w:r>
        <w:rPr>
          <w:rFonts w:hint="eastAsia"/>
        </w:rPr>
        <w:t>F-K</w:t>
      </w:r>
      <w:r>
        <w:rPr>
          <w:rFonts w:hint="eastAsia"/>
        </w:rPr>
        <w:t>变换由于能够充分利用车辆轨迹在时空域中的速度方向特征，已成为交通监测中应用最广泛的域变换方法之一。文献</w:t>
      </w:r>
      <w:r>
        <w:fldChar w:fldCharType="begin"/>
      </w:r>
      <w:r>
        <w:instrText xml:space="preserve"> </w:instrText>
      </w:r>
      <w:r>
        <w:rPr>
          <w:rFonts w:hint="eastAsia"/>
        </w:rPr>
        <w:instrText>REF _Ref233843551 \r \h</w:instrText>
      </w:r>
      <w:r>
        <w:instrText xml:space="preserve"> </w:instrText>
      </w:r>
      <w:r>
        <w:fldChar w:fldCharType="separate"/>
      </w:r>
      <w:r>
        <w:t>[34]</w:t>
      </w:r>
      <w:r>
        <w:fldChar w:fldCharType="end"/>
      </w:r>
      <w:r>
        <w:rPr>
          <w:rFonts w:hint="eastAsia"/>
        </w:rPr>
        <w:t>研究表明，经过局部</w:t>
      </w:r>
      <w:r>
        <w:rPr>
          <w:rFonts w:hint="eastAsia"/>
        </w:rPr>
        <w:t>F-K</w:t>
      </w:r>
      <w:r>
        <w:rPr>
          <w:rFonts w:hint="eastAsia"/>
        </w:rPr>
        <w:t>滤波后，车辆轨迹更加清晰，随机噪声及非目标干扰得到有效抑制，同时保留了车辆轨迹的连续性，为后续车辆检测、速度估计和轨迹提取提供了更加可靠的数据基础。</w:t>
      </w:r>
    </w:p>
    <w:p w14:paraId="64D4B2BC" w14:textId="77777777" w:rsidR="00455074" w:rsidRDefault="00A45B6B">
      <w:pPr>
        <w:ind w:firstLine="420"/>
      </w:pPr>
      <w:r>
        <w:rPr>
          <w:rFonts w:hint="eastAsia"/>
        </w:rPr>
        <w:lastRenderedPageBreak/>
        <w:t>相比传统滤波方法，域变换降噪方法能够充分利用车辆轨迹的时空连续特性，在车辆轨迹提取和背景噪声抑制方面具有更好的表现。但这类方法通常依赖人工选择滤波参数、阈值及变换尺度，对不同道路环境的适应能力有限，当交通密度较高或车辆轨迹严重重叠时，其增强效果仍受到一定限制。</w:t>
      </w:r>
    </w:p>
    <w:p w14:paraId="4ED9D586" w14:textId="77777777" w:rsidR="00455074" w:rsidRDefault="00A45B6B">
      <w:pPr>
        <w:ind w:firstLineChars="0" w:firstLine="0"/>
        <w:rPr>
          <w:rFonts w:ascii="黑体" w:eastAsia="黑体" w:hAnsi="黑体" w:cs="黑体"/>
          <w:b/>
          <w:bCs/>
          <w:szCs w:val="32"/>
        </w:rPr>
      </w:pPr>
      <w:r>
        <w:rPr>
          <w:rFonts w:ascii="黑体" w:eastAsia="黑体" w:hAnsi="黑体" w:cs="黑体" w:hint="eastAsia"/>
          <w:b/>
          <w:bCs/>
          <w:szCs w:val="32"/>
        </w:rPr>
        <w:t>2.1.</w:t>
      </w:r>
      <w:r>
        <w:rPr>
          <w:rFonts w:ascii="黑体" w:eastAsia="黑体" w:hAnsi="黑体" w:cs="黑体"/>
          <w:b/>
          <w:bCs/>
          <w:szCs w:val="32"/>
        </w:rPr>
        <w:t>2</w:t>
      </w:r>
      <w:r>
        <w:rPr>
          <w:rFonts w:ascii="黑体" w:eastAsia="黑体" w:hAnsi="黑体" w:cs="黑体" w:hint="eastAsia"/>
          <w:b/>
          <w:bCs/>
          <w:szCs w:val="32"/>
        </w:rPr>
        <w:t>基于深度学习的信号增强技术</w:t>
      </w:r>
    </w:p>
    <w:p w14:paraId="15E15FDB" w14:textId="77777777" w:rsidR="00455074" w:rsidRDefault="00A45B6B">
      <w:pPr>
        <w:ind w:firstLine="420"/>
      </w:pPr>
      <w:r>
        <w:rPr>
          <w:rFonts w:hint="eastAsia"/>
        </w:rPr>
        <w:t>深度学习是近年</w:t>
      </w:r>
      <w:r>
        <w:rPr>
          <w:rFonts w:hint="eastAsia"/>
        </w:rPr>
        <w:t>DAS</w:t>
      </w:r>
      <w:r>
        <w:rPr>
          <w:rFonts w:hint="eastAsia"/>
        </w:rPr>
        <w:t>车辆监测信号增强的重要发展方向。区别于经典滤波、域变换方法，该类模型可基于海量数据挖掘轨迹空间连续性与噪声分布规律，完成端到端信号优化，解决了传统算法调参繁琐、复杂场景适应性弱的痛点，在</w:t>
      </w:r>
      <w:r>
        <w:rPr>
          <w:rFonts w:hint="eastAsia"/>
        </w:rPr>
        <w:t>DAS</w:t>
      </w:r>
      <w:r>
        <w:rPr>
          <w:rFonts w:hint="eastAsia"/>
        </w:rPr>
        <w:t>交通信号增强研究中得到广泛应用。</w:t>
      </w:r>
    </w:p>
    <w:p w14:paraId="022716CD" w14:textId="77777777" w:rsidR="00455074" w:rsidRDefault="00A45B6B">
      <w:pPr>
        <w:ind w:firstLine="420"/>
      </w:pPr>
      <w:r>
        <w:rPr>
          <w:rFonts w:hint="eastAsia"/>
        </w:rPr>
        <w:t>根据实现方式不同，现有研究主要包括无</w:t>
      </w:r>
      <w:r>
        <w:rPr>
          <w:rFonts w:hint="eastAsia"/>
        </w:rPr>
        <w:t>(</w:t>
      </w:r>
      <w:r>
        <w:rPr>
          <w:rFonts w:hint="eastAsia"/>
        </w:rPr>
        <w:t>自</w:t>
      </w:r>
      <w:r>
        <w:t>)</w:t>
      </w:r>
      <w:r>
        <w:rPr>
          <w:rFonts w:hint="eastAsia"/>
        </w:rPr>
        <w:t>监督和有监督等技术路线</w:t>
      </w:r>
      <w:bookmarkStart w:id="28" w:name="OLE_LINK41"/>
      <w:r>
        <w:fldChar w:fldCharType="begin"/>
      </w:r>
      <w:r>
        <w:instrText xml:space="preserve"> </w:instrText>
      </w:r>
      <w:r>
        <w:rPr>
          <w:rFonts w:hint="eastAsia"/>
        </w:rPr>
        <w:instrText>REF _Ref233842465 \r \h</w:instrText>
      </w:r>
      <w:r>
        <w:instrText xml:space="preserve">  \* MERGEFORMAT </w:instrText>
      </w:r>
      <w:r>
        <w:fldChar w:fldCharType="separate"/>
      </w:r>
      <w:r>
        <w:t>[17]</w:t>
      </w:r>
      <w:r>
        <w:fldChar w:fldCharType="end"/>
      </w:r>
      <w:bookmarkEnd w:id="28"/>
      <w:r>
        <w:fldChar w:fldCharType="begin"/>
      </w:r>
      <w:r>
        <w:instrText xml:space="preserve"> REF _Ref233843644 \r \h  \* MERGEFORMAT </w:instrText>
      </w:r>
      <w:r>
        <w:fldChar w:fldCharType="separate"/>
      </w:r>
      <w:r>
        <w:t>[39]</w:t>
      </w:r>
      <w:r>
        <w:fldChar w:fldCharType="end"/>
      </w:r>
      <w:r>
        <w:fldChar w:fldCharType="begin"/>
      </w:r>
      <w:r>
        <w:instrText xml:space="preserve"> REF _Ref233843788 \r \h  \* MERGEFORMAT </w:instrText>
      </w:r>
      <w:r>
        <w:fldChar w:fldCharType="separate"/>
      </w:r>
      <w:r>
        <w:t>[40]</w:t>
      </w:r>
      <w:r>
        <w:fldChar w:fldCharType="end"/>
      </w:r>
      <w:r>
        <w:rPr>
          <w:rFonts w:hint="eastAsia"/>
        </w:rPr>
        <w:t>。</w:t>
      </w:r>
      <w:r>
        <w:rPr>
          <w:rFonts w:hint="eastAsia"/>
        </w:rPr>
        <w:t>Van den Ende</w:t>
      </w:r>
      <w:r>
        <w:rPr>
          <w:rFonts w:hint="eastAsia"/>
        </w:rPr>
        <w:t>等人</w:t>
      </w:r>
      <w:r>
        <w:rPr>
          <w:highlight w:val="yellow"/>
        </w:rPr>
        <w:fldChar w:fldCharType="begin"/>
      </w:r>
      <w:r>
        <w:instrText xml:space="preserve"> </w:instrText>
      </w:r>
      <w:r>
        <w:rPr>
          <w:rFonts w:hint="eastAsia"/>
        </w:rPr>
        <w:instrText>REF _Ref233842465 \r \h</w:instrText>
      </w:r>
      <w:r>
        <w:instrText xml:space="preserve"> </w:instrText>
      </w:r>
      <w:r>
        <w:rPr>
          <w:highlight w:val="yellow"/>
        </w:rPr>
      </w:r>
      <w:r>
        <w:rPr>
          <w:highlight w:val="yellow"/>
        </w:rPr>
        <w:fldChar w:fldCharType="separate"/>
      </w:r>
      <w:r>
        <w:t>[17]</w:t>
      </w:r>
      <w:r>
        <w:rPr>
          <w:highlight w:val="yellow"/>
        </w:rPr>
        <w:fldChar w:fldCharType="end"/>
      </w:r>
      <w:r>
        <w:rPr>
          <w:rFonts w:hint="eastAsia"/>
        </w:rPr>
        <w:t>提出了一种基于自监督反卷积自编码器的车辆信号增强方法，通过构建</w:t>
      </w:r>
      <w:r>
        <w:rPr>
          <w:rFonts w:hint="eastAsia"/>
        </w:rPr>
        <w:t>"</w:t>
      </w:r>
      <w:r>
        <w:rPr>
          <w:rFonts w:hint="eastAsia"/>
        </w:rPr>
        <w:t>反卷积—卷积</w:t>
      </w:r>
      <w:r>
        <w:rPr>
          <w:rFonts w:hint="eastAsia"/>
        </w:rPr>
        <w:t>"</w:t>
      </w:r>
      <w:r>
        <w:rPr>
          <w:rFonts w:hint="eastAsia"/>
        </w:rPr>
        <w:t>一致性约束，无需人工构建理想反卷积标签即可完成网络训练。该方法利用实际道路采集的车辆准静态响应完成模型训练与验证，实现了车辆轨迹的高效增强。</w:t>
      </w:r>
    </w:p>
    <w:p w14:paraId="30A25977" w14:textId="77777777" w:rsidR="00455074" w:rsidRDefault="00A45B6B">
      <w:pPr>
        <w:ind w:firstLine="420"/>
      </w:pPr>
      <w:r>
        <w:rPr>
          <w:rFonts w:hint="eastAsia"/>
        </w:rPr>
        <w:t>然而，该方法主要利用时间域信息恢复车辆响应，对于车辆轨迹空间连续性的建模能力仍然有限。当交通密度进一步增加时，仅依赖时间域反卷积难以有效分离相邻车辆轨迹，因此该课题组进一步将反卷积由时间域扩展至空间域。</w:t>
      </w:r>
    </w:p>
    <w:p w14:paraId="5F4EFD67" w14:textId="77777777" w:rsidR="00455074" w:rsidRDefault="00A45B6B">
      <w:pPr>
        <w:ind w:firstLine="420"/>
      </w:pPr>
      <w:r>
        <w:rPr>
          <w:rFonts w:hint="eastAsia"/>
        </w:rPr>
        <w:t>Yuan</w:t>
      </w:r>
      <w:r>
        <w:t xml:space="preserve"> S</w:t>
      </w:r>
      <w:r>
        <w:rPr>
          <w:rFonts w:hint="eastAsia"/>
        </w:rPr>
        <w:t>等</w:t>
      </w:r>
      <w:r>
        <w:t>人</w:t>
      </w:r>
      <w:r>
        <w:rPr>
          <w:highlight w:val="yellow"/>
        </w:rPr>
        <w:fldChar w:fldCharType="begin"/>
      </w:r>
      <w:r>
        <w:instrText xml:space="preserve"> </w:instrText>
      </w:r>
      <w:r>
        <w:rPr>
          <w:rFonts w:hint="eastAsia"/>
        </w:rPr>
        <w:instrText>REF _Ref233843644 \r \h</w:instrText>
      </w:r>
      <w:r>
        <w:instrText xml:space="preserve"> </w:instrText>
      </w:r>
      <w:r>
        <w:rPr>
          <w:highlight w:val="yellow"/>
        </w:rPr>
      </w:r>
      <w:r>
        <w:rPr>
          <w:highlight w:val="yellow"/>
        </w:rPr>
        <w:fldChar w:fldCharType="separate"/>
      </w:r>
      <w:r>
        <w:t>[39]</w:t>
      </w:r>
      <w:r>
        <w:rPr>
          <w:highlight w:val="yellow"/>
        </w:rPr>
        <w:fldChar w:fldCharType="end"/>
      </w:r>
      <w:r>
        <w:rPr>
          <w:rFonts w:hint="eastAsia"/>
        </w:rPr>
        <w:t>研究表明，</w:t>
      </w:r>
      <w:bookmarkStart w:id="29" w:name="OLE_LINK101"/>
      <w:r>
        <w:rPr>
          <w:rFonts w:hint="eastAsia"/>
        </w:rPr>
        <w:t>空间反卷积</w:t>
      </w:r>
      <w:bookmarkEnd w:id="29"/>
      <w:r>
        <w:rPr>
          <w:rFonts w:hint="eastAsia"/>
        </w:rPr>
        <w:t>通过车辆轨迹在距离—时间域中的空间连续性，实现了不同车速条件下车辆轨迹的稳定增强。空间域</w:t>
      </w:r>
      <w:r>
        <w:t>U-Net</w:t>
      </w:r>
      <w:r>
        <w:rPr>
          <w:rFonts w:hint="eastAsia"/>
        </w:rPr>
        <w:t>能够持续输出较窄且连续的车辆轨迹，在车辆测速任务中取得了最低均方根误差，同时能够有效分离重交通条件下间距较小的车辆目标。文献</w:t>
      </w:r>
      <w:r>
        <w:rPr>
          <w:highlight w:val="yellow"/>
        </w:rPr>
        <w:fldChar w:fldCharType="begin"/>
      </w:r>
      <w:r>
        <w:instrText xml:space="preserve"> </w:instrText>
      </w:r>
      <w:r>
        <w:rPr>
          <w:rFonts w:hint="eastAsia"/>
        </w:rPr>
        <w:instrText>REF _Ref233843644 \r \h</w:instrText>
      </w:r>
      <w:r>
        <w:instrText xml:space="preserve"> </w:instrText>
      </w:r>
      <w:r>
        <w:rPr>
          <w:highlight w:val="yellow"/>
        </w:rPr>
      </w:r>
      <w:r>
        <w:rPr>
          <w:highlight w:val="yellow"/>
        </w:rPr>
        <w:fldChar w:fldCharType="separate"/>
      </w:r>
      <w:r>
        <w:t>[39]</w:t>
      </w:r>
      <w:r>
        <w:rPr>
          <w:highlight w:val="yellow"/>
        </w:rPr>
        <w:fldChar w:fldCharType="end"/>
      </w:r>
      <w:r>
        <w:rPr>
          <w:rFonts w:hint="eastAsia"/>
        </w:rPr>
        <w:t>研究表明，空间域</w:t>
      </w:r>
      <w:r>
        <w:t>U-Net</w:t>
      </w:r>
      <w:r>
        <w:rPr>
          <w:rFonts w:hint="eastAsia"/>
        </w:rPr>
        <w:t>能够保持车辆轨迹的连续性，并有效提高密集交通条件下车辆目标的分离能力，在车辆测速和参数反演方面具有更好的综合性能。</w:t>
      </w:r>
    </w:p>
    <w:p w14:paraId="39A57A6A" w14:textId="77777777" w:rsidR="00455074" w:rsidRDefault="00A45B6B">
      <w:pPr>
        <w:ind w:firstLine="420"/>
      </w:pPr>
      <w:r>
        <w:rPr>
          <w:rFonts w:hint="eastAsia"/>
        </w:rPr>
        <w:t>相较于时间域反卷积方法，空间域深度学习反卷积模型能够充分利用车辆轨迹的空间结构信息，在复杂交通环境下拥有更强的鲁棒性与泛化能力。</w:t>
      </w:r>
    </w:p>
    <w:p w14:paraId="2EEACCBD" w14:textId="77777777" w:rsidR="00455074" w:rsidRDefault="00A45B6B">
      <w:pPr>
        <w:ind w:firstLine="420"/>
      </w:pPr>
      <w:r>
        <w:rPr>
          <w:rFonts w:hint="eastAsia"/>
        </w:rPr>
        <w:t>然而，时间域反卷积与空间域反卷积</w:t>
      </w:r>
      <w:r>
        <w:rPr>
          <w:rFonts w:hint="eastAsia"/>
        </w:rPr>
        <w:t>2</w:t>
      </w:r>
      <w:r>
        <w:rPr>
          <w:rFonts w:hint="eastAsia"/>
        </w:rPr>
        <w:t>类方案均采用无监督学习范式，仅依靠车辆轨迹自身的时空连续性完成信号重建。由于不存在显式监督信号提供约束，该类方法对井盖冲击、道路接缝这类非平稳强背景干扰的滤除效果有限，复杂路况下轨迹恢复稳定性不足。</w:t>
      </w:r>
    </w:p>
    <w:p w14:paraId="00BD3985" w14:textId="77777777" w:rsidR="00455074" w:rsidRDefault="00A45B6B">
      <w:pPr>
        <w:ind w:firstLine="420"/>
      </w:pPr>
      <w:r>
        <w:rPr>
          <w:rFonts w:hint="eastAsia"/>
        </w:rPr>
        <w:t>针对无监督范式的固有缺陷，</w:t>
      </w:r>
      <w:r>
        <w:rPr>
          <w:kern w:val="2"/>
          <w:szCs w:val="21"/>
        </w:rPr>
        <w:t>Zhang Z</w:t>
      </w:r>
      <w:r>
        <w:rPr>
          <w:rFonts w:hint="eastAsia"/>
        </w:rPr>
        <w:t xml:space="preserve"> </w:t>
      </w:r>
      <w:r>
        <w:rPr>
          <w:rFonts w:hint="eastAsia"/>
        </w:rPr>
        <w:t>等人</w:t>
      </w:r>
      <w:r>
        <w:rPr>
          <w:highlight w:val="yellow"/>
        </w:rPr>
        <w:fldChar w:fldCharType="begin"/>
      </w:r>
      <w:r>
        <w:instrText xml:space="preserve"> </w:instrText>
      </w:r>
      <w:r>
        <w:rPr>
          <w:rFonts w:hint="eastAsia"/>
        </w:rPr>
        <w:instrText>REF _Ref233843788 \r \h</w:instrText>
      </w:r>
      <w:r>
        <w:instrText xml:space="preserve"> </w:instrText>
      </w:r>
      <w:r>
        <w:rPr>
          <w:highlight w:val="yellow"/>
        </w:rPr>
      </w:r>
      <w:r>
        <w:rPr>
          <w:highlight w:val="yellow"/>
        </w:rPr>
        <w:fldChar w:fldCharType="separate"/>
      </w:r>
      <w:r>
        <w:t>[40]</w:t>
      </w:r>
      <w:r>
        <w:rPr>
          <w:highlight w:val="yellow"/>
        </w:rPr>
        <w:fldChar w:fldCharType="end"/>
      </w:r>
      <w:r>
        <w:t>提出了</w:t>
      </w:r>
      <w:r>
        <w:rPr>
          <w:rFonts w:hint="eastAsia"/>
        </w:rPr>
        <w:t>CarDenoiseNet</w:t>
      </w:r>
      <w:r>
        <w:rPr>
          <w:rFonts w:hint="eastAsia"/>
        </w:rPr>
        <w:t>方法</w:t>
      </w:r>
      <w:r>
        <w:t>，即</w:t>
      </w:r>
      <w:r>
        <w:rPr>
          <w:rFonts w:hint="eastAsia"/>
        </w:rPr>
        <w:t>采用成对监督学习方案，以多级物理滤波得到的洁净</w:t>
      </w:r>
      <w:r>
        <w:rPr>
          <w:rFonts w:hint="eastAsia"/>
        </w:rPr>
        <w:t>DAS</w:t>
      </w:r>
      <w:r>
        <w:rPr>
          <w:rFonts w:hint="eastAsia"/>
        </w:rPr>
        <w:t>数据作为真值标签，构建一一对应的“含噪原始数据</w:t>
      </w:r>
      <w:r>
        <w:rPr>
          <w:rFonts w:hint="eastAsia"/>
        </w:rPr>
        <w:t>-</w:t>
      </w:r>
      <w:r>
        <w:rPr>
          <w:rFonts w:hint="eastAsia"/>
        </w:rPr>
        <w:t>物理去噪标签”训练样本对，结合对抗损失与对比损失联合优化模型。该方法依托物理去噪结果约束基础信号分布，同时借助对比学习挖掘车辆信号固有特征，可有效规避标签内残留干扰与信号畸变问题，最终输出去噪结果的信噪比与车辆特征保真度均优于物理滤波得到的基准标签</w:t>
      </w:r>
      <w:r>
        <w:t>。</w:t>
      </w:r>
    </w:p>
    <w:p w14:paraId="76544209" w14:textId="77777777" w:rsidR="00455074" w:rsidRDefault="00A45B6B">
      <w:pPr>
        <w:ind w:firstLine="420"/>
      </w:pPr>
      <w:r>
        <w:rPr>
          <w:rFonts w:hint="eastAsia"/>
        </w:rPr>
        <w:t>文献</w:t>
      </w:r>
      <w:r>
        <w:rPr>
          <w:highlight w:val="yellow"/>
        </w:rPr>
        <w:fldChar w:fldCharType="begin"/>
      </w:r>
      <w:r>
        <w:instrText xml:space="preserve"> </w:instrText>
      </w:r>
      <w:r>
        <w:rPr>
          <w:rFonts w:hint="eastAsia"/>
        </w:rPr>
        <w:instrText>REF _Ref233843788 \r \h</w:instrText>
      </w:r>
      <w:r>
        <w:instrText xml:space="preserve"> </w:instrText>
      </w:r>
      <w:r>
        <w:rPr>
          <w:highlight w:val="yellow"/>
        </w:rPr>
      </w:r>
      <w:r>
        <w:rPr>
          <w:highlight w:val="yellow"/>
        </w:rPr>
        <w:fldChar w:fldCharType="separate"/>
      </w:r>
      <w:r>
        <w:t>[40]</w:t>
      </w:r>
      <w:r>
        <w:rPr>
          <w:highlight w:val="yellow"/>
        </w:rPr>
        <w:fldChar w:fldCharType="end"/>
      </w:r>
      <w:r>
        <w:rPr>
          <w:rFonts w:hint="eastAsia"/>
        </w:rPr>
        <w:t>研究表明</w:t>
      </w:r>
      <w:r>
        <w:t>，</w:t>
      </w:r>
      <w:r>
        <w:rPr>
          <w:rFonts w:hint="eastAsia"/>
        </w:rPr>
        <w:t>与传统去噪方法的效果对比，</w:t>
      </w:r>
      <w:r>
        <w:rPr>
          <w:rFonts w:hint="eastAsia"/>
        </w:rPr>
        <w:t>CarDenoiseNet</w:t>
      </w:r>
      <w:r>
        <w:rPr>
          <w:rFonts w:hint="eastAsia"/>
        </w:rPr>
        <w:t>方法能够在抑制井盖冲击等局部强干扰的同时较好地保留车辆轨迹的连续性和完整性，相比</w:t>
      </w:r>
      <w:r>
        <w:rPr>
          <w:rFonts w:hint="eastAsia"/>
        </w:rPr>
        <w:t>DAE</w:t>
      </w:r>
      <w:r>
        <w:rPr>
          <w:rFonts w:hint="eastAsia"/>
        </w:rPr>
        <w:t>、传统物理去噪方法及</w:t>
      </w:r>
      <w:r>
        <w:rPr>
          <w:rFonts w:hint="eastAsia"/>
        </w:rPr>
        <w:t>CUT</w:t>
      </w:r>
      <w:r>
        <w:rPr>
          <w:rFonts w:hint="eastAsia"/>
        </w:rPr>
        <w:t>方法具有更好的噪声抑制能力和轨迹保持效果。</w:t>
      </w:r>
    </w:p>
    <w:p w14:paraId="19763F3F" w14:textId="77777777" w:rsidR="00455074" w:rsidRDefault="00A45B6B">
      <w:pPr>
        <w:pStyle w:val="4"/>
        <w:rPr>
          <w:rFonts w:ascii="黑体" w:hAnsi="黑体" w:cs="黑体"/>
          <w:szCs w:val="32"/>
        </w:rPr>
      </w:pPr>
      <w:r>
        <w:rPr>
          <w:rFonts w:ascii="黑体" w:hAnsi="黑体" w:cs="黑体" w:hint="eastAsia"/>
          <w:szCs w:val="32"/>
        </w:rPr>
        <w:t>2.2车辆轨迹检测与</w:t>
      </w:r>
      <w:r>
        <w:t>交通</w:t>
      </w:r>
      <w:r>
        <w:rPr>
          <w:rFonts w:hint="eastAsia"/>
        </w:rPr>
        <w:t>状态反演</w:t>
      </w:r>
    </w:p>
    <w:p w14:paraId="0993EB46" w14:textId="77777777" w:rsidR="00455074" w:rsidRDefault="00A45B6B">
      <w:pPr>
        <w:ind w:firstLine="420"/>
      </w:pPr>
      <w:r>
        <w:t>时空瀑布图中的连续斜线</w:t>
      </w:r>
      <w:r>
        <w:rPr>
          <w:rFonts w:hint="eastAsia"/>
        </w:rPr>
        <w:t>轨迹</w:t>
      </w:r>
      <w:r>
        <w:t>描述车辆沿光纤方向的运动过程，斜率对应速度，斜线起止</w:t>
      </w:r>
      <w:r>
        <w:rPr>
          <w:rFonts w:hint="eastAsia"/>
        </w:rPr>
        <w:t>坐标</w:t>
      </w:r>
      <w:r>
        <w:t>对应车辆进入和离开监测区间的时间</w:t>
      </w:r>
      <w:r>
        <w:rPr>
          <w:rFonts w:hint="eastAsia"/>
        </w:rPr>
        <w:t>和位置</w:t>
      </w:r>
      <w:r>
        <w:t>。</w:t>
      </w:r>
      <w:r>
        <w:rPr>
          <w:rFonts w:hint="eastAsia"/>
        </w:rPr>
        <w:t>即通过解析车辆轨迹提取车辆位置、速度等运动信息</w:t>
      </w:r>
      <w:r>
        <w:fldChar w:fldCharType="begin"/>
      </w:r>
      <w:r>
        <w:instrText xml:space="preserve"> REF _Ref233843846 \r \h </w:instrText>
      </w:r>
      <w:r>
        <w:fldChar w:fldCharType="separate"/>
      </w:r>
      <w:r>
        <w:t>[41]</w:t>
      </w:r>
      <w:r>
        <w:fldChar w:fldCharType="end"/>
      </w:r>
      <w:r>
        <w:rPr>
          <w:rFonts w:hint="eastAsia"/>
        </w:rPr>
        <w:t>[</w:t>
      </w:r>
      <w:r>
        <w:fldChar w:fldCharType="begin"/>
      </w:r>
      <w:r>
        <w:instrText xml:space="preserve"> REF _Ref233843847 \r \h </w:instrText>
      </w:r>
      <w:r>
        <w:fldChar w:fldCharType="separate"/>
      </w:r>
      <w:r>
        <w:t>[42]</w:t>
      </w:r>
      <w:r>
        <w:fldChar w:fldCharType="end"/>
      </w:r>
      <w:r>
        <w:rPr>
          <w:rFonts w:hint="eastAsia"/>
        </w:rPr>
        <w:t>，统计得到路段平均车速、车流量与车型分类结果等，再执行交通事件检测，完成道路运行状态反演</w:t>
      </w:r>
      <w:r>
        <w:rPr>
          <w:highlight w:val="yellow"/>
        </w:rPr>
        <w:fldChar w:fldCharType="begin"/>
      </w:r>
      <w:r>
        <w:instrText xml:space="preserve"> REF _Ref233844105 \r \h </w:instrText>
      </w:r>
      <w:r>
        <w:rPr>
          <w:highlight w:val="yellow"/>
        </w:rPr>
      </w:r>
      <w:r>
        <w:rPr>
          <w:highlight w:val="yellow"/>
        </w:rPr>
        <w:fldChar w:fldCharType="separate"/>
      </w:r>
      <w:r>
        <w:t>[43]</w:t>
      </w:r>
      <w:r>
        <w:rPr>
          <w:highlight w:val="yellow"/>
        </w:rPr>
        <w:fldChar w:fldCharType="end"/>
      </w:r>
      <w:r>
        <w:t>。</w:t>
      </w:r>
    </w:p>
    <w:p w14:paraId="71F9ED7A" w14:textId="77777777" w:rsidR="00455074" w:rsidRDefault="00A45B6B">
      <w:pPr>
        <w:ind w:firstLine="420"/>
      </w:pPr>
      <w:r>
        <w:rPr>
          <w:rFonts w:hint="eastAsia"/>
        </w:rPr>
        <w:t>经典的</w:t>
      </w:r>
      <w:r>
        <w:rPr>
          <w:rFonts w:ascii="黑体" w:hAnsi="黑体" w:cs="黑体" w:hint="eastAsia"/>
          <w:szCs w:val="32"/>
        </w:rPr>
        <w:t>车辆</w:t>
      </w:r>
      <w:r>
        <w:rPr>
          <w:rFonts w:hint="eastAsia"/>
        </w:rPr>
        <w:t>轨迹检测方法以阈值分割、峰值连线等信号处理手段为主，通过提取信号峰值特征并拟合连线，实现车辆行驶轨迹的识别重构。</w:t>
      </w:r>
      <w:r>
        <w:rPr>
          <w:rFonts w:ascii="Arial" w:hAnsi="Arial" w:cs="Arial" w:hint="eastAsia"/>
        </w:rPr>
        <w:t>但是</w:t>
      </w:r>
      <w:r>
        <w:rPr>
          <w:rFonts w:hint="eastAsia"/>
        </w:rPr>
        <w:t>，阈值分割、峰值连线法易受路面环境噪声、多车信号混叠干扰，提取的轨迹常出现断裂、无法区分独立车辆</w:t>
      </w:r>
      <w:r>
        <w:fldChar w:fldCharType="begin"/>
      </w:r>
      <w:r>
        <w:instrText xml:space="preserve"> </w:instrText>
      </w:r>
      <w:r>
        <w:rPr>
          <w:rFonts w:hint="eastAsia"/>
        </w:rPr>
        <w:instrText>REF _Ref234150948 \r \h</w:instrText>
      </w:r>
      <w:r>
        <w:instrText xml:space="preserve"> </w:instrText>
      </w:r>
      <w:r>
        <w:fldChar w:fldCharType="separate"/>
      </w:r>
      <w:r>
        <w:t>[44]</w:t>
      </w:r>
      <w:r>
        <w:fldChar w:fldCharType="end"/>
      </w:r>
      <w:r>
        <w:rPr>
          <w:rFonts w:hint="eastAsia"/>
        </w:rPr>
        <w:t>。霍夫变换依托参数空间投票机制，将时空域内所有有效振动特征点映射至霍夫参数域</w:t>
      </w:r>
      <w:r>
        <w:rPr>
          <w:rFonts w:hint="eastAsia"/>
        </w:rPr>
        <w:t>,</w:t>
      </w:r>
      <w:r>
        <w:t xml:space="preserve"> </w:t>
      </w:r>
      <w:r>
        <w:rPr>
          <w:rFonts w:hint="eastAsia"/>
        </w:rPr>
        <w:t>时空平面内同一条轨迹上的全部信号点，会在参数空间相交形成能量峰值，每个峰值唯一对应一条完整车辆行驶直线轨迹；峰值对应的角度参数可直接换算车速，由此同步完成轨迹拟合与速度反演，是目前轨迹检测的常用方法</w:t>
      </w:r>
      <w:r>
        <w:fldChar w:fldCharType="begin"/>
      </w:r>
      <w:r>
        <w:instrText xml:space="preserve"> </w:instrText>
      </w:r>
      <w:r>
        <w:rPr>
          <w:rFonts w:hint="eastAsia"/>
        </w:rPr>
        <w:instrText>REF _Ref234150994 \r \h</w:instrText>
      </w:r>
      <w:r>
        <w:instrText xml:space="preserve"> </w:instrText>
      </w:r>
      <w:r>
        <w:fldChar w:fldCharType="separate"/>
      </w:r>
      <w:r>
        <w:t>[45]</w:t>
      </w:r>
      <w:r>
        <w:fldChar w:fldCharType="end"/>
      </w:r>
      <w:r>
        <w:rPr>
          <w:rFonts w:hint="eastAsia"/>
        </w:rPr>
        <w:t>。然而，经典霍夫变换属于像素投票类算法，存在多车轨迹难以分离、弱目标易漏检、依赖人工调参等短板；</w:t>
      </w:r>
      <w:r>
        <w:t>Notch power</w:t>
      </w:r>
      <w:r>
        <w:rPr>
          <w:rFonts w:hint="eastAsia"/>
        </w:rPr>
        <w:t>检测器以极大似然统计建模为核心，通过迭代能量凹除、完整轨迹表征与自适应终止条件解决上述问题，是</w:t>
      </w:r>
      <w:r>
        <w:rPr>
          <w:rFonts w:hint="eastAsia"/>
        </w:rPr>
        <w:t>DAS</w:t>
      </w:r>
      <w:r>
        <w:rPr>
          <w:rFonts w:hint="eastAsia"/>
        </w:rPr>
        <w:t>交通轨迹提取极具竞争力的改进替代方案，为低信噪比、高密度车流道路监测提供全新信号处理思路</w:t>
      </w:r>
      <w:bookmarkStart w:id="30" w:name="OLE_LINK45"/>
      <w:r>
        <w:fldChar w:fldCharType="begin"/>
      </w:r>
      <w:r>
        <w:instrText xml:space="preserve"> </w:instrText>
      </w:r>
      <w:r>
        <w:rPr>
          <w:rFonts w:hint="eastAsia"/>
        </w:rPr>
        <w:instrText>REF _Ref234151038 \r \h</w:instrText>
      </w:r>
      <w:r>
        <w:instrText xml:space="preserve"> </w:instrText>
      </w:r>
      <w:r>
        <w:fldChar w:fldCharType="separate"/>
      </w:r>
      <w:r>
        <w:t>[46]</w:t>
      </w:r>
      <w:r>
        <w:fldChar w:fldCharType="end"/>
      </w:r>
      <w:bookmarkEnd w:id="30"/>
      <w:r>
        <w:t>。</w:t>
      </w:r>
    </w:p>
    <w:p w14:paraId="1C1857DC" w14:textId="77777777" w:rsidR="00455074" w:rsidRDefault="00A45B6B">
      <w:pPr>
        <w:ind w:firstLine="420"/>
      </w:pPr>
      <w:r>
        <w:rPr>
          <w:rFonts w:hint="eastAsia"/>
        </w:rPr>
        <w:lastRenderedPageBreak/>
        <w:t>除此之外，上述基于霍夫变换的方案检测逻辑建立在车辆匀速运动假设之上，车辆轨迹为标准斜直线。当车辆存在加速、减速、启停等变速行为时，其在时空瀑布图中呈现非线性弯曲轨迹，就容易出现轨迹断裂、速度估算失真、目标漏检等问题。为突破直线拟合局限、提升复杂路况轨迹提取完整度，研究人员开发了基于深度学习处理方法，目前该领域主要形成两大研究方向：基于目标检测框的检测方案与像素级分割方案。</w:t>
      </w:r>
    </w:p>
    <w:p w14:paraId="6CEF542F" w14:textId="77777777" w:rsidR="00455074" w:rsidRDefault="00A45B6B">
      <w:pPr>
        <w:ind w:firstLine="420"/>
      </w:pPr>
      <w:r>
        <w:t>基于</w:t>
      </w:r>
      <w:r>
        <w:t>YOLO</w:t>
      </w:r>
      <w:r>
        <w:t>系列的包围框目标检测方案，通过水平边界框定位车辆完整时空信号，从底层摆脱直线先验束缚</w:t>
      </w:r>
      <w:r>
        <w:fldChar w:fldCharType="begin"/>
      </w:r>
      <w:r>
        <w:instrText xml:space="preserve"> REF _Ref234151155 \r \h </w:instrText>
      </w:r>
      <w:r>
        <w:fldChar w:fldCharType="separate"/>
      </w:r>
      <w:r>
        <w:t>[47]</w:t>
      </w:r>
      <w:r>
        <w:fldChar w:fldCharType="end"/>
      </w:r>
      <w:r>
        <w:t>。</w:t>
      </w:r>
      <w:r>
        <w:rPr>
          <w:rFonts w:hint="eastAsia"/>
        </w:rPr>
        <w:t>研究人员基于</w:t>
      </w:r>
      <w:r>
        <w:rPr>
          <w:rFonts w:hint="eastAsia"/>
        </w:rPr>
        <w:t>YOLOv5</w:t>
      </w:r>
      <w:r>
        <w:rPr>
          <w:rFonts w:hint="eastAsia"/>
        </w:rPr>
        <w:t>构建了</w:t>
      </w:r>
      <w:r>
        <w:rPr>
          <w:rFonts w:hint="eastAsia"/>
        </w:rPr>
        <w:t>DAS</w:t>
      </w:r>
      <w:r>
        <w:rPr>
          <w:rFonts w:hint="eastAsia"/>
        </w:rPr>
        <w:t>车辆检测框架，将预处理后的时空瀑布图作为输入，通过标注车辆完整轨迹包围框完成模型训练。该方法无需假设车辆匀速行驶，对转弯、变速形成非线性轨迹可完整框选识别；依靠目标分类分支依据轨迹宽度、振动幅值区分小型乘用车与大型货车，天然实现多车分离，不存在霍夫峰值混叠问题；但基础</w:t>
      </w:r>
      <w:bookmarkStart w:id="31" w:name="OLE_LINK8"/>
      <w:r>
        <w:rPr>
          <w:rFonts w:hint="eastAsia"/>
        </w:rPr>
        <w:t>YOLOv5</w:t>
      </w:r>
      <w:bookmarkEnd w:id="31"/>
      <w:r>
        <w:rPr>
          <w:rFonts w:hint="eastAsia"/>
        </w:rPr>
        <w:t>仅输出包围框坐标，且速度估算精度不及霍夫斜率反演。</w:t>
      </w:r>
    </w:p>
    <w:p w14:paraId="347D70EE" w14:textId="77777777" w:rsidR="00455074" w:rsidRDefault="00A45B6B">
      <w:pPr>
        <w:ind w:firstLine="420"/>
      </w:pPr>
      <w:r>
        <w:rPr>
          <w:rFonts w:hint="eastAsia"/>
        </w:rPr>
        <w:t>在此基础上，</w:t>
      </w:r>
      <w:r>
        <w:rPr>
          <w:rFonts w:hint="eastAsia"/>
        </w:rPr>
        <w:t>Wang</w:t>
      </w:r>
      <w:r>
        <w:rPr>
          <w:rFonts w:hint="eastAsia"/>
        </w:rPr>
        <w:t>等人</w:t>
      </w:r>
      <w:r>
        <w:fldChar w:fldCharType="begin"/>
      </w:r>
      <w:r>
        <w:instrText xml:space="preserve"> </w:instrText>
      </w:r>
      <w:r>
        <w:rPr>
          <w:rFonts w:hint="eastAsia"/>
        </w:rPr>
        <w:instrText>REF _Ref234151245 \r \h</w:instrText>
      </w:r>
      <w:r>
        <w:instrText xml:space="preserve">  \* MERGEFORMAT </w:instrText>
      </w:r>
      <w:r>
        <w:fldChar w:fldCharType="separate"/>
      </w:r>
      <w:r>
        <w:t>[48]</w:t>
      </w:r>
      <w:r>
        <w:fldChar w:fldCharType="end"/>
      </w:r>
      <w:r>
        <w:rPr>
          <w:rFonts w:hint="eastAsia"/>
        </w:rPr>
        <w:t>提出基于</w:t>
      </w:r>
      <w:r>
        <w:rPr>
          <w:rFonts w:hint="eastAsia"/>
        </w:rPr>
        <w:t>YOLOv8</w:t>
      </w:r>
      <w:r>
        <w:rPr>
          <w:rFonts w:hint="eastAsia"/>
        </w:rPr>
        <w:t>的</w:t>
      </w:r>
      <w:r>
        <w:rPr>
          <w:rFonts w:hint="eastAsia"/>
        </w:rPr>
        <w:t>DAS</w:t>
      </w:r>
      <w:r>
        <w:rPr>
          <w:rFonts w:hint="eastAsia"/>
        </w:rPr>
        <w:t>噪声鲁棒车辆检测方法，弥补了</w:t>
      </w:r>
      <w:r>
        <w:rPr>
          <w:rFonts w:hint="eastAsia"/>
        </w:rPr>
        <w:t>YOLOv5</w:t>
      </w:r>
      <w:r>
        <w:rPr>
          <w:rFonts w:hint="eastAsia"/>
        </w:rPr>
        <w:t>的不足。该模型优化特征提取模块，对垂直敷设光缆、低信噪比、偏振衰落严重的道路数据适应性大幅提升。</w:t>
      </w:r>
    </w:p>
    <w:p w14:paraId="55BC95CD" w14:textId="77777777" w:rsidR="00455074" w:rsidRDefault="00A45B6B">
      <w:pPr>
        <w:ind w:firstLine="420"/>
      </w:pPr>
      <w:bookmarkStart w:id="32" w:name="OLE_LINK26"/>
      <w:r>
        <w:rPr>
          <w:rFonts w:hint="eastAsia"/>
        </w:rPr>
        <w:t>但基于</w:t>
      </w:r>
      <w:r>
        <w:rPr>
          <w:rFonts w:hint="eastAsia"/>
        </w:rPr>
        <w:t>YOLOv8</w:t>
      </w:r>
      <w:r>
        <w:rPr>
          <w:rFonts w:hint="eastAsia"/>
        </w:rPr>
        <w:t>的</w:t>
      </w:r>
      <w:r>
        <w:rPr>
          <w:rFonts w:hint="eastAsia"/>
        </w:rPr>
        <w:t>DAS</w:t>
      </w:r>
      <w:r>
        <w:rPr>
          <w:rFonts w:hint="eastAsia"/>
        </w:rPr>
        <w:t>噪声鲁棒车辆检测方法的缺点在于仅输出目标外接矩形，光缆耦合不均造成轨迹断裂时易产生误检，密集车流下多目标检测框交并比过高，经非极大值抑制后容易将多台车辆判定为单一目标，产生漏检。</w:t>
      </w:r>
    </w:p>
    <w:bookmarkEnd w:id="32"/>
    <w:p w14:paraId="3ECBC166" w14:textId="77777777" w:rsidR="00455074" w:rsidRDefault="00A45B6B">
      <w:pPr>
        <w:ind w:firstLine="420"/>
      </w:pPr>
      <w:r>
        <w:t>Peng</w:t>
      </w:r>
      <w:r>
        <w:t>等</w:t>
      </w:r>
      <w:r>
        <w:rPr>
          <w:rFonts w:hint="eastAsia"/>
        </w:rPr>
        <w:t>人</w:t>
      </w:r>
      <w:r>
        <w:fldChar w:fldCharType="begin"/>
      </w:r>
      <w:r>
        <w:instrText xml:space="preserve"> </w:instrText>
      </w:r>
      <w:r>
        <w:rPr>
          <w:rFonts w:hint="eastAsia"/>
        </w:rPr>
        <w:instrText>REF _Ref234151339 \r \h</w:instrText>
      </w:r>
      <w:r>
        <w:instrText xml:space="preserve"> </w:instrText>
      </w:r>
      <w:r>
        <w:fldChar w:fldCharType="separate"/>
      </w:r>
      <w:r>
        <w:t>[49]</w:t>
      </w:r>
      <w:r>
        <w:fldChar w:fldCharType="end"/>
      </w:r>
      <w:r>
        <w:rPr>
          <w:rFonts w:hint="eastAsia"/>
        </w:rPr>
        <w:t>直接以</w:t>
      </w:r>
      <w:r>
        <w:rPr>
          <w:rFonts w:hint="eastAsia"/>
        </w:rPr>
        <w:t>U-Net</w:t>
      </w:r>
      <w:r>
        <w:rPr>
          <w:rFonts w:hint="eastAsia"/>
        </w:rPr>
        <w:t>编解码架构对</w:t>
      </w:r>
      <w:r>
        <w:rPr>
          <w:rFonts w:hint="eastAsia"/>
        </w:rPr>
        <w:t>DAS</w:t>
      </w:r>
      <w:r>
        <w:rPr>
          <w:rFonts w:hint="eastAsia"/>
        </w:rPr>
        <w:t>准静态应变时空图做二值语义分割。依托多层卷积与跳跃连接挖掘低信噪比下非机动车、远距离小车的微弱振动特征，无需人工设置检测阈值，能够完整提取车辆加减速产生的弯曲非线性轨迹。</w:t>
      </w:r>
      <w:r>
        <w:rPr>
          <w:rFonts w:hint="eastAsia"/>
        </w:rPr>
        <w:t>Zhang</w:t>
      </w:r>
      <w:r>
        <w:rPr>
          <w:rFonts w:hint="eastAsia"/>
        </w:rPr>
        <w:t>等人</w:t>
      </w:r>
      <w:r>
        <w:fldChar w:fldCharType="begin"/>
      </w:r>
      <w:r>
        <w:instrText xml:space="preserve"> REF _Ref234151392 \r \h </w:instrText>
      </w:r>
      <w:r>
        <w:fldChar w:fldCharType="separate"/>
      </w:r>
      <w:r>
        <w:t>[50]</w:t>
      </w:r>
      <w:r>
        <w:fldChar w:fldCharType="end"/>
      </w:r>
      <w:r>
        <w:rPr>
          <w:rFonts w:hint="eastAsia"/>
        </w:rPr>
        <w:t>提出分层霍夫融合</w:t>
      </w:r>
      <w:r>
        <w:rPr>
          <w:rFonts w:hint="eastAsia"/>
        </w:rPr>
        <w:t>DAS-HTT</w:t>
      </w:r>
      <w:r>
        <w:rPr>
          <w:rFonts w:hint="eastAsia"/>
        </w:rPr>
        <w:t>分割网络，</w:t>
      </w:r>
      <w:r>
        <w:t>该网络将可训练分层霍夫变换解码器嵌入</w:t>
      </w:r>
      <w:r>
        <w:t>U</w:t>
      </w:r>
      <w:r>
        <w:t>型分割架构，把车辆直线运动先验融入深度特征提取流程</w:t>
      </w:r>
      <w:r>
        <w:rPr>
          <w:rFonts w:hint="eastAsia"/>
        </w:rPr>
        <w:t>，</w:t>
      </w:r>
      <w:r>
        <w:t>可同时完成轨迹分割与车速估算，在高速匀速场景下精度优于纯</w:t>
      </w:r>
      <w:r>
        <w:t>U-Net</w:t>
      </w:r>
      <w:r>
        <w:t>与传统霍夫。</w:t>
      </w:r>
    </w:p>
    <w:p w14:paraId="29C73D6C" w14:textId="77777777" w:rsidR="00455074" w:rsidRDefault="00A45B6B">
      <w:pPr>
        <w:ind w:firstLine="420"/>
      </w:pPr>
      <w:r>
        <w:t>基于</w:t>
      </w:r>
      <w:r>
        <w:t>U-Net</w:t>
      </w:r>
      <w:r>
        <w:t>的</w:t>
      </w:r>
      <w:r>
        <w:rPr>
          <w:rFonts w:hint="eastAsia"/>
        </w:rPr>
        <w:t>语</w:t>
      </w:r>
      <w:r>
        <w:t>义分割仅能实现车辆信号与背景噪声二值区分，</w:t>
      </w:r>
      <w:r>
        <w:rPr>
          <w:rFonts w:hint="eastAsia"/>
        </w:rPr>
        <w:t>粗略统计整条路段总车流量、全局平均车速，无法实现分车道、分车型的精细化流量统计，早晚高峰车流密集、多车轨迹相互粘连时，该方法无法拆分独立车辆目标，缺少单条轨迹区分能力，难以完成单车测速、车型分类等精细化交通监测任务。</w:t>
      </w:r>
    </w:p>
    <w:p w14:paraId="1B35A819" w14:textId="77777777" w:rsidR="00455074" w:rsidRDefault="00A45B6B">
      <w:pPr>
        <w:ind w:firstLine="420"/>
      </w:pPr>
      <w:r>
        <w:t>针对上述缺陷，</w:t>
      </w:r>
      <w:r>
        <w:t>Zhang</w:t>
      </w:r>
      <w:r>
        <w:t>等人</w:t>
      </w:r>
      <w:r>
        <w:fldChar w:fldCharType="begin"/>
      </w:r>
      <w:r>
        <w:instrText xml:space="preserve"> REF _Ref234151392 \r \h </w:instrText>
      </w:r>
      <w:r>
        <w:fldChar w:fldCharType="separate"/>
      </w:r>
      <w:r>
        <w:t>[50]</w:t>
      </w:r>
      <w:r>
        <w:fldChar w:fldCharType="end"/>
      </w:r>
      <w:r>
        <w:t>采用</w:t>
      </w:r>
      <w:r>
        <w:t>YOLOv8-seg</w:t>
      </w:r>
      <w:r>
        <w:t>实例分割网络完成</w:t>
      </w:r>
      <w:r>
        <w:t>DAS</w:t>
      </w:r>
      <w:r>
        <w:t>车辆轨迹提取，相较于普通语义分割存在两大优势：一是能够对每一辆车生成独立像素掩码，天然实现多车实例分离，解决车流密集时轨迹混叠问题；二是分割同步附带分类分支，依靠轨迹幅值、带宽特征自动区分小型私家车、公交车等不同车型。该模型</w:t>
      </w:r>
      <w:r>
        <w:rPr>
          <w:rFonts w:hint="eastAsia"/>
        </w:rPr>
        <w:t>同样</w:t>
      </w:r>
      <w:r>
        <w:t>不依赖匀速直线先验，可完整提取转弯、加减速形成的非线性弯曲带状轨迹，依靠全域像素还原车辆振动轮廓</w:t>
      </w:r>
      <w:r>
        <w:rPr>
          <w:rFonts w:hint="eastAsia"/>
        </w:rPr>
        <w:t>，较好地实现了轨迹的检测。</w:t>
      </w:r>
    </w:p>
    <w:p w14:paraId="367DAB9A" w14:textId="77777777" w:rsidR="00455074" w:rsidRDefault="00A45B6B">
      <w:pPr>
        <w:ind w:firstLine="420"/>
      </w:pPr>
      <w:r>
        <w:rPr>
          <w:rFonts w:hint="eastAsia"/>
        </w:rPr>
        <w:t>依托</w:t>
      </w:r>
      <w:r>
        <w:rPr>
          <w:rFonts w:hint="eastAsia"/>
        </w:rPr>
        <w:t>YOLOv8-seg</w:t>
      </w:r>
      <w:r>
        <w:rPr>
          <w:rFonts w:hint="eastAsia"/>
        </w:rPr>
        <w:t>实例分割网络输出的单台车辆独立轨迹掩码、时空坐标与轨迹倾斜斜率，可进一步定量反演全路段精细化交通参数。利用轨迹首尾空间间隔与对应时间差计算单车瞬时速度，按固定时长滑动窗口统计掩码数量得到分车型车流量，实现各类交通指标分时段统计。依靠长时间连续反演的交通时序数据能够完整还原道路全天动态运行特征，为路网管控、拥堵研判提供量化数据支撑。经典工程实例可见美国</w:t>
      </w:r>
      <w:r>
        <w:rPr>
          <w:rFonts w:hint="eastAsia"/>
        </w:rPr>
        <w:t>I-29</w:t>
      </w:r>
      <w:r>
        <w:rPr>
          <w:rFonts w:hint="eastAsia"/>
        </w:rPr>
        <w:t>高速项目</w:t>
      </w:r>
      <w:r>
        <w:t>，</w:t>
      </w:r>
      <w:r>
        <w:t>OptaSense</w:t>
      </w:r>
      <w:r>
        <w:rPr>
          <w:highlight w:val="yellow"/>
        </w:rPr>
        <w:fldChar w:fldCharType="begin"/>
      </w:r>
      <w:r>
        <w:instrText xml:space="preserve"> REF _Ref233844091 \r \h </w:instrText>
      </w:r>
      <w:r>
        <w:rPr>
          <w:highlight w:val="yellow"/>
        </w:rPr>
      </w:r>
      <w:r>
        <w:rPr>
          <w:highlight w:val="yellow"/>
        </w:rPr>
        <w:fldChar w:fldCharType="separate"/>
      </w:r>
      <w:r>
        <w:t>[51]</w:t>
      </w:r>
      <w:r>
        <w:rPr>
          <w:highlight w:val="yellow"/>
        </w:rPr>
        <w:fldChar w:fldCharType="end"/>
      </w:r>
      <w:r>
        <w:rPr>
          <w:rFonts w:hint="eastAsia"/>
        </w:rPr>
        <w:t>使用</w:t>
      </w:r>
      <w:r>
        <w:rPr>
          <w:rFonts w:hint="eastAsia"/>
        </w:rPr>
        <w:t>D</w:t>
      </w:r>
      <w:r>
        <w:t>AS</w:t>
      </w:r>
      <w:r>
        <w:t>系统实现了道路速度、行程时间以及交通流量的实时监测，其中速度信息可按照约</w:t>
      </w:r>
      <w:r>
        <w:t>10 m</w:t>
      </w:r>
      <w:r>
        <w:t>空间尺度进行分析，并实现秒级更新</w:t>
      </w:r>
      <w:r>
        <w:rPr>
          <w:rFonts w:hint="eastAsia"/>
        </w:rPr>
        <w:t>。</w:t>
      </w:r>
    </w:p>
    <w:p w14:paraId="0D0971C8" w14:textId="77777777" w:rsidR="00455074" w:rsidRDefault="00455074">
      <w:pPr>
        <w:ind w:firstLine="420"/>
      </w:pPr>
    </w:p>
    <w:p w14:paraId="0E2CF602" w14:textId="77777777" w:rsidR="00455074" w:rsidRDefault="00A45B6B">
      <w:pPr>
        <w:pStyle w:val="3"/>
        <w:rPr>
          <w:rFonts w:ascii="黑体" w:hAnsi="黑体" w:cs="黑体"/>
          <w:sz w:val="24"/>
          <w:szCs w:val="24"/>
        </w:rPr>
      </w:pPr>
      <w:r>
        <w:rPr>
          <w:rFonts w:ascii="黑体" w:hAnsi="黑体" w:cs="黑体"/>
          <w:sz w:val="24"/>
          <w:szCs w:val="24"/>
        </w:rPr>
        <w:t xml:space="preserve">3  </w:t>
      </w:r>
      <w:r>
        <w:rPr>
          <w:rFonts w:ascii="黑体" w:hAnsi="黑体" w:cs="黑体" w:hint="eastAsia"/>
          <w:sz w:val="24"/>
          <w:szCs w:val="24"/>
        </w:rPr>
        <w:t>公路基础设施多场景健康与安全监测技术</w:t>
      </w:r>
    </w:p>
    <w:p w14:paraId="6DE67401" w14:textId="77777777" w:rsidR="00455074" w:rsidRDefault="00A45B6B">
      <w:pPr>
        <w:ind w:firstLine="420"/>
      </w:pPr>
      <w:r>
        <w:rPr>
          <w:rFonts w:hint="eastAsia"/>
        </w:rPr>
        <w:t>公路基础设施监测的复杂程度远高于车辆轨迹监测，路面病害、路基边坡灾变、外部破坏等监测目标对应的信号形态、演化周期差异显著。依托</w:t>
      </w:r>
      <w:r>
        <w:rPr>
          <w:rFonts w:hint="eastAsia"/>
        </w:rPr>
        <w:t>DAS</w:t>
      </w:r>
      <w:r>
        <w:rPr>
          <w:rFonts w:hint="eastAsia"/>
        </w:rPr>
        <w:t>开展公路多场景一体化健康与安全监测时，需结合各类监测对象的损伤演化、失效机理，筛选适配的敏感物理量并匹配专属信号解析方案。</w:t>
      </w:r>
    </w:p>
    <w:p w14:paraId="3CFD3CEE" w14:textId="77777777" w:rsidR="00455074" w:rsidRDefault="00A45B6B">
      <w:pPr>
        <w:pStyle w:val="4"/>
        <w:rPr>
          <w:rFonts w:ascii="黑体" w:hAnsi="黑体" w:cs="黑体"/>
          <w:szCs w:val="32"/>
        </w:rPr>
      </w:pPr>
      <w:r>
        <w:rPr>
          <w:rFonts w:ascii="黑体" w:hAnsi="黑体" w:cs="黑体"/>
          <w:szCs w:val="32"/>
        </w:rPr>
        <w:t>3.</w:t>
      </w:r>
      <w:r>
        <w:rPr>
          <w:rFonts w:ascii="黑体" w:hAnsi="黑体" w:cs="黑体" w:hint="eastAsia"/>
          <w:szCs w:val="32"/>
        </w:rPr>
        <w:t>1</w:t>
      </w:r>
      <w:bookmarkStart w:id="33" w:name="OLE_LINK27"/>
      <w:r>
        <w:rPr>
          <w:rFonts w:ascii="黑体" w:hAnsi="黑体" w:cs="黑体" w:hint="eastAsia"/>
          <w:szCs w:val="32"/>
        </w:rPr>
        <w:t>路面损伤</w:t>
      </w:r>
      <w:bookmarkEnd w:id="33"/>
      <w:r>
        <w:rPr>
          <w:rFonts w:ascii="黑体" w:hAnsi="黑体" w:cs="黑体" w:hint="eastAsia"/>
          <w:szCs w:val="32"/>
        </w:rPr>
        <w:t>监测</w:t>
      </w:r>
    </w:p>
    <w:p w14:paraId="5A1745F5" w14:textId="77777777" w:rsidR="00455074" w:rsidRDefault="00A45B6B">
      <w:pPr>
        <w:ind w:firstLine="420"/>
        <w:rPr>
          <w:b/>
          <w:sz w:val="15"/>
          <w:szCs w:val="15"/>
        </w:rPr>
      </w:pPr>
      <w:r>
        <w:rPr>
          <w:rFonts w:ascii="黑体" w:hAnsi="黑体" w:cs="黑体" w:hint="eastAsia"/>
          <w:szCs w:val="32"/>
        </w:rPr>
        <w:t>路</w:t>
      </w:r>
      <w:r>
        <w:rPr>
          <w:rFonts w:hint="eastAsia"/>
        </w:rPr>
        <w:t>面病害往往先在结构内部发展，材料疲劳、基层局部松和微裂纹扩展出现之后，路面病害才逐渐转化为肉眼可见的表面病害。对于已经显露的裂缝、网裂和坑槽，视觉模型通过提取图像中的纹理和形态特征，完成病害分类与位置框选，可用于大范围快速巡查。但其无</w:t>
      </w:r>
      <w:r>
        <w:rPr>
          <w:rFonts w:hint="eastAsia"/>
        </w:rPr>
        <w:lastRenderedPageBreak/>
        <w:t>法识别尚未显露于表面的基层松散和层间损伤；另外，光照、阴影、遮挡及低对比度还会引起误检或漏检。</w:t>
      </w:r>
    </w:p>
    <w:p w14:paraId="49E3BD7E" w14:textId="77777777" w:rsidR="00455074" w:rsidRDefault="00A45B6B">
      <w:pPr>
        <w:ind w:firstLine="420"/>
      </w:pPr>
      <w:r>
        <w:rPr>
          <w:rFonts w:hint="eastAsia"/>
        </w:rPr>
        <w:t>对于尚未显露于表面的基层松散和层间损伤，</w:t>
      </w:r>
      <w:r>
        <w:rPr>
          <w:rFonts w:hint="eastAsia"/>
        </w:rPr>
        <w:t>DAS</w:t>
      </w:r>
      <w:r>
        <w:rPr>
          <w:rFonts w:hint="eastAsia"/>
        </w:rPr>
        <w:t>可以利用沿线散射信号随轴向应变变化的特性，记录车辆荷载作用下不同结构层的应变。正常状态下，同一车辆荷载引起的各层应变峰值、谷值和峰间距具有相对稳定的对应关系，反映荷载在多层路面结构中的传递过程</w:t>
      </w:r>
      <w:r>
        <w:fldChar w:fldCharType="begin"/>
      </w:r>
      <w:r>
        <w:instrText xml:space="preserve"> </w:instrText>
      </w:r>
      <w:r>
        <w:rPr>
          <w:rFonts w:hint="eastAsia"/>
        </w:rPr>
        <w:instrText>REF _Ref234153300 \r \h</w:instrText>
      </w:r>
      <w:r>
        <w:instrText xml:space="preserve"> </w:instrText>
      </w:r>
      <w:r>
        <w:fldChar w:fldCharType="separate"/>
      </w:r>
      <w:r>
        <w:t>[52]</w:t>
      </w:r>
      <w:r>
        <w:fldChar w:fldCharType="end"/>
      </w:r>
      <w:r>
        <w:rPr>
          <w:rFonts w:hint="eastAsia"/>
        </w:rPr>
        <w:t>。</w:t>
      </w:r>
    </w:p>
    <w:p w14:paraId="6417BFA3" w14:textId="77777777" w:rsidR="00455074" w:rsidRDefault="00A45B6B">
      <w:pPr>
        <w:ind w:firstLine="420"/>
        <w:rPr>
          <w:szCs w:val="21"/>
        </w:rPr>
      </w:pPr>
      <w:r>
        <w:rPr>
          <w:rFonts w:hint="eastAsia"/>
        </w:rPr>
        <w:t>当裂缝扩展、材料松散、基层软化或层间结合退化时，局部刚度和传力路径随之改变，使同一车辆荷载在各层之间的传递关系发生变化，可能表现为应变峰值异常、峰谷对应关系改变、层间应变比偏移、波形不同步或残余应变增加。通过将这些特征与健康状态下的基线进行比较，可识别局部承载能力下降和层间传力异常，并跟踪异常区域的发展趋势。</w:t>
      </w:r>
    </w:p>
    <w:p w14:paraId="7E1FC733" w14:textId="77777777" w:rsidR="00455074" w:rsidRDefault="00A45B6B">
      <w:pPr>
        <w:pStyle w:val="4"/>
        <w:rPr>
          <w:rFonts w:ascii="黑体" w:hAnsi="黑体" w:cs="黑体"/>
          <w:szCs w:val="32"/>
        </w:rPr>
      </w:pPr>
      <w:r>
        <w:rPr>
          <w:rFonts w:ascii="黑体" w:hAnsi="黑体" w:cs="黑体"/>
          <w:szCs w:val="32"/>
        </w:rPr>
        <w:t>3</w:t>
      </w:r>
      <w:r>
        <w:rPr>
          <w:rFonts w:ascii="黑体" w:hAnsi="黑体" w:cs="黑体" w:hint="eastAsia"/>
          <w:szCs w:val="32"/>
        </w:rPr>
        <w:t>.2路基病害与地质灾害监测</w:t>
      </w:r>
    </w:p>
    <w:p w14:paraId="2429DA74" w14:textId="77777777" w:rsidR="00455074" w:rsidRDefault="00A45B6B">
      <w:pPr>
        <w:ind w:firstLine="420"/>
      </w:pPr>
      <w:r>
        <w:rPr>
          <w:rFonts w:hint="eastAsia"/>
        </w:rPr>
        <w:t>路基病害监测的物理基础在于含水量变化会引发土体收缩或膨胀，产生的应变可通过与土体耦合的光纤进行监测</w:t>
      </w:r>
      <w:r>
        <w:rPr>
          <w:szCs w:val="21"/>
        </w:rPr>
        <w:fldChar w:fldCharType="begin"/>
      </w:r>
      <w:r>
        <w:rPr>
          <w:szCs w:val="21"/>
        </w:rPr>
        <w:instrText xml:space="preserve"> </w:instrText>
      </w:r>
      <w:r>
        <w:rPr>
          <w:rFonts w:hint="eastAsia"/>
          <w:szCs w:val="21"/>
        </w:rPr>
        <w:instrText>REF _Ref233844729 \r \h</w:instrText>
      </w:r>
      <w:r>
        <w:rPr>
          <w:szCs w:val="21"/>
        </w:rPr>
        <w:instrText xml:space="preserve"> </w:instrText>
      </w:r>
      <w:r>
        <w:rPr>
          <w:szCs w:val="21"/>
        </w:rPr>
      </w:r>
      <w:r>
        <w:rPr>
          <w:szCs w:val="21"/>
        </w:rPr>
        <w:fldChar w:fldCharType="separate"/>
      </w:r>
      <w:r>
        <w:rPr>
          <w:szCs w:val="21"/>
        </w:rPr>
        <w:t>[53]</w:t>
      </w:r>
      <w:r>
        <w:rPr>
          <w:szCs w:val="21"/>
        </w:rPr>
        <w:fldChar w:fldCharType="end"/>
      </w:r>
      <w:r>
        <w:rPr>
          <w:rFonts w:hint="eastAsia"/>
        </w:rPr>
        <w:t>。</w:t>
      </w:r>
      <w:r>
        <w:t>Kang Jiahui</w:t>
      </w:r>
      <w:r>
        <w:rPr>
          <w:rFonts w:hint="eastAsia"/>
        </w:rPr>
        <w:t>团队利用埋地光纤</w:t>
      </w:r>
      <w:r>
        <w:t>DAS</w:t>
      </w:r>
      <w:r>
        <w:rPr>
          <w:rFonts w:hint="eastAsia"/>
        </w:rPr>
        <w:t>监测草质土坡的湿干循环响应，通过分析低频应变及环境噪声波速变化，连续识别含水变化引起的土体收缩、膨胀和刚度变化。文献</w:t>
      </w:r>
      <w:r>
        <w:fldChar w:fldCharType="begin"/>
      </w:r>
      <w:r>
        <w:instrText xml:space="preserve"> REF _Ref233844390 \r \h </w:instrText>
      </w:r>
      <w:r>
        <w:fldChar w:fldCharType="separate"/>
      </w:r>
      <w:r>
        <w:t>[54]</w:t>
      </w:r>
      <w:r>
        <w:fldChar w:fldCharType="end"/>
      </w:r>
      <w:r>
        <w:rPr>
          <w:rFonts w:hint="eastAsia"/>
        </w:rPr>
        <w:t>研究表明，</w:t>
      </w:r>
      <w:r>
        <w:t>DAS</w:t>
      </w:r>
      <w:r>
        <w:rPr>
          <w:rFonts w:hint="eastAsia"/>
        </w:rPr>
        <w:t>能够以约</w:t>
      </w:r>
      <w:r>
        <w:t>1 m</w:t>
      </w:r>
      <w:r>
        <w:rPr>
          <w:rFonts w:hint="eastAsia"/>
        </w:rPr>
        <w:t>通道间距记录纳应变尺度的昼夜变形及降雨响应，多个监测坡段均表现出长期应变变化和明显昼夜周期，在降雨事件后，应变曲线与有效应力以及土壤含水率共同变化，但不同通道的变形幅度和响应时间并不完全相同，这表明</w:t>
      </w:r>
      <w:r>
        <w:t>DAS</w:t>
      </w:r>
      <w:r>
        <w:rPr>
          <w:rFonts w:hint="eastAsia"/>
        </w:rPr>
        <w:t>还能反映土体内部的非均匀性。</w:t>
      </w:r>
    </w:p>
    <w:p w14:paraId="6F0772B4" w14:textId="77777777" w:rsidR="00455074" w:rsidRDefault="00A45B6B">
      <w:pPr>
        <w:ind w:firstLine="420"/>
      </w:pPr>
      <w:r>
        <w:rPr>
          <w:rFonts w:hint="eastAsia"/>
        </w:rPr>
        <w:t>路基病害具有明显的慢变特征。冻胀融沉、湿干循环、降雨入渗和地下空洞通常先改变土体刚度、含水状态和局部应变，再表现为路面沉降、开裂等。</w:t>
      </w:r>
      <w:r>
        <w:t>DAS</w:t>
      </w:r>
      <w:r>
        <w:rPr>
          <w:rFonts w:hint="eastAsia"/>
        </w:rPr>
        <w:t>可通过环境噪声、车辆诱发波场感知近地表介质变化。</w:t>
      </w:r>
    </w:p>
    <w:p w14:paraId="0BC86685" w14:textId="77777777" w:rsidR="00455074" w:rsidRDefault="00A45B6B">
      <w:pPr>
        <w:ind w:firstLine="420"/>
      </w:pPr>
      <w:r>
        <w:rPr>
          <w:rFonts w:hint="eastAsia"/>
        </w:rPr>
        <w:t>DAS</w:t>
      </w:r>
      <w:r>
        <w:rPr>
          <w:rFonts w:hint="eastAsia"/>
        </w:rPr>
        <w:t>的优势在地质灾害等极端条件下更容易体现。</w:t>
      </w:r>
      <w:r>
        <w:rPr>
          <w:rFonts w:hint="eastAsia"/>
        </w:rPr>
        <w:t>Zhu Chenyang</w:t>
      </w:r>
      <w:r>
        <w:rPr>
          <w:rFonts w:hint="eastAsia"/>
        </w:rPr>
        <w:t>等人</w:t>
      </w:r>
      <w:r>
        <w:fldChar w:fldCharType="begin"/>
      </w:r>
      <w:r>
        <w:instrText xml:space="preserve"> </w:instrText>
      </w:r>
      <w:r>
        <w:rPr>
          <w:rFonts w:hint="eastAsia"/>
        </w:rPr>
        <w:instrText>REF _Ref234706053 \r \h</w:instrText>
      </w:r>
      <w:r>
        <w:instrText xml:space="preserve"> </w:instrText>
      </w:r>
      <w:r>
        <w:fldChar w:fldCharType="separate"/>
      </w:r>
      <w:r>
        <w:t>[55]</w:t>
      </w:r>
      <w:r>
        <w:fldChar w:fldCharType="end"/>
      </w:r>
      <w:r>
        <w:rPr>
          <w:rFonts w:hint="eastAsia"/>
        </w:rPr>
        <w:t>在浙江余姚利用既有长距离光缆</w:t>
      </w:r>
      <w:r>
        <w:rPr>
          <w:rFonts w:hint="eastAsia"/>
        </w:rPr>
        <w:t>DAS</w:t>
      </w:r>
      <w:r>
        <w:rPr>
          <w:rFonts w:hint="eastAsia"/>
        </w:rPr>
        <w:t>监测台风“梅花”期间的滑坡地质灾害，通过提取低频信号的能量、持续时间及相邻通道空间连续性识别滑坡事件。</w:t>
      </w:r>
    </w:p>
    <w:p w14:paraId="2211AB00" w14:textId="77777777" w:rsidR="00455074" w:rsidRDefault="00A45B6B">
      <w:pPr>
        <w:pStyle w:val="4"/>
        <w:rPr>
          <w:rFonts w:ascii="黑体" w:hAnsi="黑体" w:cs="黑体"/>
          <w:szCs w:val="32"/>
        </w:rPr>
      </w:pPr>
      <w:bookmarkStart w:id="34" w:name="OLE_LINK17"/>
      <w:r>
        <w:rPr>
          <w:rFonts w:ascii="黑体" w:hAnsi="黑体" w:cs="黑体"/>
          <w:szCs w:val="32"/>
        </w:rPr>
        <w:t>3</w:t>
      </w:r>
      <w:r>
        <w:rPr>
          <w:rFonts w:ascii="黑体" w:hAnsi="黑体" w:cs="黑体" w:hint="eastAsia"/>
          <w:szCs w:val="32"/>
        </w:rPr>
        <w:t>.</w:t>
      </w:r>
      <w:bookmarkEnd w:id="34"/>
      <w:r>
        <w:rPr>
          <w:rFonts w:ascii="黑体" w:hAnsi="黑体" w:cs="黑体"/>
          <w:szCs w:val="32"/>
        </w:rPr>
        <w:t>3</w:t>
      </w:r>
      <w:r>
        <w:rPr>
          <w:rFonts w:ascii="黑体" w:hAnsi="黑体" w:cs="黑体" w:hint="eastAsia"/>
          <w:szCs w:val="32"/>
        </w:rPr>
        <w:t>道路外界破坏与安防监测</w:t>
      </w:r>
    </w:p>
    <w:p w14:paraId="1AD9D8B3" w14:textId="77777777" w:rsidR="00455074" w:rsidRDefault="00A45B6B">
      <w:pPr>
        <w:ind w:firstLine="420"/>
      </w:pPr>
      <w:r>
        <w:rPr>
          <w:rFonts w:hint="eastAsia"/>
        </w:rPr>
        <w:t>道路安防的监测目标不同于连续车辆监测，其重点聚焦各类突发风险异常振动事件，涵盖非法地面开挖、护栏撞击损毁、机动车冲撞路侧设施、人员翻越入侵等道路安全隐患。目前主流算法分为</w:t>
      </w:r>
      <w:bookmarkStart w:id="35" w:name="OLE_LINK22"/>
      <w:r>
        <w:rPr>
          <w:rFonts w:hint="eastAsia"/>
        </w:rPr>
        <w:t>人工设计特征识别</w:t>
      </w:r>
      <w:bookmarkEnd w:id="35"/>
      <w:r>
        <w:rPr>
          <w:rFonts w:hint="eastAsia"/>
        </w:rPr>
        <w:t>、时空图像端到端分类识别两类。</w:t>
      </w:r>
    </w:p>
    <w:p w14:paraId="523E0DED" w14:textId="77777777" w:rsidR="00455074" w:rsidRDefault="00A45B6B">
      <w:pPr>
        <w:ind w:firstLine="420"/>
      </w:pPr>
      <w:r>
        <w:rPr>
          <w:rFonts w:hint="eastAsia"/>
        </w:rPr>
        <w:t>经典的方法是依靠领域先验知识人工构造时域、频域、时频特征算子，先从光纤振动时序信号中手工提取特征，再送入传统机器学习或浅层</w:t>
      </w:r>
      <w:r>
        <w:t>CNN</w:t>
      </w:r>
      <w:r>
        <w:rPr>
          <w:rFonts w:hint="eastAsia"/>
        </w:rPr>
        <w:t>完成事件分类识别，整体架构轻量化、计算开销低，便于边缘设备实时部署。常用人工特征包含短时幅值</w:t>
      </w:r>
      <w:r>
        <w:fldChar w:fldCharType="begin"/>
      </w:r>
      <w:r>
        <w:instrText xml:space="preserve"> </w:instrText>
      </w:r>
      <w:r>
        <w:rPr>
          <w:rFonts w:hint="eastAsia"/>
        </w:rPr>
        <w:instrText>REF _Ref234153949 \r \h</w:instrText>
      </w:r>
      <w:r>
        <w:instrText xml:space="preserve"> </w:instrText>
      </w:r>
      <w:r>
        <w:fldChar w:fldCharType="separate"/>
      </w:r>
      <w:r>
        <w:t>[56]</w:t>
      </w:r>
      <w:r>
        <w:fldChar w:fldCharType="end"/>
      </w:r>
      <w:r>
        <w:rPr>
          <w:rFonts w:hint="eastAsia"/>
        </w:rPr>
        <w:t>、过零率等时域指标</w:t>
      </w:r>
      <w:r>
        <w:fldChar w:fldCharType="begin"/>
      </w:r>
      <w:r>
        <w:instrText xml:space="preserve"> </w:instrText>
      </w:r>
      <w:r>
        <w:rPr>
          <w:rFonts w:hint="eastAsia"/>
        </w:rPr>
        <w:instrText>REF _Ref234153959 \r \h</w:instrText>
      </w:r>
      <w:r>
        <w:instrText xml:space="preserve"> </w:instrText>
      </w:r>
      <w:r>
        <w:fldChar w:fldCharType="separate"/>
      </w:r>
      <w:r>
        <w:t>[57]</w:t>
      </w:r>
      <w:r>
        <w:fldChar w:fldCharType="end"/>
      </w:r>
      <w:r>
        <w:rPr>
          <w:rFonts w:hint="eastAsia"/>
        </w:rPr>
        <w:t>，</w:t>
      </w:r>
      <w:r>
        <w:t xml:space="preserve">FFT </w:t>
      </w:r>
      <w:r>
        <w:rPr>
          <w:rFonts w:hint="eastAsia"/>
        </w:rPr>
        <w:t>频谱</w:t>
      </w:r>
      <w:r>
        <w:fldChar w:fldCharType="begin"/>
      </w:r>
      <w:r>
        <w:instrText xml:space="preserve"> REF _Ref234153972 \r \h </w:instrText>
      </w:r>
      <w:r>
        <w:fldChar w:fldCharType="separate"/>
      </w:r>
      <w:r>
        <w:t>[58]</w:t>
      </w:r>
      <w:r>
        <w:fldChar w:fldCharType="end"/>
      </w:r>
      <w:r>
        <w:fldChar w:fldCharType="begin"/>
      </w:r>
      <w:r>
        <w:instrText xml:space="preserve"> REF _Ref234153987 \r \h </w:instrText>
      </w:r>
      <w:r>
        <w:fldChar w:fldCharType="separate"/>
      </w:r>
      <w:r>
        <w:t>[59]</w:t>
      </w:r>
      <w:r>
        <w:fldChar w:fldCharType="end"/>
      </w:r>
      <w:r>
        <w:rPr>
          <w:rFonts w:hint="eastAsia"/>
        </w:rPr>
        <w:t>、离散小波</w:t>
      </w:r>
      <w:r>
        <w:t>DWT</w:t>
      </w:r>
      <w:r>
        <w:fldChar w:fldCharType="begin"/>
      </w:r>
      <w:r>
        <w:instrText xml:space="preserve"> REF _Ref234153998 \r \h </w:instrText>
      </w:r>
      <w:r>
        <w:fldChar w:fldCharType="separate"/>
      </w:r>
      <w:r>
        <w:t>[60]</w:t>
      </w:r>
      <w:r>
        <w:fldChar w:fldCharType="end"/>
      </w:r>
      <w:r>
        <w:fldChar w:fldCharType="begin"/>
      </w:r>
      <w:r>
        <w:instrText xml:space="preserve"> REF _Ref234153999 \r \h </w:instrText>
      </w:r>
      <w:r>
        <w:fldChar w:fldCharType="separate"/>
      </w:r>
      <w:r>
        <w:t>[61]</w:t>
      </w:r>
      <w:r>
        <w:fldChar w:fldCharType="end"/>
      </w:r>
      <w:r>
        <w:rPr>
          <w:rFonts w:hint="eastAsia"/>
        </w:rPr>
        <w:t>、梅尔频率倒谱系数</w:t>
      </w:r>
      <w:r>
        <w:t xml:space="preserve"> MFCC</w:t>
      </w:r>
      <w:r>
        <w:rPr>
          <w:rFonts w:hint="eastAsia"/>
        </w:rPr>
        <w:t>等频域与时频特征</w:t>
      </w:r>
      <w:r>
        <w:fldChar w:fldCharType="begin"/>
      </w:r>
      <w:r>
        <w:instrText xml:space="preserve"> </w:instrText>
      </w:r>
      <w:r>
        <w:rPr>
          <w:rFonts w:hint="eastAsia"/>
        </w:rPr>
        <w:instrText>REF _Ref234154018 \r \h</w:instrText>
      </w:r>
      <w:r>
        <w:instrText xml:space="preserve"> </w:instrText>
      </w:r>
      <w:r>
        <w:fldChar w:fldCharType="separate"/>
      </w:r>
      <w:r>
        <w:t>[62]</w:t>
      </w:r>
      <w:r>
        <w:fldChar w:fldCharType="end"/>
      </w:r>
      <w:r>
        <w:rPr>
          <w:rFonts w:hint="eastAsia"/>
        </w:rPr>
        <w:t>，分类器可搭配</w:t>
      </w:r>
      <w:r>
        <w:t xml:space="preserve"> SVM</w:t>
      </w:r>
      <w:r>
        <w:fldChar w:fldCharType="begin"/>
      </w:r>
      <w:r>
        <w:instrText xml:space="preserve"> REF _Ref234154024 \r \h </w:instrText>
      </w:r>
      <w:r>
        <w:fldChar w:fldCharType="separate"/>
      </w:r>
      <w:r>
        <w:t>[63]</w:t>
      </w:r>
      <w:r>
        <w:fldChar w:fldCharType="end"/>
      </w:r>
      <w:r>
        <w:rPr>
          <w:rFonts w:hint="eastAsia"/>
        </w:rPr>
        <w:t>、随机森林</w:t>
      </w:r>
      <w:r>
        <w:fldChar w:fldCharType="begin"/>
      </w:r>
      <w:r>
        <w:instrText xml:space="preserve"> </w:instrText>
      </w:r>
      <w:r>
        <w:rPr>
          <w:rFonts w:hint="eastAsia"/>
        </w:rPr>
        <w:instrText>REF _Ref234154031 \r \h</w:instrText>
      </w:r>
      <w:r>
        <w:instrText xml:space="preserve"> </w:instrText>
      </w:r>
      <w:r>
        <w:fldChar w:fldCharType="separate"/>
      </w:r>
      <w:r>
        <w:t>[64]</w:t>
      </w:r>
      <w:r>
        <w:fldChar w:fldCharType="end"/>
      </w:r>
      <w:r>
        <w:rPr>
          <w:rFonts w:hint="eastAsia"/>
        </w:rPr>
        <w:t>、浅层</w:t>
      </w:r>
      <w:r>
        <w:t>CNN</w:t>
      </w:r>
      <w:r>
        <w:rPr>
          <w:rFonts w:hint="eastAsia"/>
        </w:rPr>
        <w:t>等</w:t>
      </w:r>
      <w:bookmarkStart w:id="36" w:name="OLE_LINK15"/>
      <w:r>
        <w:fldChar w:fldCharType="begin"/>
      </w:r>
      <w:r>
        <w:instrText xml:space="preserve"> </w:instrText>
      </w:r>
      <w:r>
        <w:rPr>
          <w:rFonts w:hint="eastAsia"/>
        </w:rPr>
        <w:instrText>REF _Ref233844432 \r \h</w:instrText>
      </w:r>
      <w:r>
        <w:instrText xml:space="preserve"> </w:instrText>
      </w:r>
      <w:r>
        <w:fldChar w:fldCharType="separate"/>
      </w:r>
      <w:r>
        <w:t>[65]</w:t>
      </w:r>
      <w:r>
        <w:fldChar w:fldCharType="end"/>
      </w:r>
      <w:bookmarkEnd w:id="36"/>
      <w:r>
        <w:rPr>
          <w:rFonts w:hint="eastAsia"/>
        </w:rPr>
        <w:t>模型完成事件判别。例如，</w:t>
      </w:r>
      <w:r>
        <w:t>Adrian Tomasov</w:t>
      </w:r>
      <w:r>
        <w:rPr>
          <w:rFonts w:hint="eastAsia"/>
        </w:rPr>
        <w:t>团队</w:t>
      </w:r>
      <w:r>
        <w:fldChar w:fldCharType="begin"/>
      </w:r>
      <w:r>
        <w:instrText xml:space="preserve"> </w:instrText>
      </w:r>
      <w:r>
        <w:rPr>
          <w:rFonts w:hint="eastAsia"/>
        </w:rPr>
        <w:instrText>REF _Ref233844432 \r \h</w:instrText>
      </w:r>
      <w:r>
        <w:instrText xml:space="preserve"> </w:instrText>
      </w:r>
      <w:r>
        <w:fldChar w:fldCharType="separate"/>
      </w:r>
      <w:r>
        <w:t>[65]</w:t>
      </w:r>
      <w:r>
        <w:fldChar w:fldCharType="end"/>
      </w:r>
      <w:r>
        <w:rPr>
          <w:rFonts w:hint="eastAsia"/>
        </w:rPr>
        <w:t>依托道路既有通信光纤搭建</w:t>
      </w:r>
      <w:r>
        <w:t>DAS</w:t>
      </w:r>
      <w:r>
        <w:rPr>
          <w:rFonts w:hint="eastAsia"/>
        </w:rPr>
        <w:t>采集系统，采集校园周界场景下多类振动样本，包含通行车辆常态振动、环境背景噪声、井盖启闭典型事件。随后其分别提取</w:t>
      </w:r>
      <w:r>
        <w:t>FFT</w:t>
      </w:r>
      <w:r>
        <w:rPr>
          <w:rFonts w:hint="eastAsia"/>
        </w:rPr>
        <w:t>、</w:t>
      </w:r>
      <w:r>
        <w:t>RDFT</w:t>
      </w:r>
      <w:r>
        <w:rPr>
          <w:rFonts w:hint="eastAsia"/>
        </w:rPr>
        <w:t>、</w:t>
      </w:r>
      <w:r>
        <w:t>DWT</w:t>
      </w:r>
      <w:r>
        <w:rPr>
          <w:rFonts w:hint="eastAsia"/>
        </w:rPr>
        <w:t>、</w:t>
      </w:r>
      <w:r>
        <w:t>MFCC</w:t>
      </w:r>
      <w:r>
        <w:rPr>
          <w:rFonts w:hint="eastAsia"/>
        </w:rPr>
        <w:t>多种频域手工特征作为</w:t>
      </w:r>
      <w:r>
        <w:t>CNN</w:t>
      </w:r>
      <w:r>
        <w:rPr>
          <w:rFonts w:hint="eastAsia"/>
        </w:rPr>
        <w:t>输入完成事件分类对比试验。研究结论指出，公路廊道安防不宜依靠单次振动信号直接判定风险，易造成大量误报警，应当构建异常粗定位</w:t>
      </w:r>
      <w:r>
        <w:t>-</w:t>
      </w:r>
      <w:r>
        <w:rPr>
          <w:rFonts w:hint="eastAsia"/>
        </w:rPr>
        <w:t>事件精细分类</w:t>
      </w:r>
      <w:r>
        <w:t>-</w:t>
      </w:r>
      <w:r>
        <w:rPr>
          <w:rFonts w:hint="eastAsia"/>
        </w:rPr>
        <w:t>人工</w:t>
      </w:r>
      <w:r>
        <w:t>/</w:t>
      </w:r>
      <w:r>
        <w:rPr>
          <w:rFonts w:hint="eastAsia"/>
        </w:rPr>
        <w:t>视频复核三级链式处置流程，逐级过滤无效告警，大幅降低系统虚警率。</w:t>
      </w:r>
    </w:p>
    <w:p w14:paraId="31A91930" w14:textId="77777777" w:rsidR="00455074" w:rsidRDefault="00A45B6B">
      <w:pPr>
        <w:ind w:firstLine="420"/>
      </w:pPr>
      <w:r>
        <w:rPr>
          <w:rFonts w:hint="eastAsia"/>
        </w:rPr>
        <w:t>随着复杂道路安防场景识别需求提升，端到端深度学习分类方案逐步成为重要研究方向，该路线直接将</w:t>
      </w:r>
      <w:r>
        <w:t>DAS</w:t>
      </w:r>
      <w:r>
        <w:rPr>
          <w:rFonts w:hint="eastAsia"/>
        </w:rPr>
        <w:t>采集的距离</w:t>
      </w:r>
      <w:r>
        <w:t>-</w:t>
      </w:r>
      <w:r>
        <w:rPr>
          <w:rFonts w:hint="eastAsia"/>
        </w:rPr>
        <w:t>时间二维时空瀑布图作为网络原始输入，无需人为设计时频特征算子，由网络自主学习振动在空间、时间维度的耦合关联特征，可同步完成异常目标定位与多类别事件分类。已有研究提出两级多任务学习框架用于地面振动事件径向定位与识别</w:t>
      </w:r>
      <w:r>
        <w:fldChar w:fldCharType="begin"/>
      </w:r>
      <w:r>
        <w:instrText xml:space="preserve"> </w:instrText>
      </w:r>
      <w:r>
        <w:rPr>
          <w:rFonts w:hint="eastAsia"/>
        </w:rPr>
        <w:instrText>REF _Ref234154141 \r \h</w:instrText>
      </w:r>
      <w:r>
        <w:instrText xml:space="preserve"> </w:instrText>
      </w:r>
      <w:r>
        <w:fldChar w:fldCharType="separate"/>
      </w:r>
      <w:r>
        <w:t>[66]</w:t>
      </w:r>
      <w:r>
        <w:fldChar w:fldCharType="end"/>
      </w:r>
      <w:r>
        <w:rPr>
          <w:rFonts w:hint="eastAsia"/>
        </w:rPr>
        <w:t>，也有研究将</w:t>
      </w:r>
      <w:r>
        <w:t>Faster RCNN</w:t>
      </w:r>
      <w:r>
        <w:rPr>
          <w:rFonts w:hint="eastAsia"/>
        </w:rPr>
        <w:t>通用视觉目标检测网络迁移至</w:t>
      </w:r>
      <w:r>
        <w:t>DAS</w:t>
      </w:r>
      <w:r>
        <w:rPr>
          <w:rFonts w:hint="eastAsia"/>
        </w:rPr>
        <w:t>振动数据，依靠目标检测算法实现事件类别</w:t>
      </w:r>
      <w:r>
        <w:fldChar w:fldCharType="begin"/>
      </w:r>
      <w:r>
        <w:instrText xml:space="preserve"> </w:instrText>
      </w:r>
      <w:r>
        <w:rPr>
          <w:rFonts w:hint="eastAsia"/>
        </w:rPr>
        <w:instrText>REF _Ref234154179 \r \h</w:instrText>
      </w:r>
      <w:r>
        <w:instrText xml:space="preserve"> </w:instrText>
      </w:r>
      <w:r>
        <w:fldChar w:fldCharType="separate"/>
      </w:r>
      <w:r>
        <w:t>[67]</w:t>
      </w:r>
      <w:r>
        <w:fldChar w:fldCharType="end"/>
      </w:r>
      <w:r>
        <w:rPr>
          <w:rFonts w:hint="eastAsia"/>
        </w:rPr>
        <w:t>。</w:t>
      </w:r>
    </w:p>
    <w:p w14:paraId="3F3802FB" w14:textId="77777777" w:rsidR="00455074" w:rsidRDefault="00A45B6B">
      <w:pPr>
        <w:ind w:firstLine="420"/>
      </w:pPr>
      <w:r>
        <w:rPr>
          <w:rFonts w:hint="eastAsia"/>
        </w:rPr>
        <w:t>整体来看，传统手工频域特征</w:t>
      </w:r>
      <w:r>
        <w:t>CNN</w:t>
      </w:r>
      <w:r>
        <w:rPr>
          <w:rFonts w:hint="eastAsia"/>
        </w:rPr>
        <w:t>结构简单、算力需求低，但微弱破坏事件检出能力不足端到端时空检测网络可同步完成异常定位、多类风险事件识别，兼顾微弱扰动检出精度与毫秒级实时推理速度，是当前道路光纤安防监测的重要研究方向。</w:t>
      </w:r>
    </w:p>
    <w:p w14:paraId="62D72808" w14:textId="77777777" w:rsidR="00455074" w:rsidRDefault="00455074">
      <w:pPr>
        <w:ind w:firstLineChars="0" w:firstLine="0"/>
        <w:rPr>
          <w:szCs w:val="21"/>
        </w:rPr>
      </w:pPr>
    </w:p>
    <w:p w14:paraId="7327945E" w14:textId="77777777" w:rsidR="00455074" w:rsidRDefault="00A45B6B">
      <w:pPr>
        <w:pStyle w:val="2"/>
      </w:pPr>
      <w:bookmarkStart w:id="37" w:name="heading_26"/>
      <w:r>
        <w:lastRenderedPageBreak/>
        <w:t>4.</w:t>
      </w:r>
      <w:bookmarkEnd w:id="37"/>
      <w:r>
        <w:rPr>
          <w:rFonts w:hint="eastAsia"/>
        </w:rPr>
        <w:t xml:space="preserve"> </w:t>
      </w:r>
      <w:r>
        <w:rPr>
          <w:rFonts w:hint="eastAsia"/>
        </w:rPr>
        <w:t>实验验证</w:t>
      </w:r>
    </w:p>
    <w:p w14:paraId="5073D5B4" w14:textId="77777777" w:rsidR="00455074" w:rsidRDefault="00A45B6B">
      <w:pPr>
        <w:ind w:firstLine="420"/>
      </w:pPr>
      <w:r>
        <w:rPr>
          <w:rFonts w:hint="eastAsia"/>
        </w:rPr>
        <w:t>图</w:t>
      </w:r>
      <w:r>
        <w:t>2</w:t>
      </w:r>
      <w:r>
        <w:rPr>
          <w:rFonts w:hint="eastAsia"/>
        </w:rPr>
        <w:t>所示为本文</w:t>
      </w:r>
      <w:r>
        <w:t>作者</w:t>
      </w:r>
      <w:r>
        <w:rPr>
          <w:rFonts w:hint="eastAsia"/>
        </w:rPr>
        <w:t>团队在欧洲斯洛文尼亚的一段道路上采用振动敏感光缆和普通通信光缆进行多种布设方式的验证实验。该</w:t>
      </w:r>
      <w:r>
        <w:rPr>
          <w:rFonts w:hint="eastAsia"/>
        </w:rPr>
        <w:t>2</w:t>
      </w:r>
      <w:r>
        <w:rPr>
          <w:rFonts w:hint="eastAsia"/>
        </w:rPr>
        <w:t>类光缆按</w:t>
      </w:r>
      <w:r>
        <w:rPr>
          <w:rFonts w:hint="eastAsia"/>
        </w:rPr>
        <w:t>3</w:t>
      </w:r>
      <w:r>
        <w:rPr>
          <w:rFonts w:hint="eastAsia"/>
        </w:rPr>
        <w:t>种方式布设：使用胶带固定和绑带固定方式布设在金属栅栏</w:t>
      </w:r>
      <w:r>
        <w:rPr>
          <w:rFonts w:hint="eastAsia"/>
        </w:rPr>
        <w:t>(1</w:t>
      </w:r>
      <w:r>
        <w:rPr>
          <w:rFonts w:hint="eastAsia"/>
        </w:rPr>
        <w:t>，</w:t>
      </w:r>
      <w:r>
        <w:rPr>
          <w:rFonts w:hint="eastAsia"/>
        </w:rPr>
        <w:t>2)</w:t>
      </w:r>
      <w:r>
        <w:rPr>
          <w:rFonts w:hint="eastAsia"/>
        </w:rPr>
        <w:t>，放置在土地路面上</w:t>
      </w:r>
      <w:r>
        <w:rPr>
          <w:rFonts w:hint="eastAsia"/>
        </w:rPr>
        <w:t>(3</w:t>
      </w:r>
      <w:r>
        <w:rPr>
          <w:rFonts w:hint="eastAsia"/>
        </w:rPr>
        <w:t>、</w:t>
      </w:r>
      <w:r>
        <w:rPr>
          <w:rFonts w:hint="eastAsia"/>
        </w:rPr>
        <w:t>4)</w:t>
      </w:r>
      <w:r>
        <w:rPr>
          <w:rFonts w:hint="eastAsia"/>
        </w:rPr>
        <w:t>、胶带固定和绑带固定方式布设在水泥栅栏上</w:t>
      </w:r>
      <w:r>
        <w:rPr>
          <w:rFonts w:hint="eastAsia"/>
        </w:rPr>
        <w:t>(5</w:t>
      </w:r>
      <w:r>
        <w:rPr>
          <w:rFonts w:hint="eastAsia"/>
        </w:rPr>
        <w:t>、</w:t>
      </w:r>
      <w:r>
        <w:rPr>
          <w:rFonts w:hint="eastAsia"/>
        </w:rPr>
        <w:t>6)</w:t>
      </w:r>
      <w:r>
        <w:rPr>
          <w:rFonts w:hint="eastAsia"/>
        </w:rPr>
        <w:t>。将采集的数据按照低频</w:t>
      </w:r>
      <w:r>
        <w:rPr>
          <w:rFonts w:hint="eastAsia"/>
        </w:rPr>
        <w:t>0.1</w:t>
      </w:r>
      <w:r>
        <w:t>~</w:t>
      </w:r>
      <w:r>
        <w:rPr>
          <w:rFonts w:hint="eastAsia"/>
        </w:rPr>
        <w:t>5</w:t>
      </w:r>
      <w:r>
        <w:t xml:space="preserve"> H</w:t>
      </w:r>
      <w:r>
        <w:rPr>
          <w:rFonts w:hint="eastAsia"/>
        </w:rPr>
        <w:t>z</w:t>
      </w:r>
      <w:r>
        <w:rPr>
          <w:rFonts w:hint="eastAsia"/>
        </w:rPr>
        <w:t>，高频</w:t>
      </w:r>
      <w:r>
        <w:rPr>
          <w:rFonts w:hint="eastAsia"/>
        </w:rPr>
        <w:t>5</w:t>
      </w:r>
      <w:r>
        <w:t>~</w:t>
      </w:r>
      <w:r>
        <w:rPr>
          <w:rFonts w:hint="eastAsia"/>
        </w:rPr>
        <w:t>50</w:t>
      </w:r>
      <w:r>
        <w:t xml:space="preserve"> H</w:t>
      </w:r>
      <w:r>
        <w:rPr>
          <w:rFonts w:hint="eastAsia"/>
        </w:rPr>
        <w:t>z</w:t>
      </w:r>
      <w:r>
        <w:rPr>
          <w:rFonts w:hint="eastAsia"/>
        </w:rPr>
        <w:t>进行带通，测试数据如图</w:t>
      </w:r>
      <w:r>
        <w:t>3</w:t>
      </w:r>
      <w:r>
        <w:rPr>
          <w:rFonts w:hint="eastAsia"/>
        </w:rPr>
        <w:t>所示。</w:t>
      </w:r>
    </w:p>
    <w:p w14:paraId="06DA4877" w14:textId="77777777" w:rsidR="00455074" w:rsidRDefault="00455074">
      <w:pPr>
        <w:ind w:firstLine="420"/>
      </w:pPr>
    </w:p>
    <w:p w14:paraId="7F1AAA2F" w14:textId="77777777" w:rsidR="00455074" w:rsidRDefault="00A45B6B">
      <w:pPr>
        <w:keepNext/>
        <w:ind w:firstLineChars="0" w:firstLine="0"/>
        <w:jc w:val="center"/>
      </w:pPr>
      <w:r>
        <w:object w:dxaOrig="8331" w:dyaOrig="3394" w14:anchorId="6EA376E4">
          <v:shape id="_x0000_i1026" type="#_x0000_t75" style="width:416.6pt;height:169.8pt" o:ole="">
            <v:imagedata r:id="rId10" o:title=""/>
          </v:shape>
          <o:OLEObject Type="Embed" ProgID="Visio.Drawing.15" ShapeID="_x0000_i1026" DrawAspect="Content" ObjectID="_1846046667" r:id="rId11"/>
        </w:object>
      </w:r>
    </w:p>
    <w:p w14:paraId="3CFFCCAD" w14:textId="77777777" w:rsidR="00455074" w:rsidRDefault="00A45B6B">
      <w:pPr>
        <w:pStyle w:val="a3"/>
        <w:ind w:firstLine="301"/>
        <w:jc w:val="center"/>
      </w:pPr>
      <w:r>
        <w:rPr>
          <w:rFonts w:hint="eastAsia"/>
        </w:rPr>
        <w:t>图</w:t>
      </w:r>
      <w:r>
        <w:t>2</w:t>
      </w:r>
      <w:r>
        <w:rPr>
          <w:rFonts w:hint="eastAsia"/>
        </w:rPr>
        <w:t>非直埋光缆布设示意图</w:t>
      </w:r>
    </w:p>
    <w:p w14:paraId="3C5BEF93" w14:textId="77777777" w:rsidR="00455074" w:rsidRDefault="00A45B6B">
      <w:pPr>
        <w:keepNext/>
        <w:ind w:firstLineChars="0" w:firstLine="0"/>
        <w:jc w:val="center"/>
      </w:pPr>
      <w:r>
        <w:rPr>
          <w:noProof/>
        </w:rPr>
        <w:drawing>
          <wp:inline distT="0" distB="0" distL="0" distR="0">
            <wp:extent cx="3538220" cy="1986280"/>
            <wp:effectExtent l="0" t="0" r="508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38697" cy="1986561"/>
                    </a:xfrm>
                    <a:prstGeom prst="rect">
                      <a:avLst/>
                    </a:prstGeom>
                  </pic:spPr>
                </pic:pic>
              </a:graphicData>
            </a:graphic>
          </wp:inline>
        </w:drawing>
      </w:r>
    </w:p>
    <w:p w14:paraId="2E02B55E" w14:textId="77777777" w:rsidR="00455074" w:rsidRDefault="00A45B6B">
      <w:pPr>
        <w:pStyle w:val="a3"/>
        <w:ind w:firstLine="301"/>
        <w:jc w:val="center"/>
      </w:pPr>
      <w:r>
        <w:rPr>
          <w:rFonts w:hint="eastAsia"/>
        </w:rPr>
        <w:t>图</w:t>
      </w:r>
      <w:r>
        <w:t xml:space="preserve">3 </w:t>
      </w:r>
      <w:r>
        <w:rPr>
          <w:rFonts w:hint="eastAsia"/>
        </w:rPr>
        <w:t>各布设方式对应瀑布图</w:t>
      </w:r>
    </w:p>
    <w:p w14:paraId="38F49E42" w14:textId="77777777" w:rsidR="00455074" w:rsidRDefault="00A45B6B">
      <w:pPr>
        <w:ind w:firstLine="420"/>
        <w:rPr>
          <w:szCs w:val="21"/>
        </w:rPr>
      </w:pPr>
      <w:r>
        <w:rPr>
          <w:rFonts w:hint="eastAsia"/>
          <w:szCs w:val="21"/>
        </w:rPr>
        <w:t>其中</w:t>
      </w:r>
      <w:r>
        <w:rPr>
          <w:rFonts w:hint="eastAsia"/>
          <w:szCs w:val="21"/>
        </w:rPr>
        <w:t>1</w:t>
      </w:r>
      <w:r>
        <w:rPr>
          <w:rFonts w:hint="eastAsia"/>
          <w:szCs w:val="21"/>
        </w:rPr>
        <w:t>、</w:t>
      </w:r>
      <w:r>
        <w:rPr>
          <w:rFonts w:hint="eastAsia"/>
          <w:szCs w:val="21"/>
        </w:rPr>
        <w:t>3</w:t>
      </w:r>
      <w:r>
        <w:rPr>
          <w:rFonts w:hint="eastAsia"/>
          <w:szCs w:val="21"/>
        </w:rPr>
        <w:t>、</w:t>
      </w:r>
      <w:r>
        <w:rPr>
          <w:rFonts w:hint="eastAsia"/>
          <w:szCs w:val="21"/>
        </w:rPr>
        <w:t>5</w:t>
      </w:r>
      <w:r>
        <w:rPr>
          <w:rFonts w:hint="eastAsia"/>
          <w:szCs w:val="21"/>
        </w:rPr>
        <w:t>为振动缆，</w:t>
      </w:r>
      <w:r>
        <w:rPr>
          <w:rFonts w:hint="eastAsia"/>
          <w:szCs w:val="21"/>
        </w:rPr>
        <w:t>2</w:t>
      </w:r>
      <w:r>
        <w:rPr>
          <w:rFonts w:hint="eastAsia"/>
          <w:szCs w:val="21"/>
        </w:rPr>
        <w:t>、</w:t>
      </w:r>
      <w:r>
        <w:rPr>
          <w:rFonts w:hint="eastAsia"/>
          <w:szCs w:val="21"/>
        </w:rPr>
        <w:t>4</w:t>
      </w:r>
      <w:r>
        <w:rPr>
          <w:rFonts w:hint="eastAsia"/>
          <w:szCs w:val="21"/>
        </w:rPr>
        <w:t>、</w:t>
      </w:r>
      <w:r>
        <w:rPr>
          <w:rFonts w:hint="eastAsia"/>
          <w:szCs w:val="21"/>
        </w:rPr>
        <w:t>6</w:t>
      </w:r>
      <w:r>
        <w:rPr>
          <w:rFonts w:hint="eastAsia"/>
          <w:szCs w:val="21"/>
        </w:rPr>
        <w:t>为普通通信光缆。结果表明，在非直埋布设状态下，高频</w:t>
      </w:r>
      <w:r>
        <w:rPr>
          <w:rFonts w:hint="eastAsia"/>
        </w:rPr>
        <w:t>5</w:t>
      </w:r>
      <w:r>
        <w:t>~</w:t>
      </w:r>
      <w:r>
        <w:rPr>
          <w:rFonts w:hint="eastAsia"/>
        </w:rPr>
        <w:t>50</w:t>
      </w:r>
      <w:r>
        <w:t xml:space="preserve"> H</w:t>
      </w:r>
      <w:r>
        <w:rPr>
          <w:rFonts w:hint="eastAsia"/>
        </w:rPr>
        <w:t>z</w:t>
      </w:r>
      <w:r>
        <w:rPr>
          <w:rFonts w:hint="eastAsia"/>
          <w:szCs w:val="21"/>
        </w:rPr>
        <w:t>呈现明显的轨迹更加清晰。说明在无法开挖或不适宜直埋的道路环境中，非直埋光缆仍可为交通设施状态感知提供有效数据来源。各类布设方案高频持续时间、低频持续时间、高频能量、低频能量、高频信噪比</w:t>
      </w:r>
      <w:r>
        <w:rPr>
          <w:rFonts w:hint="eastAsia"/>
          <w:szCs w:val="21"/>
        </w:rPr>
        <w:t>5</w:t>
      </w:r>
      <w:r>
        <w:rPr>
          <w:rFonts w:hint="eastAsia"/>
          <w:szCs w:val="21"/>
        </w:rPr>
        <w:t>项指标的差异如表</w:t>
      </w:r>
      <w:r>
        <w:rPr>
          <w:rFonts w:hint="eastAsia"/>
          <w:szCs w:val="21"/>
        </w:rPr>
        <w:t>1</w:t>
      </w:r>
      <w:r>
        <w:rPr>
          <w:rFonts w:hint="eastAsia"/>
          <w:szCs w:val="21"/>
        </w:rPr>
        <w:t>所示</w:t>
      </w:r>
    </w:p>
    <w:p w14:paraId="1B680BEB" w14:textId="77777777" w:rsidR="00455074" w:rsidRDefault="00A45B6B">
      <w:pPr>
        <w:pStyle w:val="a3"/>
        <w:keepNext/>
        <w:ind w:firstLine="301"/>
        <w:jc w:val="center"/>
        <w:rPr>
          <w:rFonts w:ascii="宋体" w:hAnsi="宋体"/>
        </w:rPr>
      </w:pPr>
      <w:r>
        <w:rPr>
          <w:rFonts w:ascii="宋体" w:hAnsi="宋体" w:hint="eastAsia"/>
        </w:rPr>
        <w:t xml:space="preserve">表 </w:t>
      </w:r>
      <w:r>
        <w:rPr>
          <w:rFonts w:ascii="宋体" w:hAnsi="宋体"/>
        </w:rPr>
        <w:fldChar w:fldCharType="begin"/>
      </w:r>
      <w:r>
        <w:rPr>
          <w:rFonts w:ascii="宋体" w:hAnsi="宋体"/>
        </w:rPr>
        <w:instrText xml:space="preserve"> </w:instrText>
      </w:r>
      <w:r>
        <w:rPr>
          <w:rFonts w:ascii="宋体" w:hAnsi="宋体" w:hint="eastAsia"/>
        </w:rPr>
        <w:instrText>SEQ 表 \* ARABIC</w:instrText>
      </w:r>
      <w:r>
        <w:rPr>
          <w:rFonts w:ascii="宋体" w:hAnsi="宋体"/>
        </w:rPr>
        <w:instrText xml:space="preserve"> </w:instrText>
      </w:r>
      <w:r>
        <w:rPr>
          <w:rFonts w:ascii="宋体" w:hAnsi="宋体"/>
        </w:rPr>
        <w:fldChar w:fldCharType="separate"/>
      </w:r>
      <w:r>
        <w:rPr>
          <w:rFonts w:ascii="宋体" w:hAnsi="宋体"/>
        </w:rPr>
        <w:t>1</w:t>
      </w:r>
      <w:r>
        <w:rPr>
          <w:rFonts w:ascii="宋体" w:hAnsi="宋体"/>
        </w:rPr>
        <w:fldChar w:fldCharType="end"/>
      </w:r>
      <w:r>
        <w:rPr>
          <w:rFonts w:ascii="宋体" w:hAnsi="宋体"/>
        </w:rPr>
        <w:t xml:space="preserve"> </w:t>
      </w:r>
      <w:r>
        <w:rPr>
          <w:rFonts w:ascii="宋体" w:hAnsi="宋体" w:hint="eastAsia"/>
        </w:rPr>
        <w:t>不同布设方式的性能指标对比</w:t>
      </w:r>
    </w:p>
    <w:tbl>
      <w:tblPr>
        <w:tblW w:w="7084"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left w:w="0" w:type="dxa"/>
          <w:right w:w="0" w:type="dxa"/>
        </w:tblCellMar>
        <w:tblLook w:val="04A0" w:firstRow="1" w:lastRow="0" w:firstColumn="1" w:lastColumn="0" w:noHBand="0" w:noVBand="1"/>
      </w:tblPr>
      <w:tblGrid>
        <w:gridCol w:w="764"/>
        <w:gridCol w:w="1387"/>
        <w:gridCol w:w="1297"/>
        <w:gridCol w:w="1387"/>
        <w:gridCol w:w="1276"/>
        <w:gridCol w:w="973"/>
      </w:tblGrid>
      <w:tr w:rsidR="00455074" w14:paraId="06E56E27" w14:textId="77777777">
        <w:trPr>
          <w:trHeight w:val="43"/>
          <w:jc w:val="center"/>
        </w:trPr>
        <w:tc>
          <w:tcPr>
            <w:tcW w:w="764" w:type="dxa"/>
            <w:tcBorders>
              <w:left w:val="nil"/>
              <w:bottom w:val="single" w:sz="8" w:space="0" w:color="000000" w:themeColor="text1"/>
            </w:tcBorders>
            <w:tcMar>
              <w:top w:w="0" w:type="dxa"/>
              <w:left w:w="0" w:type="dxa"/>
              <w:bottom w:w="0" w:type="dxa"/>
              <w:right w:w="0" w:type="dxa"/>
            </w:tcMar>
            <w:vAlign w:val="center"/>
          </w:tcPr>
          <w:p w14:paraId="019DE3DB" w14:textId="77777777" w:rsidR="00455074" w:rsidRDefault="00A45B6B">
            <w:pPr>
              <w:ind w:firstLineChars="0" w:firstLine="0"/>
              <w:jc w:val="center"/>
              <w:rPr>
                <w:sz w:val="18"/>
                <w:szCs w:val="18"/>
              </w:rPr>
            </w:pPr>
            <w:r>
              <w:rPr>
                <w:rFonts w:hint="eastAsia"/>
                <w:b/>
                <w:bCs/>
                <w:sz w:val="18"/>
                <w:szCs w:val="18"/>
              </w:rPr>
              <w:t>光缆序号</w:t>
            </w:r>
          </w:p>
        </w:tc>
        <w:tc>
          <w:tcPr>
            <w:tcW w:w="1387" w:type="dxa"/>
            <w:tcBorders>
              <w:bottom w:val="single" w:sz="8" w:space="0" w:color="000000" w:themeColor="text1"/>
              <w:right w:val="nil"/>
            </w:tcBorders>
            <w:tcMar>
              <w:top w:w="0" w:type="dxa"/>
              <w:left w:w="0" w:type="dxa"/>
              <w:bottom w:w="0" w:type="dxa"/>
              <w:right w:w="0" w:type="dxa"/>
            </w:tcMar>
            <w:vAlign w:val="center"/>
          </w:tcPr>
          <w:p w14:paraId="213B05DA" w14:textId="77777777" w:rsidR="00455074" w:rsidRDefault="00A45B6B">
            <w:pPr>
              <w:ind w:firstLineChars="0" w:firstLine="0"/>
              <w:jc w:val="center"/>
              <w:rPr>
                <w:sz w:val="18"/>
                <w:szCs w:val="18"/>
              </w:rPr>
            </w:pPr>
            <w:r>
              <w:rPr>
                <w:rFonts w:hint="eastAsia"/>
                <w:b/>
                <w:bCs/>
                <w:sz w:val="18"/>
                <w:szCs w:val="18"/>
              </w:rPr>
              <w:t>低频持续时间</w:t>
            </w:r>
            <w:r>
              <w:rPr>
                <w:rFonts w:hint="eastAsia"/>
                <w:b/>
                <w:bCs/>
                <w:sz w:val="18"/>
                <w:szCs w:val="18"/>
              </w:rPr>
              <w:t>/</w:t>
            </w:r>
            <w:r>
              <w:rPr>
                <w:b/>
                <w:bCs/>
                <w:sz w:val="18"/>
                <w:szCs w:val="18"/>
              </w:rPr>
              <w:t>s</w:t>
            </w:r>
          </w:p>
        </w:tc>
        <w:tc>
          <w:tcPr>
            <w:tcW w:w="1297" w:type="dxa"/>
            <w:tcBorders>
              <w:left w:val="nil"/>
              <w:bottom w:val="single" w:sz="8" w:space="0" w:color="000000" w:themeColor="text1"/>
            </w:tcBorders>
            <w:tcMar>
              <w:top w:w="0" w:type="dxa"/>
              <w:left w:w="0" w:type="dxa"/>
              <w:bottom w:w="0" w:type="dxa"/>
              <w:right w:w="0" w:type="dxa"/>
            </w:tcMar>
            <w:vAlign w:val="center"/>
          </w:tcPr>
          <w:p w14:paraId="705C4600" w14:textId="77777777" w:rsidR="00455074" w:rsidRDefault="00A45B6B">
            <w:pPr>
              <w:ind w:firstLineChars="0" w:firstLine="0"/>
              <w:jc w:val="center"/>
              <w:rPr>
                <w:sz w:val="18"/>
                <w:szCs w:val="18"/>
              </w:rPr>
            </w:pPr>
            <w:bookmarkStart w:id="38" w:name="OLE_LINK103"/>
            <w:r>
              <w:rPr>
                <w:rFonts w:hint="eastAsia"/>
                <w:b/>
                <w:bCs/>
                <w:sz w:val="18"/>
                <w:szCs w:val="18"/>
              </w:rPr>
              <w:t>低频能量</w:t>
            </w:r>
            <w:bookmarkEnd w:id="38"/>
            <w:r>
              <w:rPr>
                <w:rFonts w:hint="eastAsia"/>
                <w:b/>
                <w:bCs/>
                <w:sz w:val="18"/>
                <w:szCs w:val="18"/>
              </w:rPr>
              <w:t>/</w:t>
            </w:r>
            <w:r>
              <w:rPr>
                <w:b/>
                <w:bCs/>
                <w:sz w:val="18"/>
                <w:szCs w:val="18"/>
              </w:rPr>
              <w:t>rad</w:t>
            </w:r>
            <w:r>
              <w:rPr>
                <w:b/>
                <w:bCs/>
                <w:sz w:val="18"/>
                <w:szCs w:val="18"/>
                <w:vertAlign w:val="superscript"/>
              </w:rPr>
              <w:t>2</w:t>
            </w:r>
          </w:p>
        </w:tc>
        <w:tc>
          <w:tcPr>
            <w:tcW w:w="1387" w:type="dxa"/>
            <w:tcBorders>
              <w:bottom w:val="single" w:sz="8" w:space="0" w:color="000000" w:themeColor="text1"/>
              <w:right w:val="nil"/>
            </w:tcBorders>
            <w:tcMar>
              <w:top w:w="0" w:type="dxa"/>
              <w:left w:w="0" w:type="dxa"/>
              <w:bottom w:w="0" w:type="dxa"/>
              <w:right w:w="0" w:type="dxa"/>
            </w:tcMar>
            <w:vAlign w:val="center"/>
          </w:tcPr>
          <w:p w14:paraId="1EF6501F" w14:textId="77777777" w:rsidR="00455074" w:rsidRDefault="00A45B6B">
            <w:pPr>
              <w:ind w:firstLineChars="0" w:firstLine="0"/>
              <w:jc w:val="center"/>
              <w:rPr>
                <w:sz w:val="18"/>
                <w:szCs w:val="18"/>
              </w:rPr>
            </w:pPr>
            <w:r>
              <w:rPr>
                <w:rFonts w:hint="eastAsia"/>
                <w:b/>
                <w:bCs/>
                <w:sz w:val="18"/>
                <w:szCs w:val="18"/>
              </w:rPr>
              <w:t>高频持续时间</w:t>
            </w:r>
            <w:r>
              <w:rPr>
                <w:rFonts w:hint="eastAsia"/>
                <w:b/>
                <w:bCs/>
                <w:sz w:val="18"/>
                <w:szCs w:val="18"/>
              </w:rPr>
              <w:t>/</w:t>
            </w:r>
            <w:r>
              <w:rPr>
                <w:b/>
                <w:bCs/>
                <w:sz w:val="18"/>
                <w:szCs w:val="18"/>
              </w:rPr>
              <w:t>s</w:t>
            </w:r>
          </w:p>
        </w:tc>
        <w:tc>
          <w:tcPr>
            <w:tcW w:w="1276" w:type="dxa"/>
            <w:tcBorders>
              <w:left w:val="nil"/>
              <w:bottom w:val="single" w:sz="8" w:space="0" w:color="000000" w:themeColor="text1"/>
            </w:tcBorders>
            <w:tcMar>
              <w:top w:w="0" w:type="dxa"/>
              <w:left w:w="0" w:type="dxa"/>
              <w:bottom w:w="0" w:type="dxa"/>
              <w:right w:w="0" w:type="dxa"/>
            </w:tcMar>
            <w:vAlign w:val="center"/>
          </w:tcPr>
          <w:p w14:paraId="6A6C7686" w14:textId="77777777" w:rsidR="00455074" w:rsidRDefault="00A45B6B">
            <w:pPr>
              <w:ind w:firstLineChars="0" w:firstLine="0"/>
              <w:jc w:val="center"/>
              <w:rPr>
                <w:sz w:val="18"/>
                <w:szCs w:val="18"/>
              </w:rPr>
            </w:pPr>
            <w:r>
              <w:rPr>
                <w:rFonts w:hint="eastAsia"/>
                <w:b/>
                <w:bCs/>
                <w:sz w:val="18"/>
                <w:szCs w:val="18"/>
              </w:rPr>
              <w:t>高频能量</w:t>
            </w:r>
            <w:r>
              <w:rPr>
                <w:rFonts w:hint="eastAsia"/>
                <w:b/>
                <w:bCs/>
                <w:sz w:val="18"/>
                <w:szCs w:val="18"/>
              </w:rPr>
              <w:t>/</w:t>
            </w:r>
            <w:r>
              <w:rPr>
                <w:b/>
                <w:bCs/>
                <w:sz w:val="18"/>
                <w:szCs w:val="18"/>
              </w:rPr>
              <w:t>rad</w:t>
            </w:r>
            <w:r>
              <w:rPr>
                <w:b/>
                <w:bCs/>
                <w:sz w:val="18"/>
                <w:szCs w:val="18"/>
                <w:vertAlign w:val="superscript"/>
              </w:rPr>
              <w:t>2</w:t>
            </w:r>
          </w:p>
        </w:tc>
        <w:tc>
          <w:tcPr>
            <w:tcW w:w="973" w:type="dxa"/>
            <w:tcBorders>
              <w:bottom w:val="single" w:sz="8" w:space="0" w:color="000000" w:themeColor="text1"/>
              <w:right w:val="nil"/>
            </w:tcBorders>
            <w:tcMar>
              <w:top w:w="0" w:type="dxa"/>
              <w:left w:w="0" w:type="dxa"/>
              <w:bottom w:w="0" w:type="dxa"/>
              <w:right w:w="0" w:type="dxa"/>
            </w:tcMar>
            <w:vAlign w:val="center"/>
          </w:tcPr>
          <w:p w14:paraId="5E0BD489" w14:textId="77777777" w:rsidR="00455074" w:rsidRDefault="00A45B6B">
            <w:pPr>
              <w:ind w:firstLineChars="0" w:firstLine="0"/>
              <w:jc w:val="center"/>
              <w:rPr>
                <w:sz w:val="18"/>
                <w:szCs w:val="18"/>
              </w:rPr>
            </w:pPr>
            <w:r>
              <w:rPr>
                <w:rFonts w:hint="eastAsia"/>
                <w:b/>
                <w:bCs/>
                <w:sz w:val="18"/>
                <w:szCs w:val="18"/>
              </w:rPr>
              <w:t>信噪比</w:t>
            </w:r>
            <w:r>
              <w:rPr>
                <w:rFonts w:hint="eastAsia"/>
                <w:b/>
                <w:bCs/>
                <w:sz w:val="18"/>
                <w:szCs w:val="18"/>
              </w:rPr>
              <w:t>/</w:t>
            </w:r>
            <w:r>
              <w:rPr>
                <w:b/>
                <w:bCs/>
                <w:sz w:val="18"/>
                <w:szCs w:val="18"/>
              </w:rPr>
              <w:t>dB</w:t>
            </w:r>
          </w:p>
        </w:tc>
      </w:tr>
      <w:tr w:rsidR="00455074" w14:paraId="6C17A86F" w14:textId="77777777">
        <w:trPr>
          <w:trHeight w:val="43"/>
          <w:jc w:val="center"/>
        </w:trPr>
        <w:tc>
          <w:tcPr>
            <w:tcW w:w="764" w:type="dxa"/>
            <w:tcBorders>
              <w:left w:val="nil"/>
              <w:bottom w:val="nil"/>
              <w:right w:val="single" w:sz="8" w:space="0" w:color="000000" w:themeColor="text1"/>
            </w:tcBorders>
            <w:tcMar>
              <w:top w:w="0" w:type="dxa"/>
              <w:left w:w="0" w:type="dxa"/>
              <w:bottom w:w="0" w:type="dxa"/>
              <w:right w:w="0" w:type="dxa"/>
            </w:tcMar>
            <w:vAlign w:val="center"/>
          </w:tcPr>
          <w:p w14:paraId="2ABF949A" w14:textId="77777777" w:rsidR="00455074" w:rsidRDefault="00A45B6B">
            <w:pPr>
              <w:ind w:firstLine="360"/>
              <w:jc w:val="center"/>
              <w:rPr>
                <w:sz w:val="18"/>
                <w:szCs w:val="18"/>
              </w:rPr>
            </w:pPr>
            <w:r>
              <w:rPr>
                <w:sz w:val="18"/>
                <w:szCs w:val="18"/>
              </w:rPr>
              <w:t>1</w:t>
            </w:r>
          </w:p>
        </w:tc>
        <w:tc>
          <w:tcPr>
            <w:tcW w:w="1387" w:type="dxa"/>
            <w:tcBorders>
              <w:left w:val="single" w:sz="8" w:space="0" w:color="000000" w:themeColor="text1"/>
              <w:bottom w:val="nil"/>
              <w:right w:val="nil"/>
            </w:tcBorders>
            <w:tcMar>
              <w:top w:w="0" w:type="dxa"/>
              <w:left w:w="0" w:type="dxa"/>
              <w:bottom w:w="0" w:type="dxa"/>
              <w:right w:w="0" w:type="dxa"/>
            </w:tcMar>
            <w:vAlign w:val="center"/>
          </w:tcPr>
          <w:p w14:paraId="12B4A7E6" w14:textId="77777777" w:rsidR="00455074" w:rsidRDefault="00A45B6B">
            <w:pPr>
              <w:ind w:firstLine="360"/>
              <w:jc w:val="center"/>
              <w:rPr>
                <w:sz w:val="18"/>
                <w:szCs w:val="18"/>
              </w:rPr>
            </w:pPr>
            <w:r>
              <w:rPr>
                <w:sz w:val="18"/>
                <w:szCs w:val="18"/>
              </w:rPr>
              <w:t>6.178</w:t>
            </w:r>
          </w:p>
        </w:tc>
        <w:tc>
          <w:tcPr>
            <w:tcW w:w="1297" w:type="dxa"/>
            <w:tcBorders>
              <w:left w:val="nil"/>
              <w:bottom w:val="nil"/>
              <w:right w:val="single" w:sz="8" w:space="0" w:color="000000" w:themeColor="text1"/>
            </w:tcBorders>
            <w:tcMar>
              <w:top w:w="0" w:type="dxa"/>
              <w:left w:w="0" w:type="dxa"/>
              <w:bottom w:w="0" w:type="dxa"/>
              <w:right w:w="0" w:type="dxa"/>
            </w:tcMar>
            <w:vAlign w:val="center"/>
          </w:tcPr>
          <w:p w14:paraId="3799CEC3" w14:textId="77777777" w:rsidR="00455074" w:rsidRDefault="00A45B6B">
            <w:pPr>
              <w:ind w:firstLine="360"/>
              <w:jc w:val="center"/>
              <w:rPr>
                <w:sz w:val="18"/>
                <w:szCs w:val="18"/>
              </w:rPr>
            </w:pPr>
            <w:r>
              <w:rPr>
                <w:sz w:val="18"/>
                <w:szCs w:val="18"/>
              </w:rPr>
              <w:t>2.595</w:t>
            </w:r>
          </w:p>
        </w:tc>
        <w:tc>
          <w:tcPr>
            <w:tcW w:w="1387" w:type="dxa"/>
            <w:tcBorders>
              <w:left w:val="single" w:sz="8" w:space="0" w:color="000000" w:themeColor="text1"/>
              <w:bottom w:val="nil"/>
              <w:right w:val="nil"/>
            </w:tcBorders>
            <w:tcMar>
              <w:top w:w="0" w:type="dxa"/>
              <w:left w:w="0" w:type="dxa"/>
              <w:bottom w:w="0" w:type="dxa"/>
              <w:right w:w="0" w:type="dxa"/>
            </w:tcMar>
            <w:vAlign w:val="center"/>
          </w:tcPr>
          <w:p w14:paraId="229DEF20" w14:textId="77777777" w:rsidR="00455074" w:rsidRDefault="00A45B6B">
            <w:pPr>
              <w:ind w:firstLine="360"/>
              <w:jc w:val="center"/>
              <w:rPr>
                <w:sz w:val="18"/>
                <w:szCs w:val="18"/>
              </w:rPr>
            </w:pPr>
            <w:r>
              <w:rPr>
                <w:sz w:val="18"/>
                <w:szCs w:val="18"/>
              </w:rPr>
              <w:t>2.183</w:t>
            </w:r>
          </w:p>
        </w:tc>
        <w:tc>
          <w:tcPr>
            <w:tcW w:w="1276" w:type="dxa"/>
            <w:tcBorders>
              <w:left w:val="nil"/>
              <w:bottom w:val="nil"/>
              <w:right w:val="single" w:sz="8" w:space="0" w:color="000000" w:themeColor="text1"/>
            </w:tcBorders>
            <w:tcMar>
              <w:top w:w="0" w:type="dxa"/>
              <w:left w:w="0" w:type="dxa"/>
              <w:bottom w:w="0" w:type="dxa"/>
              <w:right w:w="0" w:type="dxa"/>
            </w:tcMar>
            <w:vAlign w:val="center"/>
          </w:tcPr>
          <w:p w14:paraId="1FEB61C3" w14:textId="77777777" w:rsidR="00455074" w:rsidRDefault="00A45B6B">
            <w:pPr>
              <w:ind w:firstLine="360"/>
              <w:jc w:val="center"/>
              <w:rPr>
                <w:sz w:val="18"/>
                <w:szCs w:val="18"/>
              </w:rPr>
            </w:pPr>
            <w:r>
              <w:rPr>
                <w:sz w:val="18"/>
                <w:szCs w:val="18"/>
              </w:rPr>
              <w:t>0.115</w:t>
            </w:r>
          </w:p>
        </w:tc>
        <w:tc>
          <w:tcPr>
            <w:tcW w:w="973" w:type="dxa"/>
            <w:tcBorders>
              <w:left w:val="single" w:sz="8" w:space="0" w:color="000000" w:themeColor="text1"/>
              <w:bottom w:val="nil"/>
              <w:right w:val="nil"/>
            </w:tcBorders>
            <w:tcMar>
              <w:top w:w="0" w:type="dxa"/>
              <w:left w:w="0" w:type="dxa"/>
              <w:bottom w:w="0" w:type="dxa"/>
              <w:right w:w="0" w:type="dxa"/>
            </w:tcMar>
            <w:vAlign w:val="center"/>
          </w:tcPr>
          <w:p w14:paraId="24124617" w14:textId="77777777" w:rsidR="00455074" w:rsidRDefault="00A45B6B">
            <w:pPr>
              <w:ind w:firstLine="360"/>
              <w:jc w:val="center"/>
              <w:rPr>
                <w:sz w:val="18"/>
                <w:szCs w:val="18"/>
              </w:rPr>
            </w:pPr>
            <w:r>
              <w:rPr>
                <w:sz w:val="18"/>
                <w:szCs w:val="18"/>
              </w:rPr>
              <w:t>10.442</w:t>
            </w:r>
          </w:p>
        </w:tc>
      </w:tr>
      <w:tr w:rsidR="00455074" w14:paraId="703B0DA3" w14:textId="77777777">
        <w:trPr>
          <w:trHeight w:val="43"/>
          <w:jc w:val="center"/>
        </w:trPr>
        <w:tc>
          <w:tcPr>
            <w:tcW w:w="764" w:type="dxa"/>
            <w:tcBorders>
              <w:top w:val="nil"/>
              <w:left w:val="nil"/>
              <w:bottom w:val="nil"/>
              <w:right w:val="single" w:sz="8" w:space="0" w:color="000000" w:themeColor="text1"/>
            </w:tcBorders>
            <w:tcMar>
              <w:top w:w="0" w:type="dxa"/>
              <w:left w:w="0" w:type="dxa"/>
              <w:bottom w:w="0" w:type="dxa"/>
              <w:right w:w="0" w:type="dxa"/>
            </w:tcMar>
            <w:vAlign w:val="center"/>
          </w:tcPr>
          <w:p w14:paraId="62A5A07C" w14:textId="77777777" w:rsidR="00455074" w:rsidRDefault="00A45B6B">
            <w:pPr>
              <w:ind w:firstLine="360"/>
              <w:jc w:val="center"/>
              <w:rPr>
                <w:sz w:val="18"/>
                <w:szCs w:val="18"/>
              </w:rPr>
            </w:pPr>
            <w:r>
              <w:rPr>
                <w:sz w:val="18"/>
                <w:szCs w:val="18"/>
              </w:rPr>
              <w:t>2</w:t>
            </w:r>
          </w:p>
        </w:tc>
        <w:tc>
          <w:tcPr>
            <w:tcW w:w="1387" w:type="dxa"/>
            <w:tcBorders>
              <w:top w:val="nil"/>
              <w:left w:val="single" w:sz="8" w:space="0" w:color="000000" w:themeColor="text1"/>
              <w:bottom w:val="nil"/>
              <w:right w:val="nil"/>
            </w:tcBorders>
            <w:tcMar>
              <w:top w:w="0" w:type="dxa"/>
              <w:left w:w="0" w:type="dxa"/>
              <w:bottom w:w="0" w:type="dxa"/>
              <w:right w:w="0" w:type="dxa"/>
            </w:tcMar>
            <w:vAlign w:val="center"/>
          </w:tcPr>
          <w:p w14:paraId="070AA020" w14:textId="77777777" w:rsidR="00455074" w:rsidRDefault="00A45B6B">
            <w:pPr>
              <w:ind w:firstLine="360"/>
              <w:jc w:val="center"/>
              <w:rPr>
                <w:sz w:val="18"/>
                <w:szCs w:val="18"/>
              </w:rPr>
            </w:pPr>
            <w:r>
              <w:rPr>
                <w:sz w:val="18"/>
                <w:szCs w:val="18"/>
              </w:rPr>
              <w:t>5.662</w:t>
            </w:r>
          </w:p>
        </w:tc>
        <w:tc>
          <w:tcPr>
            <w:tcW w:w="1297" w:type="dxa"/>
            <w:tcBorders>
              <w:top w:val="nil"/>
              <w:left w:val="nil"/>
              <w:bottom w:val="nil"/>
              <w:right w:val="single" w:sz="8" w:space="0" w:color="000000" w:themeColor="text1"/>
            </w:tcBorders>
            <w:tcMar>
              <w:top w:w="0" w:type="dxa"/>
              <w:left w:w="0" w:type="dxa"/>
              <w:bottom w:w="0" w:type="dxa"/>
              <w:right w:w="0" w:type="dxa"/>
            </w:tcMar>
            <w:vAlign w:val="center"/>
          </w:tcPr>
          <w:p w14:paraId="3DAD8E64" w14:textId="77777777" w:rsidR="00455074" w:rsidRDefault="00A45B6B">
            <w:pPr>
              <w:ind w:firstLine="360"/>
              <w:jc w:val="center"/>
              <w:rPr>
                <w:sz w:val="18"/>
                <w:szCs w:val="18"/>
              </w:rPr>
            </w:pPr>
            <w:r>
              <w:rPr>
                <w:sz w:val="18"/>
                <w:szCs w:val="18"/>
              </w:rPr>
              <w:t>0.061</w:t>
            </w:r>
          </w:p>
        </w:tc>
        <w:tc>
          <w:tcPr>
            <w:tcW w:w="1387" w:type="dxa"/>
            <w:tcBorders>
              <w:top w:val="nil"/>
              <w:left w:val="single" w:sz="8" w:space="0" w:color="000000" w:themeColor="text1"/>
              <w:bottom w:val="nil"/>
              <w:right w:val="nil"/>
            </w:tcBorders>
            <w:tcMar>
              <w:top w:w="0" w:type="dxa"/>
              <w:left w:w="0" w:type="dxa"/>
              <w:bottom w:w="0" w:type="dxa"/>
              <w:right w:w="0" w:type="dxa"/>
            </w:tcMar>
            <w:vAlign w:val="center"/>
          </w:tcPr>
          <w:p w14:paraId="463C76F5" w14:textId="77777777" w:rsidR="00455074" w:rsidRDefault="00A45B6B">
            <w:pPr>
              <w:ind w:firstLine="360"/>
              <w:jc w:val="center"/>
              <w:rPr>
                <w:sz w:val="18"/>
                <w:szCs w:val="18"/>
              </w:rPr>
            </w:pPr>
            <w:r>
              <w:rPr>
                <w:sz w:val="18"/>
                <w:szCs w:val="18"/>
              </w:rPr>
              <w:t>1.608</w:t>
            </w:r>
          </w:p>
        </w:tc>
        <w:tc>
          <w:tcPr>
            <w:tcW w:w="1276" w:type="dxa"/>
            <w:tcBorders>
              <w:top w:val="nil"/>
              <w:left w:val="nil"/>
              <w:bottom w:val="nil"/>
              <w:right w:val="single" w:sz="8" w:space="0" w:color="000000" w:themeColor="text1"/>
            </w:tcBorders>
            <w:tcMar>
              <w:top w:w="0" w:type="dxa"/>
              <w:left w:w="0" w:type="dxa"/>
              <w:bottom w:w="0" w:type="dxa"/>
              <w:right w:w="0" w:type="dxa"/>
            </w:tcMar>
            <w:vAlign w:val="center"/>
          </w:tcPr>
          <w:p w14:paraId="18AC6CAC" w14:textId="77777777" w:rsidR="00455074" w:rsidRDefault="00A45B6B">
            <w:pPr>
              <w:ind w:firstLine="360"/>
              <w:jc w:val="center"/>
              <w:rPr>
                <w:sz w:val="18"/>
                <w:szCs w:val="18"/>
              </w:rPr>
            </w:pPr>
            <w:r>
              <w:rPr>
                <w:sz w:val="18"/>
                <w:szCs w:val="18"/>
              </w:rPr>
              <w:t>0.030</w:t>
            </w:r>
          </w:p>
        </w:tc>
        <w:tc>
          <w:tcPr>
            <w:tcW w:w="973" w:type="dxa"/>
            <w:tcBorders>
              <w:top w:val="nil"/>
              <w:left w:val="single" w:sz="8" w:space="0" w:color="000000" w:themeColor="text1"/>
              <w:bottom w:val="nil"/>
              <w:right w:val="nil"/>
            </w:tcBorders>
            <w:tcMar>
              <w:top w:w="0" w:type="dxa"/>
              <w:left w:w="0" w:type="dxa"/>
              <w:bottom w:w="0" w:type="dxa"/>
              <w:right w:w="0" w:type="dxa"/>
            </w:tcMar>
            <w:vAlign w:val="center"/>
          </w:tcPr>
          <w:p w14:paraId="29D1C9E5" w14:textId="77777777" w:rsidR="00455074" w:rsidRDefault="00A45B6B">
            <w:pPr>
              <w:ind w:firstLine="360"/>
              <w:jc w:val="center"/>
              <w:rPr>
                <w:sz w:val="18"/>
                <w:szCs w:val="18"/>
              </w:rPr>
            </w:pPr>
            <w:r>
              <w:rPr>
                <w:sz w:val="18"/>
                <w:szCs w:val="18"/>
              </w:rPr>
              <w:t>10.232</w:t>
            </w:r>
          </w:p>
        </w:tc>
      </w:tr>
      <w:tr w:rsidR="00455074" w14:paraId="58816DAB" w14:textId="77777777">
        <w:trPr>
          <w:trHeight w:val="43"/>
          <w:jc w:val="center"/>
        </w:trPr>
        <w:tc>
          <w:tcPr>
            <w:tcW w:w="764" w:type="dxa"/>
            <w:tcBorders>
              <w:top w:val="nil"/>
              <w:left w:val="nil"/>
              <w:bottom w:val="nil"/>
              <w:right w:val="single" w:sz="8" w:space="0" w:color="000000" w:themeColor="text1"/>
            </w:tcBorders>
            <w:tcMar>
              <w:top w:w="0" w:type="dxa"/>
              <w:left w:w="0" w:type="dxa"/>
              <w:bottom w:w="0" w:type="dxa"/>
              <w:right w:w="0" w:type="dxa"/>
            </w:tcMar>
            <w:vAlign w:val="center"/>
          </w:tcPr>
          <w:p w14:paraId="24870FF1" w14:textId="77777777" w:rsidR="00455074" w:rsidRDefault="00A45B6B">
            <w:pPr>
              <w:ind w:firstLine="360"/>
              <w:jc w:val="center"/>
              <w:rPr>
                <w:sz w:val="18"/>
                <w:szCs w:val="18"/>
              </w:rPr>
            </w:pPr>
            <w:r>
              <w:rPr>
                <w:sz w:val="18"/>
                <w:szCs w:val="18"/>
              </w:rPr>
              <w:t>3</w:t>
            </w:r>
          </w:p>
        </w:tc>
        <w:tc>
          <w:tcPr>
            <w:tcW w:w="1387" w:type="dxa"/>
            <w:tcBorders>
              <w:top w:val="nil"/>
              <w:left w:val="single" w:sz="8" w:space="0" w:color="000000" w:themeColor="text1"/>
              <w:bottom w:val="nil"/>
              <w:right w:val="nil"/>
            </w:tcBorders>
            <w:tcMar>
              <w:top w:w="0" w:type="dxa"/>
              <w:left w:w="0" w:type="dxa"/>
              <w:bottom w:w="0" w:type="dxa"/>
              <w:right w:w="0" w:type="dxa"/>
            </w:tcMar>
            <w:vAlign w:val="center"/>
          </w:tcPr>
          <w:p w14:paraId="6C7B4F6A" w14:textId="77777777" w:rsidR="00455074" w:rsidRDefault="00A45B6B">
            <w:pPr>
              <w:ind w:firstLine="360"/>
              <w:jc w:val="center"/>
              <w:rPr>
                <w:sz w:val="18"/>
                <w:szCs w:val="18"/>
              </w:rPr>
            </w:pPr>
            <w:r>
              <w:rPr>
                <w:sz w:val="18"/>
                <w:szCs w:val="18"/>
              </w:rPr>
              <w:t>4.635</w:t>
            </w:r>
          </w:p>
        </w:tc>
        <w:tc>
          <w:tcPr>
            <w:tcW w:w="1297" w:type="dxa"/>
            <w:tcBorders>
              <w:top w:val="nil"/>
              <w:left w:val="nil"/>
              <w:bottom w:val="nil"/>
              <w:right w:val="single" w:sz="8" w:space="0" w:color="000000" w:themeColor="text1"/>
            </w:tcBorders>
            <w:tcMar>
              <w:top w:w="0" w:type="dxa"/>
              <w:left w:w="0" w:type="dxa"/>
              <w:bottom w:w="0" w:type="dxa"/>
              <w:right w:w="0" w:type="dxa"/>
            </w:tcMar>
            <w:vAlign w:val="center"/>
          </w:tcPr>
          <w:p w14:paraId="51A27E8E" w14:textId="77777777" w:rsidR="00455074" w:rsidRDefault="00A45B6B">
            <w:pPr>
              <w:ind w:firstLine="360"/>
              <w:jc w:val="center"/>
              <w:rPr>
                <w:sz w:val="18"/>
                <w:szCs w:val="18"/>
              </w:rPr>
            </w:pPr>
            <w:r>
              <w:rPr>
                <w:sz w:val="18"/>
                <w:szCs w:val="18"/>
              </w:rPr>
              <w:t>7.609</w:t>
            </w:r>
          </w:p>
        </w:tc>
        <w:tc>
          <w:tcPr>
            <w:tcW w:w="1387" w:type="dxa"/>
            <w:tcBorders>
              <w:top w:val="nil"/>
              <w:left w:val="single" w:sz="8" w:space="0" w:color="000000" w:themeColor="text1"/>
              <w:bottom w:val="nil"/>
              <w:right w:val="nil"/>
            </w:tcBorders>
            <w:shd w:val="clear" w:color="auto" w:fill="FFFFFF"/>
            <w:tcMar>
              <w:top w:w="0" w:type="dxa"/>
              <w:left w:w="0" w:type="dxa"/>
              <w:bottom w:w="0" w:type="dxa"/>
              <w:right w:w="0" w:type="dxa"/>
            </w:tcMar>
            <w:vAlign w:val="center"/>
          </w:tcPr>
          <w:p w14:paraId="61DE00E6" w14:textId="77777777" w:rsidR="00455074" w:rsidRDefault="00A45B6B">
            <w:pPr>
              <w:ind w:firstLine="360"/>
              <w:jc w:val="center"/>
              <w:rPr>
                <w:sz w:val="18"/>
                <w:szCs w:val="18"/>
              </w:rPr>
            </w:pPr>
            <w:r>
              <w:rPr>
                <w:sz w:val="18"/>
                <w:szCs w:val="18"/>
              </w:rPr>
              <w:t>1.625</w:t>
            </w:r>
          </w:p>
        </w:tc>
        <w:tc>
          <w:tcPr>
            <w:tcW w:w="1276" w:type="dxa"/>
            <w:tcBorders>
              <w:top w:val="nil"/>
              <w:left w:val="nil"/>
              <w:bottom w:val="nil"/>
              <w:right w:val="single" w:sz="8" w:space="0" w:color="000000" w:themeColor="text1"/>
            </w:tcBorders>
            <w:shd w:val="clear" w:color="auto" w:fill="FFFFFF"/>
            <w:tcMar>
              <w:top w:w="0" w:type="dxa"/>
              <w:left w:w="0" w:type="dxa"/>
              <w:bottom w:w="0" w:type="dxa"/>
              <w:right w:w="0" w:type="dxa"/>
            </w:tcMar>
            <w:vAlign w:val="center"/>
          </w:tcPr>
          <w:p w14:paraId="1CD5664D" w14:textId="77777777" w:rsidR="00455074" w:rsidRDefault="00A45B6B">
            <w:pPr>
              <w:ind w:firstLine="360"/>
              <w:jc w:val="center"/>
              <w:rPr>
                <w:sz w:val="18"/>
                <w:szCs w:val="18"/>
              </w:rPr>
            </w:pPr>
            <w:r>
              <w:rPr>
                <w:sz w:val="18"/>
                <w:szCs w:val="18"/>
              </w:rPr>
              <w:t>0.014</w:t>
            </w:r>
          </w:p>
        </w:tc>
        <w:tc>
          <w:tcPr>
            <w:tcW w:w="973" w:type="dxa"/>
            <w:tcBorders>
              <w:top w:val="nil"/>
              <w:left w:val="single" w:sz="8" w:space="0" w:color="000000" w:themeColor="text1"/>
              <w:bottom w:val="nil"/>
              <w:right w:val="nil"/>
            </w:tcBorders>
            <w:tcMar>
              <w:top w:w="0" w:type="dxa"/>
              <w:left w:w="0" w:type="dxa"/>
              <w:bottom w:w="0" w:type="dxa"/>
              <w:right w:w="0" w:type="dxa"/>
            </w:tcMar>
            <w:vAlign w:val="center"/>
          </w:tcPr>
          <w:p w14:paraId="41C25D48" w14:textId="77777777" w:rsidR="00455074" w:rsidRDefault="00A45B6B">
            <w:pPr>
              <w:ind w:firstLine="360"/>
              <w:jc w:val="center"/>
              <w:rPr>
                <w:sz w:val="18"/>
                <w:szCs w:val="18"/>
              </w:rPr>
            </w:pPr>
            <w:r>
              <w:rPr>
                <w:sz w:val="18"/>
                <w:szCs w:val="18"/>
              </w:rPr>
              <w:t>6.739</w:t>
            </w:r>
          </w:p>
        </w:tc>
      </w:tr>
      <w:tr w:rsidR="00455074" w14:paraId="147F925F" w14:textId="77777777">
        <w:trPr>
          <w:trHeight w:val="43"/>
          <w:jc w:val="center"/>
        </w:trPr>
        <w:tc>
          <w:tcPr>
            <w:tcW w:w="764" w:type="dxa"/>
            <w:tcBorders>
              <w:top w:val="nil"/>
              <w:left w:val="nil"/>
              <w:bottom w:val="nil"/>
              <w:right w:val="single" w:sz="8" w:space="0" w:color="000000" w:themeColor="text1"/>
            </w:tcBorders>
            <w:tcMar>
              <w:top w:w="0" w:type="dxa"/>
              <w:left w:w="0" w:type="dxa"/>
              <w:bottom w:w="0" w:type="dxa"/>
              <w:right w:w="0" w:type="dxa"/>
            </w:tcMar>
            <w:vAlign w:val="center"/>
          </w:tcPr>
          <w:p w14:paraId="78592324" w14:textId="77777777" w:rsidR="00455074" w:rsidRDefault="00A45B6B">
            <w:pPr>
              <w:ind w:firstLine="360"/>
              <w:jc w:val="center"/>
              <w:rPr>
                <w:sz w:val="18"/>
                <w:szCs w:val="18"/>
              </w:rPr>
            </w:pPr>
            <w:r>
              <w:rPr>
                <w:sz w:val="18"/>
                <w:szCs w:val="18"/>
              </w:rPr>
              <w:t>4</w:t>
            </w:r>
          </w:p>
        </w:tc>
        <w:tc>
          <w:tcPr>
            <w:tcW w:w="1387" w:type="dxa"/>
            <w:tcBorders>
              <w:top w:val="nil"/>
              <w:left w:val="single" w:sz="8" w:space="0" w:color="000000" w:themeColor="text1"/>
              <w:bottom w:val="nil"/>
              <w:right w:val="nil"/>
            </w:tcBorders>
            <w:tcMar>
              <w:top w:w="0" w:type="dxa"/>
              <w:left w:w="0" w:type="dxa"/>
              <w:bottom w:w="0" w:type="dxa"/>
              <w:right w:w="0" w:type="dxa"/>
            </w:tcMar>
            <w:vAlign w:val="center"/>
          </w:tcPr>
          <w:p w14:paraId="0EA61D1C" w14:textId="77777777" w:rsidR="00455074" w:rsidRDefault="00A45B6B">
            <w:pPr>
              <w:ind w:firstLine="360"/>
              <w:jc w:val="center"/>
              <w:rPr>
                <w:sz w:val="18"/>
                <w:szCs w:val="18"/>
              </w:rPr>
            </w:pPr>
            <w:r>
              <w:rPr>
                <w:sz w:val="18"/>
                <w:szCs w:val="18"/>
              </w:rPr>
              <w:t>5.230</w:t>
            </w:r>
          </w:p>
        </w:tc>
        <w:tc>
          <w:tcPr>
            <w:tcW w:w="1297" w:type="dxa"/>
            <w:tcBorders>
              <w:top w:val="nil"/>
              <w:left w:val="nil"/>
              <w:bottom w:val="nil"/>
              <w:right w:val="single" w:sz="8" w:space="0" w:color="000000" w:themeColor="text1"/>
            </w:tcBorders>
            <w:tcMar>
              <w:top w:w="0" w:type="dxa"/>
              <w:left w:w="0" w:type="dxa"/>
              <w:bottom w:w="0" w:type="dxa"/>
              <w:right w:w="0" w:type="dxa"/>
            </w:tcMar>
            <w:vAlign w:val="center"/>
          </w:tcPr>
          <w:p w14:paraId="15B7668F" w14:textId="77777777" w:rsidR="00455074" w:rsidRDefault="00A45B6B">
            <w:pPr>
              <w:ind w:firstLine="360"/>
              <w:jc w:val="center"/>
              <w:rPr>
                <w:sz w:val="18"/>
                <w:szCs w:val="18"/>
              </w:rPr>
            </w:pPr>
            <w:r>
              <w:rPr>
                <w:sz w:val="18"/>
                <w:szCs w:val="18"/>
              </w:rPr>
              <w:t>0.304</w:t>
            </w:r>
          </w:p>
        </w:tc>
        <w:tc>
          <w:tcPr>
            <w:tcW w:w="1387" w:type="dxa"/>
            <w:tcBorders>
              <w:top w:val="nil"/>
              <w:left w:val="single" w:sz="8" w:space="0" w:color="000000" w:themeColor="text1"/>
              <w:bottom w:val="nil"/>
              <w:right w:val="nil"/>
            </w:tcBorders>
            <w:shd w:val="clear" w:color="auto" w:fill="FFFFFF"/>
            <w:tcMar>
              <w:top w:w="0" w:type="dxa"/>
              <w:left w:w="0" w:type="dxa"/>
              <w:bottom w:w="0" w:type="dxa"/>
              <w:right w:w="0" w:type="dxa"/>
            </w:tcMar>
            <w:vAlign w:val="center"/>
          </w:tcPr>
          <w:p w14:paraId="37E635F2" w14:textId="77777777" w:rsidR="00455074" w:rsidRDefault="00A45B6B">
            <w:pPr>
              <w:ind w:firstLine="360"/>
              <w:jc w:val="center"/>
              <w:rPr>
                <w:sz w:val="18"/>
                <w:szCs w:val="18"/>
              </w:rPr>
            </w:pPr>
            <w:r>
              <w:rPr>
                <w:sz w:val="18"/>
                <w:szCs w:val="18"/>
              </w:rPr>
              <w:t>1.603</w:t>
            </w:r>
          </w:p>
        </w:tc>
        <w:tc>
          <w:tcPr>
            <w:tcW w:w="1276" w:type="dxa"/>
            <w:tcBorders>
              <w:top w:val="nil"/>
              <w:left w:val="nil"/>
              <w:bottom w:val="nil"/>
              <w:right w:val="single" w:sz="8" w:space="0" w:color="000000" w:themeColor="text1"/>
            </w:tcBorders>
            <w:shd w:val="clear" w:color="auto" w:fill="FFFFFF"/>
            <w:tcMar>
              <w:top w:w="0" w:type="dxa"/>
              <w:left w:w="0" w:type="dxa"/>
              <w:bottom w:w="0" w:type="dxa"/>
              <w:right w:w="0" w:type="dxa"/>
            </w:tcMar>
            <w:vAlign w:val="center"/>
          </w:tcPr>
          <w:p w14:paraId="15B04F05" w14:textId="77777777" w:rsidR="00455074" w:rsidRDefault="00A45B6B">
            <w:pPr>
              <w:ind w:firstLine="360"/>
              <w:jc w:val="center"/>
              <w:rPr>
                <w:sz w:val="18"/>
                <w:szCs w:val="18"/>
              </w:rPr>
            </w:pPr>
            <w:r>
              <w:rPr>
                <w:sz w:val="18"/>
                <w:szCs w:val="18"/>
              </w:rPr>
              <w:t>0.004</w:t>
            </w:r>
          </w:p>
        </w:tc>
        <w:tc>
          <w:tcPr>
            <w:tcW w:w="973" w:type="dxa"/>
            <w:tcBorders>
              <w:top w:val="nil"/>
              <w:left w:val="single" w:sz="8" w:space="0" w:color="000000" w:themeColor="text1"/>
              <w:bottom w:val="nil"/>
              <w:right w:val="nil"/>
            </w:tcBorders>
            <w:tcMar>
              <w:top w:w="0" w:type="dxa"/>
              <w:left w:w="0" w:type="dxa"/>
              <w:bottom w:w="0" w:type="dxa"/>
              <w:right w:w="0" w:type="dxa"/>
            </w:tcMar>
            <w:vAlign w:val="center"/>
          </w:tcPr>
          <w:p w14:paraId="27D43EF2" w14:textId="77777777" w:rsidR="00455074" w:rsidRDefault="00A45B6B">
            <w:pPr>
              <w:ind w:firstLine="360"/>
              <w:jc w:val="center"/>
              <w:rPr>
                <w:sz w:val="18"/>
                <w:szCs w:val="18"/>
              </w:rPr>
            </w:pPr>
            <w:r>
              <w:rPr>
                <w:sz w:val="18"/>
                <w:szCs w:val="18"/>
              </w:rPr>
              <w:t>6.885</w:t>
            </w:r>
          </w:p>
        </w:tc>
      </w:tr>
      <w:tr w:rsidR="00455074" w14:paraId="35DD4C73" w14:textId="77777777">
        <w:trPr>
          <w:trHeight w:val="43"/>
          <w:jc w:val="center"/>
        </w:trPr>
        <w:tc>
          <w:tcPr>
            <w:tcW w:w="764" w:type="dxa"/>
            <w:tcBorders>
              <w:top w:val="nil"/>
              <w:left w:val="nil"/>
              <w:bottom w:val="nil"/>
              <w:right w:val="single" w:sz="8" w:space="0" w:color="000000" w:themeColor="text1"/>
            </w:tcBorders>
            <w:tcMar>
              <w:top w:w="0" w:type="dxa"/>
              <w:left w:w="0" w:type="dxa"/>
              <w:bottom w:w="0" w:type="dxa"/>
              <w:right w:w="0" w:type="dxa"/>
            </w:tcMar>
            <w:vAlign w:val="center"/>
          </w:tcPr>
          <w:p w14:paraId="7D1F12C9" w14:textId="77777777" w:rsidR="00455074" w:rsidRDefault="00A45B6B">
            <w:pPr>
              <w:ind w:firstLine="360"/>
              <w:jc w:val="center"/>
              <w:rPr>
                <w:sz w:val="18"/>
                <w:szCs w:val="18"/>
              </w:rPr>
            </w:pPr>
            <w:r>
              <w:rPr>
                <w:sz w:val="18"/>
                <w:szCs w:val="18"/>
              </w:rPr>
              <w:t>5</w:t>
            </w:r>
          </w:p>
        </w:tc>
        <w:tc>
          <w:tcPr>
            <w:tcW w:w="1387" w:type="dxa"/>
            <w:tcBorders>
              <w:top w:val="nil"/>
              <w:left w:val="single" w:sz="8" w:space="0" w:color="000000" w:themeColor="text1"/>
              <w:bottom w:val="nil"/>
              <w:right w:val="nil"/>
            </w:tcBorders>
            <w:tcMar>
              <w:top w:w="0" w:type="dxa"/>
              <w:left w:w="0" w:type="dxa"/>
              <w:bottom w:w="0" w:type="dxa"/>
              <w:right w:w="0" w:type="dxa"/>
            </w:tcMar>
            <w:vAlign w:val="center"/>
          </w:tcPr>
          <w:p w14:paraId="2C20A5C7" w14:textId="77777777" w:rsidR="00455074" w:rsidRDefault="00A45B6B">
            <w:pPr>
              <w:ind w:firstLine="360"/>
              <w:jc w:val="center"/>
              <w:rPr>
                <w:sz w:val="18"/>
                <w:szCs w:val="18"/>
              </w:rPr>
            </w:pPr>
            <w:r>
              <w:rPr>
                <w:sz w:val="18"/>
                <w:szCs w:val="18"/>
              </w:rPr>
              <w:t>4.538</w:t>
            </w:r>
          </w:p>
        </w:tc>
        <w:tc>
          <w:tcPr>
            <w:tcW w:w="1297" w:type="dxa"/>
            <w:tcBorders>
              <w:top w:val="nil"/>
              <w:left w:val="nil"/>
              <w:bottom w:val="nil"/>
              <w:right w:val="single" w:sz="8" w:space="0" w:color="000000" w:themeColor="text1"/>
            </w:tcBorders>
            <w:tcMar>
              <w:top w:w="0" w:type="dxa"/>
              <w:left w:w="0" w:type="dxa"/>
              <w:bottom w:w="0" w:type="dxa"/>
              <w:right w:w="0" w:type="dxa"/>
            </w:tcMar>
            <w:vAlign w:val="center"/>
          </w:tcPr>
          <w:p w14:paraId="7B848766" w14:textId="77777777" w:rsidR="00455074" w:rsidRDefault="00A45B6B">
            <w:pPr>
              <w:ind w:firstLine="360"/>
              <w:jc w:val="center"/>
              <w:rPr>
                <w:sz w:val="18"/>
                <w:szCs w:val="18"/>
              </w:rPr>
            </w:pPr>
            <w:r>
              <w:rPr>
                <w:sz w:val="18"/>
                <w:szCs w:val="18"/>
              </w:rPr>
              <w:t>21.201</w:t>
            </w:r>
          </w:p>
        </w:tc>
        <w:tc>
          <w:tcPr>
            <w:tcW w:w="1387" w:type="dxa"/>
            <w:tcBorders>
              <w:top w:val="nil"/>
              <w:left w:val="single" w:sz="8" w:space="0" w:color="000000" w:themeColor="text1"/>
              <w:bottom w:val="nil"/>
              <w:right w:val="nil"/>
            </w:tcBorders>
            <w:tcMar>
              <w:top w:w="0" w:type="dxa"/>
              <w:left w:w="0" w:type="dxa"/>
              <w:bottom w:w="0" w:type="dxa"/>
              <w:right w:w="0" w:type="dxa"/>
            </w:tcMar>
            <w:vAlign w:val="center"/>
          </w:tcPr>
          <w:p w14:paraId="264B5888" w14:textId="77777777" w:rsidR="00455074" w:rsidRDefault="00A45B6B">
            <w:pPr>
              <w:ind w:firstLine="360"/>
              <w:jc w:val="center"/>
              <w:rPr>
                <w:sz w:val="18"/>
                <w:szCs w:val="18"/>
              </w:rPr>
            </w:pPr>
            <w:r>
              <w:rPr>
                <w:sz w:val="18"/>
                <w:szCs w:val="18"/>
              </w:rPr>
              <w:t>1.580</w:t>
            </w:r>
          </w:p>
        </w:tc>
        <w:tc>
          <w:tcPr>
            <w:tcW w:w="1276" w:type="dxa"/>
            <w:tcBorders>
              <w:top w:val="nil"/>
              <w:left w:val="nil"/>
              <w:bottom w:val="nil"/>
              <w:right w:val="single" w:sz="8" w:space="0" w:color="000000" w:themeColor="text1"/>
            </w:tcBorders>
            <w:tcMar>
              <w:top w:w="0" w:type="dxa"/>
              <w:left w:w="0" w:type="dxa"/>
              <w:bottom w:w="0" w:type="dxa"/>
              <w:right w:w="0" w:type="dxa"/>
            </w:tcMar>
            <w:vAlign w:val="center"/>
          </w:tcPr>
          <w:p w14:paraId="33901247" w14:textId="77777777" w:rsidR="00455074" w:rsidRDefault="00A45B6B">
            <w:pPr>
              <w:ind w:firstLine="360"/>
              <w:jc w:val="center"/>
              <w:rPr>
                <w:sz w:val="18"/>
                <w:szCs w:val="18"/>
              </w:rPr>
            </w:pPr>
            <w:r>
              <w:rPr>
                <w:sz w:val="18"/>
                <w:szCs w:val="18"/>
              </w:rPr>
              <w:t>0.233</w:t>
            </w:r>
          </w:p>
        </w:tc>
        <w:tc>
          <w:tcPr>
            <w:tcW w:w="973" w:type="dxa"/>
            <w:tcBorders>
              <w:top w:val="nil"/>
              <w:left w:val="single" w:sz="8" w:space="0" w:color="000000" w:themeColor="text1"/>
              <w:bottom w:val="nil"/>
              <w:right w:val="nil"/>
            </w:tcBorders>
            <w:tcMar>
              <w:top w:w="0" w:type="dxa"/>
              <w:left w:w="0" w:type="dxa"/>
              <w:bottom w:w="0" w:type="dxa"/>
              <w:right w:w="0" w:type="dxa"/>
            </w:tcMar>
            <w:vAlign w:val="center"/>
          </w:tcPr>
          <w:p w14:paraId="391A0276" w14:textId="77777777" w:rsidR="00455074" w:rsidRDefault="00A45B6B">
            <w:pPr>
              <w:ind w:firstLine="360"/>
              <w:jc w:val="center"/>
              <w:rPr>
                <w:sz w:val="18"/>
                <w:szCs w:val="18"/>
              </w:rPr>
            </w:pPr>
            <w:r>
              <w:rPr>
                <w:sz w:val="18"/>
                <w:szCs w:val="18"/>
              </w:rPr>
              <w:t>16.834</w:t>
            </w:r>
          </w:p>
        </w:tc>
      </w:tr>
      <w:tr w:rsidR="00455074" w14:paraId="02225143" w14:textId="77777777">
        <w:trPr>
          <w:trHeight w:val="43"/>
          <w:jc w:val="center"/>
        </w:trPr>
        <w:tc>
          <w:tcPr>
            <w:tcW w:w="764" w:type="dxa"/>
            <w:tcBorders>
              <w:top w:val="nil"/>
              <w:left w:val="nil"/>
              <w:right w:val="single" w:sz="8" w:space="0" w:color="000000" w:themeColor="text1"/>
            </w:tcBorders>
            <w:tcMar>
              <w:top w:w="0" w:type="dxa"/>
              <w:left w:w="0" w:type="dxa"/>
              <w:bottom w:w="0" w:type="dxa"/>
              <w:right w:w="0" w:type="dxa"/>
            </w:tcMar>
            <w:vAlign w:val="center"/>
          </w:tcPr>
          <w:p w14:paraId="05CA9A9E" w14:textId="77777777" w:rsidR="00455074" w:rsidRDefault="00A45B6B">
            <w:pPr>
              <w:ind w:firstLine="360"/>
              <w:jc w:val="center"/>
              <w:rPr>
                <w:sz w:val="18"/>
                <w:szCs w:val="18"/>
              </w:rPr>
            </w:pPr>
            <w:r>
              <w:rPr>
                <w:sz w:val="18"/>
                <w:szCs w:val="18"/>
              </w:rPr>
              <w:t>6</w:t>
            </w:r>
          </w:p>
        </w:tc>
        <w:tc>
          <w:tcPr>
            <w:tcW w:w="1387" w:type="dxa"/>
            <w:tcBorders>
              <w:top w:val="nil"/>
              <w:left w:val="single" w:sz="8" w:space="0" w:color="000000" w:themeColor="text1"/>
              <w:right w:val="nil"/>
            </w:tcBorders>
            <w:tcMar>
              <w:top w:w="0" w:type="dxa"/>
              <w:left w:w="0" w:type="dxa"/>
              <w:bottom w:w="0" w:type="dxa"/>
              <w:right w:w="0" w:type="dxa"/>
            </w:tcMar>
            <w:vAlign w:val="center"/>
          </w:tcPr>
          <w:p w14:paraId="489A53C6" w14:textId="77777777" w:rsidR="00455074" w:rsidRDefault="00A45B6B">
            <w:pPr>
              <w:ind w:firstLine="360"/>
              <w:jc w:val="center"/>
              <w:rPr>
                <w:sz w:val="18"/>
                <w:szCs w:val="18"/>
              </w:rPr>
            </w:pPr>
            <w:r>
              <w:rPr>
                <w:sz w:val="18"/>
                <w:szCs w:val="18"/>
              </w:rPr>
              <w:t>4.618</w:t>
            </w:r>
          </w:p>
        </w:tc>
        <w:tc>
          <w:tcPr>
            <w:tcW w:w="1297" w:type="dxa"/>
            <w:tcBorders>
              <w:top w:val="nil"/>
              <w:left w:val="nil"/>
              <w:right w:val="single" w:sz="8" w:space="0" w:color="000000" w:themeColor="text1"/>
            </w:tcBorders>
            <w:tcMar>
              <w:top w:w="0" w:type="dxa"/>
              <w:left w:w="0" w:type="dxa"/>
              <w:bottom w:w="0" w:type="dxa"/>
              <w:right w:w="0" w:type="dxa"/>
            </w:tcMar>
            <w:vAlign w:val="center"/>
          </w:tcPr>
          <w:p w14:paraId="638CAB7E" w14:textId="77777777" w:rsidR="00455074" w:rsidRDefault="00A45B6B">
            <w:pPr>
              <w:ind w:firstLine="360"/>
              <w:jc w:val="center"/>
              <w:rPr>
                <w:sz w:val="18"/>
                <w:szCs w:val="18"/>
              </w:rPr>
            </w:pPr>
            <w:r>
              <w:rPr>
                <w:sz w:val="18"/>
                <w:szCs w:val="18"/>
              </w:rPr>
              <w:t>0.871</w:t>
            </w:r>
          </w:p>
        </w:tc>
        <w:tc>
          <w:tcPr>
            <w:tcW w:w="1387" w:type="dxa"/>
            <w:tcBorders>
              <w:top w:val="nil"/>
              <w:left w:val="single" w:sz="8" w:space="0" w:color="000000" w:themeColor="text1"/>
              <w:right w:val="nil"/>
            </w:tcBorders>
            <w:tcMar>
              <w:top w:w="0" w:type="dxa"/>
              <w:left w:w="0" w:type="dxa"/>
              <w:bottom w:w="0" w:type="dxa"/>
              <w:right w:w="0" w:type="dxa"/>
            </w:tcMar>
            <w:vAlign w:val="center"/>
          </w:tcPr>
          <w:p w14:paraId="269BF570" w14:textId="77777777" w:rsidR="00455074" w:rsidRDefault="00A45B6B">
            <w:pPr>
              <w:ind w:firstLine="360"/>
              <w:jc w:val="center"/>
              <w:rPr>
                <w:sz w:val="18"/>
                <w:szCs w:val="18"/>
              </w:rPr>
            </w:pPr>
            <w:r>
              <w:rPr>
                <w:sz w:val="18"/>
                <w:szCs w:val="18"/>
              </w:rPr>
              <w:t>1.828</w:t>
            </w:r>
          </w:p>
        </w:tc>
        <w:tc>
          <w:tcPr>
            <w:tcW w:w="1276" w:type="dxa"/>
            <w:tcBorders>
              <w:top w:val="nil"/>
              <w:left w:val="nil"/>
              <w:right w:val="single" w:sz="8" w:space="0" w:color="000000" w:themeColor="text1"/>
            </w:tcBorders>
            <w:tcMar>
              <w:top w:w="0" w:type="dxa"/>
              <w:left w:w="0" w:type="dxa"/>
              <w:bottom w:w="0" w:type="dxa"/>
              <w:right w:w="0" w:type="dxa"/>
            </w:tcMar>
            <w:vAlign w:val="center"/>
          </w:tcPr>
          <w:p w14:paraId="48239C68" w14:textId="77777777" w:rsidR="00455074" w:rsidRDefault="00A45B6B">
            <w:pPr>
              <w:ind w:firstLine="360"/>
              <w:jc w:val="center"/>
              <w:rPr>
                <w:sz w:val="18"/>
                <w:szCs w:val="18"/>
              </w:rPr>
            </w:pPr>
            <w:r>
              <w:rPr>
                <w:sz w:val="18"/>
                <w:szCs w:val="18"/>
              </w:rPr>
              <w:t>0.097</w:t>
            </w:r>
          </w:p>
        </w:tc>
        <w:tc>
          <w:tcPr>
            <w:tcW w:w="973" w:type="dxa"/>
            <w:tcBorders>
              <w:top w:val="nil"/>
              <w:left w:val="single" w:sz="8" w:space="0" w:color="000000" w:themeColor="text1"/>
              <w:right w:val="nil"/>
            </w:tcBorders>
            <w:tcMar>
              <w:top w:w="0" w:type="dxa"/>
              <w:left w:w="0" w:type="dxa"/>
              <w:bottom w:w="0" w:type="dxa"/>
              <w:right w:w="0" w:type="dxa"/>
            </w:tcMar>
            <w:vAlign w:val="center"/>
          </w:tcPr>
          <w:p w14:paraId="19343001" w14:textId="77777777" w:rsidR="00455074" w:rsidRDefault="00A45B6B">
            <w:pPr>
              <w:ind w:firstLine="360"/>
              <w:jc w:val="center"/>
              <w:rPr>
                <w:sz w:val="18"/>
                <w:szCs w:val="18"/>
              </w:rPr>
            </w:pPr>
            <w:r>
              <w:rPr>
                <w:sz w:val="18"/>
                <w:szCs w:val="18"/>
              </w:rPr>
              <w:t>14.505</w:t>
            </w:r>
          </w:p>
        </w:tc>
      </w:tr>
    </w:tbl>
    <w:p w14:paraId="799421F9" w14:textId="77777777" w:rsidR="00455074" w:rsidRDefault="00A45B6B">
      <w:pPr>
        <w:ind w:firstLine="420"/>
        <w:rPr>
          <w:szCs w:val="21"/>
        </w:rPr>
      </w:pPr>
      <w:r>
        <w:rPr>
          <w:rFonts w:hint="eastAsia"/>
          <w:szCs w:val="21"/>
        </w:rPr>
        <w:t>从表</w:t>
      </w:r>
      <w:r>
        <w:rPr>
          <w:rFonts w:hint="eastAsia"/>
          <w:szCs w:val="21"/>
        </w:rPr>
        <w:t>1</w:t>
      </w:r>
      <w:r>
        <w:rPr>
          <w:rFonts w:hint="eastAsia"/>
          <w:szCs w:val="21"/>
        </w:rPr>
        <w:t>可以看出，</w:t>
      </w:r>
      <w:r>
        <w:rPr>
          <w:rFonts w:hint="eastAsia"/>
          <w:szCs w:val="21"/>
        </w:rPr>
        <w:t>2</w:t>
      </w:r>
      <w:r>
        <w:rPr>
          <w:rFonts w:hint="eastAsia"/>
          <w:szCs w:val="21"/>
        </w:rPr>
        <w:t>类光缆差异集中体现在低频特征参数：振动传感缆的低频持续时间，低频能量显</w:t>
      </w:r>
      <w:r>
        <w:rPr>
          <w:rFonts w:hint="eastAsia"/>
        </w:rPr>
        <w:t>著高于通信缆，表明其与基底力学耦合效果更佳；高频参数在两类光缆中数值接近。核心指标信噪比同样表现为振动传感缆整体占优。另外，基底刚度是决定整体监测质量的核心因素，信号感知效果排序为水泥栅栏＞金属栅栏＞土地表层。水泥、金属属于刚性基底，振动传递损耗小，低频能量与高频信噪比均维持较高水平</w:t>
      </w:r>
      <w:r>
        <w:rPr>
          <w:rFonts w:hint="eastAsia"/>
          <w:szCs w:val="21"/>
        </w:rPr>
        <w:t>；其中水泥栅栏刚度最大，信号能量、</w:t>
      </w:r>
      <w:r>
        <w:rPr>
          <w:rFonts w:hint="eastAsia"/>
          <w:szCs w:val="21"/>
        </w:rPr>
        <w:t>SNR</w:t>
      </w:r>
      <w:r>
        <w:rPr>
          <w:rFonts w:hint="eastAsia"/>
          <w:szCs w:val="21"/>
        </w:rPr>
        <w:t>呈现最高值。土地表层土体阻尼效应显著，大幅衰减高频振动、抬升环境噪声，各组指标均为最低，车辆轨迹辨识度明显下降。</w:t>
      </w:r>
    </w:p>
    <w:p w14:paraId="42E834DC" w14:textId="77777777" w:rsidR="00455074" w:rsidRDefault="00A45B6B">
      <w:pPr>
        <w:ind w:firstLine="420"/>
      </w:pPr>
      <w:r>
        <w:rPr>
          <w:rFonts w:hint="eastAsia"/>
          <w:szCs w:val="21"/>
        </w:rPr>
        <w:lastRenderedPageBreak/>
        <w:t>另外，可以明显发现非直埋布设状态下，单辆车的信号在低频段呈现</w:t>
      </w:r>
      <w:r>
        <w:rPr>
          <w:rFonts w:hint="eastAsia"/>
        </w:rPr>
        <w:t>多峰叠加的状态，而高频段则呈现出明显的单峰状态，高频段单峰状态对于后续的流量统计、车辆计数等交通参数反演更有效。</w:t>
      </w:r>
    </w:p>
    <w:p w14:paraId="6140BFF3" w14:textId="77777777" w:rsidR="00455074" w:rsidRDefault="00A45B6B">
      <w:pPr>
        <w:ind w:firstLine="420"/>
      </w:pPr>
      <w:r>
        <w:rPr>
          <w:rFonts w:hint="eastAsia"/>
        </w:rPr>
        <w:t>以往研究多认为非直埋贴敷的光缆信号稳定性差，很难作为感知光缆，但我们实验发现，表面贴敷状态下光缆可与刚性基底形成有效力学耦合，稳定传递</w:t>
      </w:r>
      <w:r>
        <w:rPr>
          <w:rFonts w:hint="eastAsia"/>
        </w:rPr>
        <w:t xml:space="preserve"> 5</w:t>
      </w:r>
      <w:r>
        <w:t>~</w:t>
      </w:r>
      <w:r>
        <w:rPr>
          <w:rFonts w:hint="eastAsia"/>
        </w:rPr>
        <w:t>50</w:t>
      </w:r>
      <w:r>
        <w:t xml:space="preserve"> </w:t>
      </w:r>
      <w:r>
        <w:rPr>
          <w:rFonts w:hint="eastAsia"/>
        </w:rPr>
        <w:t xml:space="preserve">Hz </w:t>
      </w:r>
      <w:r>
        <w:rPr>
          <w:rFonts w:hint="eastAsia"/>
        </w:rPr>
        <w:t>频段的高频动态振动信号，该频段内车辆运动轨迹清晰可辨，且信号呈现单峰特征，可避免低频多峰叠加导致的车辆数量误判，更适配车辆流量统计与轨迹检测场景。依托高频信号实现监测功能，无需追求亚赫兹级的低频观测能力，对系统硬件性能要求更低，可有效降低工程成本与系统复杂度。试验结果同时表明，基底刚度是贴敷布设感知质量的核心影响因素，水泥、金属等刚性基底的高频信噪比与信号能量显著优于土地表层，因此贴敷布设优先选择刚性路侧构件与硬化路面，可在完全不开挖的前提下，为交通设施状态感知提供有效数据支撑。</w:t>
      </w:r>
    </w:p>
    <w:p w14:paraId="0C10B9ED" w14:textId="77777777" w:rsidR="00455074" w:rsidRDefault="00A45B6B">
      <w:pPr>
        <w:ind w:firstLine="420"/>
        <w:rPr>
          <w:szCs w:val="21"/>
        </w:rPr>
      </w:pPr>
      <w:r>
        <w:rPr>
          <w:rFonts w:hint="eastAsia"/>
          <w:szCs w:val="21"/>
        </w:rPr>
        <w:t>本文</w:t>
      </w:r>
      <w:r>
        <w:rPr>
          <w:szCs w:val="21"/>
        </w:rPr>
        <w:t>作者团队</w:t>
      </w:r>
      <w:r>
        <w:rPr>
          <w:rFonts w:hint="eastAsia"/>
          <w:szCs w:val="21"/>
        </w:rPr>
        <w:t>的技术在多地得到了应用。如温州长距离高速公路监测中，通过构建包括信号增强、目标检测跟踪和交通流参数估计在内的全链路交通流监测系统，可实现路基、桥梁、隧道等多种路段的监测，覆盖范围如图</w:t>
      </w:r>
      <w:r>
        <w:rPr>
          <w:szCs w:val="21"/>
        </w:rPr>
        <w:t>17</w:t>
      </w:r>
      <w:r>
        <w:rPr>
          <w:rFonts w:hint="eastAsia"/>
          <w:szCs w:val="21"/>
        </w:rPr>
        <w:t>所示。</w:t>
      </w:r>
    </w:p>
    <w:p w14:paraId="6F9CF9E1" w14:textId="77777777" w:rsidR="00455074" w:rsidRDefault="00A45B6B">
      <w:pPr>
        <w:keepNext/>
        <w:ind w:firstLineChars="0" w:firstLine="0"/>
        <w:jc w:val="center"/>
      </w:pPr>
      <w:r>
        <w:object w:dxaOrig="4629" w:dyaOrig="3394" w14:anchorId="70B14821">
          <v:shape id="_x0000_i1027" type="#_x0000_t75" style="width:231.4pt;height:169.8pt" o:ole="">
            <v:imagedata r:id="rId13" o:title=""/>
          </v:shape>
          <o:OLEObject Type="Embed" ProgID="Visio.Drawing.15" ShapeID="_x0000_i1027" DrawAspect="Content" ObjectID="_1846046668" r:id="rId14"/>
        </w:object>
      </w:r>
    </w:p>
    <w:p w14:paraId="742B2D3D" w14:textId="77777777" w:rsidR="00455074" w:rsidRDefault="00A45B6B">
      <w:pPr>
        <w:pStyle w:val="a3"/>
        <w:ind w:firstLine="301"/>
        <w:jc w:val="center"/>
      </w:pPr>
      <w:r>
        <w:rPr>
          <w:rFonts w:hint="eastAsia"/>
        </w:rPr>
        <w:t>图</w:t>
      </w:r>
      <w:r>
        <w:rPr>
          <w:rFonts w:hint="eastAsia"/>
        </w:rPr>
        <w:t xml:space="preserve"> </w:t>
      </w:r>
      <w:r>
        <w:t xml:space="preserve">4 </w:t>
      </w:r>
      <w:r>
        <w:rPr>
          <w:rFonts w:hint="eastAsia"/>
        </w:rPr>
        <w:t>某节假日交通流统计数据</w:t>
      </w:r>
    </w:p>
    <w:p w14:paraId="37736AC8" w14:textId="77777777" w:rsidR="00455074" w:rsidRDefault="00A45B6B">
      <w:pPr>
        <w:ind w:firstLine="420"/>
        <w:rPr>
          <w:szCs w:val="21"/>
        </w:rPr>
      </w:pPr>
      <w:r>
        <w:rPr>
          <w:szCs w:val="21"/>
        </w:rPr>
        <w:t xml:space="preserve">24 </w:t>
      </w:r>
      <w:r>
        <w:rPr>
          <w:rFonts w:hint="eastAsia"/>
          <w:szCs w:val="21"/>
        </w:rPr>
        <w:t>h</w:t>
      </w:r>
      <w:r>
        <w:rPr>
          <w:rFonts w:hint="eastAsia"/>
          <w:szCs w:val="21"/>
        </w:rPr>
        <w:t>的统计结果如图</w:t>
      </w:r>
      <w:r>
        <w:rPr>
          <w:szCs w:val="21"/>
        </w:rPr>
        <w:t>4</w:t>
      </w:r>
      <w:r>
        <w:rPr>
          <w:rFonts w:hint="eastAsia"/>
          <w:szCs w:val="21"/>
        </w:rPr>
        <w:t>所示。可以</w:t>
      </w:r>
      <w:r>
        <w:rPr>
          <w:szCs w:val="21"/>
        </w:rPr>
        <w:t>看出，</w:t>
      </w:r>
      <w:r>
        <w:rPr>
          <w:rFonts w:hint="eastAsia"/>
          <w:szCs w:val="21"/>
        </w:rPr>
        <w:t>日间乘用车流量整体远高于商用车，在</w:t>
      </w:r>
      <w:r>
        <w:rPr>
          <w:rFonts w:hint="eastAsia"/>
          <w:szCs w:val="21"/>
        </w:rPr>
        <w:t>18:00</w:t>
      </w:r>
      <w:r>
        <w:rPr>
          <w:rFonts w:hint="eastAsia"/>
          <w:szCs w:val="21"/>
        </w:rPr>
        <w:t>–</w:t>
      </w:r>
      <w:r>
        <w:rPr>
          <w:rFonts w:hint="eastAsia"/>
          <w:szCs w:val="21"/>
        </w:rPr>
        <w:t>20:00</w:t>
      </w:r>
      <w:r>
        <w:rPr>
          <w:rFonts w:hint="eastAsia"/>
          <w:szCs w:val="21"/>
        </w:rPr>
        <w:t>达到全天流量峰值；商用车白天</w:t>
      </w:r>
      <w:r>
        <w:rPr>
          <w:rFonts w:hint="eastAsia"/>
          <w:szCs w:val="21"/>
        </w:rPr>
        <w:t>14:00</w:t>
      </w:r>
      <w:r>
        <w:rPr>
          <w:rFonts w:hint="eastAsia"/>
          <w:szCs w:val="21"/>
        </w:rPr>
        <w:t>–</w:t>
      </w:r>
      <w:r>
        <w:rPr>
          <w:rFonts w:hint="eastAsia"/>
          <w:szCs w:val="21"/>
        </w:rPr>
        <w:t>18:00</w:t>
      </w:r>
      <w:r>
        <w:rPr>
          <w:rFonts w:hint="eastAsia"/>
          <w:szCs w:val="21"/>
        </w:rPr>
        <w:t>通行量降至最低，</w:t>
      </w:r>
      <w:r>
        <w:rPr>
          <w:rFonts w:hint="eastAsia"/>
          <w:szCs w:val="21"/>
        </w:rPr>
        <w:t>23:00</w:t>
      </w:r>
      <w:r>
        <w:rPr>
          <w:rFonts w:hint="eastAsia"/>
          <w:szCs w:val="21"/>
        </w:rPr>
        <w:t>后流量持续上涨，凌晨时段两类车辆流量差距明显缩小。全天乘用车平均车速始终高于商用车。日间两类车型车速保持相对稳定，乘用车车速维持在</w:t>
      </w:r>
      <w:r>
        <w:rPr>
          <w:rFonts w:hint="eastAsia"/>
          <w:szCs w:val="21"/>
        </w:rPr>
        <w:t>85~100</w:t>
      </w:r>
      <w:r>
        <w:rPr>
          <w:szCs w:val="21"/>
        </w:rPr>
        <w:t xml:space="preserve"> </w:t>
      </w:r>
      <w:r>
        <w:rPr>
          <w:rFonts w:hint="eastAsia"/>
          <w:szCs w:val="21"/>
        </w:rPr>
        <w:t>km/h</w:t>
      </w:r>
      <w:r>
        <w:rPr>
          <w:rFonts w:hint="eastAsia"/>
          <w:szCs w:val="21"/>
        </w:rPr>
        <w:t>，商用车稳定在</w:t>
      </w:r>
      <w:r>
        <w:rPr>
          <w:rFonts w:hint="eastAsia"/>
          <w:szCs w:val="21"/>
        </w:rPr>
        <w:t>65~78</w:t>
      </w:r>
      <w:r>
        <w:rPr>
          <w:szCs w:val="21"/>
        </w:rPr>
        <w:t xml:space="preserve"> </w:t>
      </w:r>
      <w:r>
        <w:rPr>
          <w:rFonts w:hint="eastAsia"/>
          <w:szCs w:val="21"/>
        </w:rPr>
        <w:t>km/h</w:t>
      </w:r>
      <w:r>
        <w:rPr>
          <w:rFonts w:hint="eastAsia"/>
          <w:szCs w:val="21"/>
        </w:rPr>
        <w:t>。该系统能够在不同交通运行条件下获取交通流变化数据，为交通调度与运行管理提供数据支撑。</w:t>
      </w:r>
    </w:p>
    <w:p w14:paraId="61D44A9A" w14:textId="77777777" w:rsidR="00455074" w:rsidRDefault="00A45B6B">
      <w:pPr>
        <w:keepNext/>
        <w:ind w:firstLineChars="0" w:firstLine="0"/>
        <w:jc w:val="center"/>
      </w:pPr>
      <w:r>
        <w:object w:dxaOrig="7611" w:dyaOrig="2366" w14:anchorId="48ACD0FB">
          <v:shape id="_x0000_i1028" type="#_x0000_t75" style="width:380.4pt;height:118.2pt" o:ole="">
            <v:imagedata r:id="rId15" o:title=""/>
          </v:shape>
          <o:OLEObject Type="Embed" ProgID="Visio.Drawing.15" ShapeID="_x0000_i1028" DrawAspect="Content" ObjectID="_1846046669" r:id="rId16"/>
        </w:object>
      </w:r>
    </w:p>
    <w:p w14:paraId="283EEEE2" w14:textId="77777777" w:rsidR="00455074" w:rsidRDefault="00A45B6B">
      <w:pPr>
        <w:pStyle w:val="a3"/>
        <w:ind w:firstLine="301"/>
        <w:jc w:val="center"/>
      </w:pPr>
      <w:r>
        <w:rPr>
          <w:rFonts w:hint="eastAsia"/>
        </w:rPr>
        <w:t>图</w:t>
      </w:r>
      <w:r>
        <w:rPr>
          <w:rFonts w:hint="eastAsia"/>
        </w:rPr>
        <w:t xml:space="preserve"> </w:t>
      </w:r>
      <w:r>
        <w:t>5</w:t>
      </w:r>
      <w:r>
        <w:rPr>
          <w:szCs w:val="15"/>
        </w:rPr>
        <w:t>LR-Net</w:t>
      </w:r>
      <w:r>
        <w:rPr>
          <w:rFonts w:hint="eastAsia"/>
          <w:szCs w:val="15"/>
        </w:rPr>
        <w:t>网络信号识别示意图</w:t>
      </w:r>
    </w:p>
    <w:p w14:paraId="115F0E06" w14:textId="77777777" w:rsidR="00455074" w:rsidRDefault="00A45B6B">
      <w:pPr>
        <w:widowControl w:val="0"/>
        <w:ind w:firstLine="420"/>
      </w:pPr>
      <w:r>
        <w:rPr>
          <w:rFonts w:hint="eastAsia"/>
        </w:rPr>
        <w:t>除面向机动车的交通流监测研究外，我们还同步开展了道路安防入侵监测相关研究</w:t>
      </w:r>
      <w:r>
        <w:fldChar w:fldCharType="begin"/>
      </w:r>
      <w:r>
        <w:instrText xml:space="preserve"> </w:instrText>
      </w:r>
      <w:r>
        <w:rPr>
          <w:rFonts w:hint="eastAsia"/>
        </w:rPr>
        <w:instrText>REF _Ref233844739 \r \h</w:instrText>
      </w:r>
      <w:r>
        <w:instrText xml:space="preserve"> </w:instrText>
      </w:r>
      <w:r>
        <w:fldChar w:fldCharType="separate"/>
      </w:r>
      <w:r>
        <w:t>[68]</w:t>
      </w:r>
      <w:r>
        <w:fldChar w:fldCharType="end"/>
      </w:r>
      <w:r>
        <w:rPr>
          <w:rFonts w:hint="eastAsia"/>
        </w:rPr>
        <w:t>。传统方法对人员走动、小型机械远距离挖掘等微弱扰动识别能力较差，微弱振动易被车流、施工强背景噪声淹没，存在漏检问题。我们提出面向</w:t>
      </w:r>
      <w:r>
        <w:t>DAS</w:t>
      </w:r>
      <w:r>
        <w:rPr>
          <w:rFonts w:hint="eastAsia"/>
        </w:rPr>
        <w:t>时空图像的</w:t>
      </w:r>
      <w:r>
        <w:t>LR-Net</w:t>
      </w:r>
      <w:r>
        <w:rPr>
          <w:rFonts w:hint="eastAsia"/>
        </w:rPr>
        <w:t>多任务检测网络，有效解决道路周界漏检难题</w:t>
      </w:r>
      <w:r>
        <w:fldChar w:fldCharType="begin"/>
      </w:r>
      <w:r>
        <w:instrText xml:space="preserve"> </w:instrText>
      </w:r>
      <w:r>
        <w:rPr>
          <w:rFonts w:hint="eastAsia"/>
        </w:rPr>
        <w:instrText>REF _Ref233844739 \r \h</w:instrText>
      </w:r>
      <w:r>
        <w:instrText xml:space="preserve"> </w:instrText>
      </w:r>
      <w:r>
        <w:fldChar w:fldCharType="separate"/>
      </w:r>
      <w:r>
        <w:t>[68]</w:t>
      </w:r>
      <w:r>
        <w:fldChar w:fldCharType="end"/>
      </w:r>
      <w:r>
        <w:rPr>
          <w:rFonts w:hint="eastAsia"/>
        </w:rPr>
        <w:t>。该模型为一阶段检测架构。网络结构如图</w:t>
      </w:r>
      <w:r>
        <w:t>5</w:t>
      </w:r>
      <w:r>
        <w:rPr>
          <w:rFonts w:hint="eastAsia"/>
        </w:rPr>
        <w:t>所示。网络创新设计分组卷积骨干网络平衡</w:t>
      </w:r>
      <w:r>
        <w:t>DAS</w:t>
      </w:r>
      <w:r>
        <w:rPr>
          <w:rFonts w:hint="eastAsia"/>
        </w:rPr>
        <w:t>时空不均衡数据，搭配</w:t>
      </w:r>
      <w:r>
        <w:t xml:space="preserve"> LAMFS </w:t>
      </w:r>
      <w:r>
        <w:rPr>
          <w:rFonts w:hint="eastAsia"/>
        </w:rPr>
        <w:t>位置注意力特征融合压缩模块与</w:t>
      </w:r>
      <w:r>
        <w:t>DMS</w:t>
      </w:r>
      <w:r>
        <w:rPr>
          <w:rFonts w:hint="eastAsia"/>
        </w:rPr>
        <w:t>动态样本匹配训练策略，强化微弱入侵特征的提取权重。将二维时空特征图压缩为一维预测特征图，在保证精度前提下压缩推理开销。</w:t>
      </w:r>
    </w:p>
    <w:p w14:paraId="06A9BF52" w14:textId="77777777" w:rsidR="00455074" w:rsidRDefault="00A45B6B">
      <w:pPr>
        <w:ind w:firstLine="420"/>
      </w:pPr>
      <w:r>
        <w:rPr>
          <w:rFonts w:hint="eastAsia"/>
        </w:rPr>
        <w:lastRenderedPageBreak/>
        <w:t>对比</w:t>
      </w:r>
      <w:r>
        <w:t>Faster R-CNN</w:t>
      </w:r>
      <w:r>
        <w:rPr>
          <w:rFonts w:hint="eastAsia"/>
        </w:rPr>
        <w:t>、</w:t>
      </w:r>
      <w:r>
        <w:t>YOLOv11</w:t>
      </w:r>
      <w:r>
        <w:rPr>
          <w:rFonts w:hint="eastAsia"/>
        </w:rPr>
        <w:t>通用检测模型，</w:t>
      </w:r>
      <w:r>
        <w:t>LR-Net</w:t>
      </w:r>
      <w:r>
        <w:rPr>
          <w:rFonts w:hint="eastAsia"/>
        </w:rPr>
        <w:t>在多事件重叠、低信噪比道路场景下</w:t>
      </w:r>
      <w:r>
        <w:t>mAP</w:t>
      </w:r>
      <w:r>
        <w:rPr>
          <w:rFonts w:hint="eastAsia"/>
        </w:rPr>
        <w:t>可达</w:t>
      </w:r>
      <w:r>
        <w:t xml:space="preserve"> 99.1%</w:t>
      </w:r>
      <w:r>
        <w:rPr>
          <w:rFonts w:hint="eastAsia"/>
        </w:rPr>
        <w:t>，事件定位误差控制在</w:t>
      </w:r>
      <w:r>
        <w:t xml:space="preserve">±1.5 m, </w:t>
      </w:r>
      <w:r>
        <w:rPr>
          <w:rFonts w:hint="eastAsia"/>
        </w:rPr>
        <w:t>可稳定区分低能量行人扰动与重型机械强振动，适配长距离市政道路、管线廊道全天候安防巡检需求。</w:t>
      </w:r>
    </w:p>
    <w:p w14:paraId="391D56AD" w14:textId="77777777" w:rsidR="00455074" w:rsidRDefault="00455074">
      <w:pPr>
        <w:ind w:firstLine="420"/>
        <w:rPr>
          <w:szCs w:val="21"/>
        </w:rPr>
      </w:pPr>
    </w:p>
    <w:p w14:paraId="3592F2EE" w14:textId="77777777" w:rsidR="00455074" w:rsidRDefault="00A45B6B">
      <w:pPr>
        <w:ind w:firstLineChars="0" w:firstLine="0"/>
        <w:rPr>
          <w:rStyle w:val="20"/>
          <w:rFonts w:ascii="黑体" w:hAnsi="黑体" w:cs="黑体"/>
          <w:szCs w:val="24"/>
        </w:rPr>
      </w:pPr>
      <w:r>
        <w:rPr>
          <w:rStyle w:val="20"/>
          <w:rFonts w:ascii="黑体" w:hAnsi="黑体" w:cs="黑体"/>
          <w:szCs w:val="24"/>
        </w:rPr>
        <w:t>4</w:t>
      </w:r>
      <w:bookmarkStart w:id="39" w:name="OLE_LINK9"/>
      <w:r>
        <w:rPr>
          <w:rStyle w:val="20"/>
          <w:rFonts w:ascii="黑体" w:hAnsi="黑体" w:cs="黑体"/>
          <w:szCs w:val="24"/>
        </w:rPr>
        <w:t xml:space="preserve"> </w:t>
      </w:r>
      <w:r>
        <w:rPr>
          <w:rStyle w:val="20"/>
          <w:rFonts w:ascii="黑体" w:hAnsi="黑体" w:cs="黑体" w:hint="eastAsia"/>
          <w:szCs w:val="24"/>
        </w:rPr>
        <w:t>现存挑战</w:t>
      </w:r>
      <w:bookmarkEnd w:id="39"/>
      <w:r>
        <w:rPr>
          <w:rStyle w:val="20"/>
          <w:rFonts w:ascii="黑体" w:hAnsi="黑体" w:cs="黑体" w:hint="eastAsia"/>
          <w:szCs w:val="24"/>
        </w:rPr>
        <w:t>与未来展望</w:t>
      </w:r>
    </w:p>
    <w:p w14:paraId="617E6442" w14:textId="77777777" w:rsidR="00455074" w:rsidRDefault="00A45B6B">
      <w:pPr>
        <w:ind w:firstLineChars="0" w:firstLine="0"/>
        <w:rPr>
          <w:rFonts w:ascii="黑体" w:eastAsia="黑体" w:hAnsi="黑体" w:cs="黑体"/>
          <w:b/>
          <w:bCs/>
          <w:szCs w:val="32"/>
        </w:rPr>
      </w:pPr>
      <w:r>
        <w:rPr>
          <w:rFonts w:ascii="黑体" w:eastAsia="黑体" w:hAnsi="黑体" w:cs="黑体"/>
          <w:b/>
          <w:bCs/>
          <w:szCs w:val="32"/>
        </w:rPr>
        <w:t>4.1 技术</w:t>
      </w:r>
      <w:r>
        <w:rPr>
          <w:rFonts w:ascii="黑体" w:eastAsia="黑体" w:hAnsi="黑体" w:cs="黑体" w:hint="eastAsia"/>
          <w:b/>
          <w:bCs/>
          <w:szCs w:val="32"/>
        </w:rPr>
        <w:t>现存挑战</w:t>
      </w:r>
    </w:p>
    <w:p w14:paraId="48D922F9" w14:textId="77777777" w:rsidR="00455074" w:rsidRDefault="00A45B6B">
      <w:pPr>
        <w:ind w:firstLine="420"/>
        <w:rPr>
          <w:szCs w:val="21"/>
        </w:rPr>
      </w:pPr>
      <w:r>
        <w:rPr>
          <w:szCs w:val="21"/>
        </w:rPr>
        <w:t>尽管基于</w:t>
      </w:r>
      <w:r>
        <w:rPr>
          <w:szCs w:val="21"/>
        </w:rPr>
        <w:t>DAS</w:t>
      </w:r>
      <w:r>
        <w:rPr>
          <w:szCs w:val="21"/>
        </w:rPr>
        <w:t>的公路一体化监测已开展大量理论研究与现场示范，且逐步实现小规模工程落地，但面向全国大范围干线公路、城乡路网常态化规模化监测的需求，该技术仍存在信号处理、布设施工、数据应用</w:t>
      </w:r>
      <w:r>
        <w:rPr>
          <w:rFonts w:hint="eastAsia"/>
          <w:szCs w:val="21"/>
        </w:rPr>
        <w:t>三</w:t>
      </w:r>
      <w:r>
        <w:rPr>
          <w:szCs w:val="21"/>
        </w:rPr>
        <w:t>大层面突出瓶颈。</w:t>
      </w:r>
    </w:p>
    <w:p w14:paraId="4D1F92FB" w14:textId="77777777" w:rsidR="00455074" w:rsidRDefault="00A45B6B">
      <w:pPr>
        <w:ind w:firstLine="422"/>
        <w:rPr>
          <w:b/>
          <w:bCs/>
          <w:szCs w:val="21"/>
        </w:rPr>
      </w:pPr>
      <w:r>
        <w:rPr>
          <w:b/>
          <w:bCs/>
          <w:szCs w:val="21"/>
        </w:rPr>
        <w:t>1</w:t>
      </w:r>
      <w:r>
        <w:rPr>
          <w:b/>
          <w:bCs/>
          <w:szCs w:val="21"/>
        </w:rPr>
        <w:t>）复杂交通与环境工况下信号解译精度与泛化性不足</w:t>
      </w:r>
    </w:p>
    <w:p w14:paraId="4F568FEF" w14:textId="77777777" w:rsidR="00455074" w:rsidRDefault="00A45B6B">
      <w:pPr>
        <w:ind w:firstLine="420"/>
        <w:rPr>
          <w:szCs w:val="21"/>
        </w:rPr>
      </w:pPr>
      <w:r>
        <w:rPr>
          <w:szCs w:val="21"/>
        </w:rPr>
        <w:t>公路监测场景的复杂性导致</w:t>
      </w:r>
      <w:r>
        <w:rPr>
          <w:szCs w:val="21"/>
        </w:rPr>
        <w:t>DAS</w:t>
      </w:r>
      <w:r>
        <w:rPr>
          <w:szCs w:val="21"/>
        </w:rPr>
        <w:t>有效信号提取难度极大。高密度车流场景下，多车辆轨迹交叉重叠、信号严重混叠；同时，降雨大风、桥梁伸缩缝、路面附属设施、沿线施工等外界干扰会持续引入环境杂波。传统固定参数滤波、</w:t>
      </w:r>
      <w:r>
        <w:rPr>
          <w:szCs w:val="21"/>
        </w:rPr>
        <w:t>F-K</w:t>
      </w:r>
      <w:r>
        <w:rPr>
          <w:szCs w:val="21"/>
        </w:rPr>
        <w:t>变换等经典信号处理算法，无法自适应区分车辆有效信号与环境噪声。现有深度学习识别模型也存在明显短板，在路基土质、路面刚度差异化路段泛化能力薄弱，极易引发车辆漏检、重复计数、车速估算偏差等问题。此外，长距离光纤链路存在传输衰减、接头损耗累积问题，导致远端监测路段信噪比大幅降低，进一步削弱了车辆运行特征与道路结构病害特征的提取可靠性。</w:t>
      </w:r>
    </w:p>
    <w:p w14:paraId="46DC9B1E" w14:textId="77777777" w:rsidR="00455074" w:rsidRDefault="00A45B6B">
      <w:pPr>
        <w:ind w:firstLine="420"/>
        <w:rPr>
          <w:szCs w:val="21"/>
        </w:rPr>
      </w:pPr>
      <w:r>
        <w:rPr>
          <w:szCs w:val="21"/>
        </w:rPr>
        <w:t>2</w:t>
      </w:r>
      <w:r>
        <w:rPr>
          <w:szCs w:val="21"/>
        </w:rPr>
        <w:t>）多场景光缆布设缺乏统一标准化体系</w:t>
      </w:r>
    </w:p>
    <w:p w14:paraId="183798D4" w14:textId="77777777" w:rsidR="00455074" w:rsidRDefault="00A45B6B">
      <w:pPr>
        <w:ind w:firstLine="420"/>
        <w:rPr>
          <w:szCs w:val="21"/>
        </w:rPr>
      </w:pPr>
      <w:r>
        <w:rPr>
          <w:szCs w:val="21"/>
        </w:rPr>
        <w:t>现有研究多单独针对开槽直埋开展耦合机理分析，针对运营道路适用的路面胶贴、护栏轧带绑扎、暗光纤复用等非开挖布设方式研究尚不系统。不同基底（水泥路面、金属护栏、土质路肩）、不同固定工艺下光纤与结构的力学耦合规律缺少定量标定，尚未形成配套施工流程、防护方案、光缆选型规范。贴敷光缆长期经受日照、雨水、车辆气流冲刷，表层胶层老化、光纤松动脱粘会持续改变振动传递效率，长期服役稳定性缺少长效实测数据支撑；暗光纤因原始敷设标准不一，普遍存在耦合不均、多处信号盲区，难以支撑荷载定量反演。各类开挖、非开挖方案的适用工况、寿命、成本对比缺少量化指标，不利于工程设计选型。</w:t>
      </w:r>
    </w:p>
    <w:p w14:paraId="27EEC912" w14:textId="77777777" w:rsidR="00455074" w:rsidRDefault="00A45B6B">
      <w:pPr>
        <w:ind w:firstLine="420"/>
        <w:rPr>
          <w:szCs w:val="21"/>
        </w:rPr>
      </w:pPr>
      <w:r>
        <w:rPr>
          <w:szCs w:val="21"/>
        </w:rPr>
        <w:t>3</w:t>
      </w:r>
      <w:r>
        <w:rPr>
          <w:szCs w:val="21"/>
        </w:rPr>
        <w:t>）多参量融合病害诊断能力不足</w:t>
      </w:r>
    </w:p>
    <w:p w14:paraId="0EA47908" w14:textId="77777777" w:rsidR="00455074" w:rsidRDefault="00A45B6B">
      <w:pPr>
        <w:ind w:firstLine="420"/>
        <w:rPr>
          <w:szCs w:val="21"/>
        </w:rPr>
      </w:pPr>
      <w:r>
        <w:rPr>
          <w:rFonts w:hint="eastAsia"/>
          <w:szCs w:val="21"/>
        </w:rPr>
        <w:t>现阶段</w:t>
      </w:r>
      <w:r>
        <w:rPr>
          <w:rFonts w:hint="eastAsia"/>
          <w:szCs w:val="21"/>
        </w:rPr>
        <w:t>DAS</w:t>
      </w:r>
      <w:r>
        <w:rPr>
          <w:rFonts w:hint="eastAsia"/>
          <w:szCs w:val="21"/>
        </w:rPr>
        <w:t>公路监测研究存在场景割裂问题，大多单独聚焦交通车流监测或单一道路结构病害监测，未建立交通荷载</w:t>
      </w:r>
      <w:r>
        <w:rPr>
          <w:rFonts w:hint="eastAsia"/>
          <w:szCs w:val="21"/>
        </w:rPr>
        <w:t>-</w:t>
      </w:r>
      <w:r>
        <w:rPr>
          <w:rFonts w:hint="eastAsia"/>
          <w:szCs w:val="21"/>
        </w:rPr>
        <w:t>路面</w:t>
      </w:r>
      <w:r>
        <w:rPr>
          <w:rFonts w:hint="eastAsia"/>
          <w:szCs w:val="21"/>
        </w:rPr>
        <w:t>-</w:t>
      </w:r>
      <w:r>
        <w:rPr>
          <w:rFonts w:hint="eastAsia"/>
          <w:szCs w:val="21"/>
        </w:rPr>
        <w:t>路基</w:t>
      </w:r>
      <w:r>
        <w:rPr>
          <w:rFonts w:hint="eastAsia"/>
          <w:szCs w:val="21"/>
        </w:rPr>
        <w:t>-</w:t>
      </w:r>
      <w:r>
        <w:rPr>
          <w:rFonts w:hint="eastAsia"/>
          <w:szCs w:val="21"/>
        </w:rPr>
        <w:t>桥梁结构损伤的关联耦合模型，无法实现多维度监测数据的协同分析。仅依靠单一振动、应变信号仅能定位道路异常区段。同时，行业尚未构建完善的多维度监测特征阈值库，无法实现道路损伤类型、损伤程度的自动识别与分级预警，大量异常信号仍依赖人工复核研判，无法实现公路路网长期、全自动、无人值守的智能化监测。</w:t>
      </w:r>
    </w:p>
    <w:p w14:paraId="56C3D1F1" w14:textId="77777777" w:rsidR="00455074" w:rsidRDefault="00A45B6B">
      <w:pPr>
        <w:ind w:firstLineChars="0" w:firstLine="0"/>
        <w:rPr>
          <w:rFonts w:ascii="黑体" w:eastAsia="黑体" w:hAnsi="黑体" w:cs="黑体"/>
          <w:b/>
          <w:bCs/>
          <w:szCs w:val="32"/>
        </w:rPr>
      </w:pPr>
      <w:r>
        <w:rPr>
          <w:rFonts w:ascii="黑体" w:eastAsia="黑体" w:hAnsi="黑体" w:cs="黑体"/>
          <w:b/>
          <w:bCs/>
          <w:szCs w:val="32"/>
        </w:rPr>
        <w:t>4.2 技术发展未来展望</w:t>
      </w:r>
    </w:p>
    <w:p w14:paraId="3159E092" w14:textId="77777777" w:rsidR="00455074" w:rsidRDefault="00A45B6B">
      <w:pPr>
        <w:ind w:firstLine="420"/>
        <w:rPr>
          <w:szCs w:val="21"/>
        </w:rPr>
      </w:pPr>
      <w:r>
        <w:rPr>
          <w:szCs w:val="21"/>
        </w:rPr>
        <w:t>结合当前行业痛点与智慧公路发展需求，</w:t>
      </w:r>
      <w:r>
        <w:rPr>
          <w:szCs w:val="21"/>
        </w:rPr>
        <w:t xml:space="preserve">DAS </w:t>
      </w:r>
      <w:r>
        <w:rPr>
          <w:szCs w:val="21"/>
        </w:rPr>
        <w:t>公路监测技术将围绕传感优化、算法革新、布设标准化、多系统融合四大方向持续迭代完善，推动技术从示范试验走向路网常态化商用。</w:t>
      </w:r>
    </w:p>
    <w:p w14:paraId="60090898" w14:textId="77777777" w:rsidR="00455074" w:rsidRDefault="00A45B6B">
      <w:pPr>
        <w:ind w:firstLine="422"/>
        <w:rPr>
          <w:b/>
          <w:bCs/>
          <w:szCs w:val="21"/>
        </w:rPr>
      </w:pPr>
      <w:r>
        <w:rPr>
          <w:b/>
          <w:bCs/>
          <w:szCs w:val="21"/>
        </w:rPr>
        <w:t>1</w:t>
      </w:r>
      <w:r>
        <w:rPr>
          <w:b/>
          <w:bCs/>
          <w:szCs w:val="21"/>
        </w:rPr>
        <w:t>）研发物理约束轻量化智能算法，解决复杂场景信号解译难题</w:t>
      </w:r>
    </w:p>
    <w:p w14:paraId="559B9AF7" w14:textId="77777777" w:rsidR="00455074" w:rsidRDefault="00A45B6B">
      <w:pPr>
        <w:ind w:firstLine="420"/>
        <w:rPr>
          <w:szCs w:val="21"/>
        </w:rPr>
      </w:pPr>
      <w:r>
        <w:rPr>
          <w:szCs w:val="21"/>
        </w:rPr>
        <w:t>针对复杂工况下信号噪声混杂、模型泛化性差的问题，未来需融合弹性力学物理先验知识与深度学习算法，构建物理约束型</w:t>
      </w:r>
      <w:r>
        <w:rPr>
          <w:szCs w:val="21"/>
        </w:rPr>
        <w:t>AI</w:t>
      </w:r>
      <w:r>
        <w:rPr>
          <w:szCs w:val="21"/>
        </w:rPr>
        <w:t>识别网络。结合光纤直埋、路面贴敷等不同布设形式，以及道路基底刚度差异特征，实现算法特征提取规则的自适应调整，强化密集车流、恶劣环境下的多车信号分离与杂波抑制能力。同时，开发轻量化反卷积、旋转目标检测模型，将信号降噪、车辆识别、车速流量统计等核心算力前置至路侧终端，实现监测数据秒级实时解析。此外，构建跨路段迁移学习样本库，降低不同路况下模型重新训练的数据成本与时间成本，全面提升算法的场景泛化能力与信号解译精度，解决远端路段低信噪比下的特征提取难题。</w:t>
      </w:r>
    </w:p>
    <w:p w14:paraId="4D94D736" w14:textId="77777777" w:rsidR="00455074" w:rsidRDefault="00A45B6B">
      <w:pPr>
        <w:ind w:firstLine="422"/>
        <w:rPr>
          <w:b/>
          <w:bCs/>
          <w:szCs w:val="21"/>
        </w:rPr>
      </w:pPr>
      <w:r>
        <w:rPr>
          <w:b/>
          <w:bCs/>
          <w:szCs w:val="21"/>
        </w:rPr>
        <w:t>2</w:t>
      </w:r>
      <w:r>
        <w:rPr>
          <w:b/>
          <w:bCs/>
          <w:szCs w:val="21"/>
        </w:rPr>
        <w:t>）构建全工况标准化布设体系，补齐工程应用短板</w:t>
      </w:r>
    </w:p>
    <w:p w14:paraId="62111885" w14:textId="77777777" w:rsidR="00455074" w:rsidRDefault="00A45B6B">
      <w:pPr>
        <w:ind w:firstLine="420"/>
        <w:rPr>
          <w:szCs w:val="21"/>
        </w:rPr>
      </w:pPr>
      <w:r>
        <w:rPr>
          <w:szCs w:val="21"/>
        </w:rPr>
        <w:t>针对光缆布设工艺不规范、服役稳定性差、工程选型无依据的问题，未来需系统开展直埋、路面胶贴、护栏轧带绑扎、既有暗光纤复用</w:t>
      </w:r>
      <w:r>
        <w:rPr>
          <w:rFonts w:hint="eastAsia"/>
          <w:szCs w:val="21"/>
        </w:rPr>
        <w:t>4</w:t>
      </w:r>
      <w:r>
        <w:rPr>
          <w:szCs w:val="21"/>
        </w:rPr>
        <w:t>类主流布设方式的长期对比试验。量化不同布设工艺、不同道路基底对应的振动传递效率、信号信噪比与长期服役寿命，建立涵盖光缆选型、标准化施工、专项防护、质量验收的完整技术规范体系。同时，区分新建道路预埋</w:t>
      </w:r>
      <w:r>
        <w:rPr>
          <w:szCs w:val="21"/>
        </w:rPr>
        <w:lastRenderedPageBreak/>
        <w:t>施工、在役道路无损改造两大应用场景，明确各类布设方案的适用边界，界定贴敷工艺适配交通流量监测、直埋工艺适配结构损伤定量反演的应用场景，形成标准化工程实施方案。</w:t>
      </w:r>
    </w:p>
    <w:p w14:paraId="44E6815B" w14:textId="77777777" w:rsidR="00455074" w:rsidRDefault="00A45B6B">
      <w:pPr>
        <w:widowControl w:val="0"/>
        <w:snapToGrid/>
        <w:ind w:firstLine="422"/>
        <w:rPr>
          <w:b/>
          <w:bCs/>
          <w:szCs w:val="21"/>
        </w:rPr>
      </w:pPr>
      <w:r>
        <w:rPr>
          <w:b/>
          <w:bCs/>
          <w:szCs w:val="21"/>
        </w:rPr>
        <w:t>3</w:t>
      </w:r>
      <w:r>
        <w:rPr>
          <w:b/>
          <w:bCs/>
          <w:szCs w:val="21"/>
        </w:rPr>
        <w:t>）搭建车路一体化融合平台，实现智能化病害精准诊断</w:t>
      </w:r>
    </w:p>
    <w:p w14:paraId="59FD4E22" w14:textId="77777777" w:rsidR="00455074" w:rsidRDefault="00A45B6B">
      <w:pPr>
        <w:widowControl w:val="0"/>
        <w:snapToGrid/>
        <w:ind w:firstLine="420"/>
        <w:rPr>
          <w:szCs w:val="21"/>
        </w:rPr>
      </w:pPr>
      <w:r>
        <w:rPr>
          <w:szCs w:val="21"/>
        </w:rPr>
        <w:t>针对监测场景割裂、数据利用率低、病害诊断依赖人工的问题，未来需构建统一的</w:t>
      </w:r>
      <w:r>
        <w:rPr>
          <w:szCs w:val="21"/>
        </w:rPr>
        <w:t>DAS</w:t>
      </w:r>
      <w:r>
        <w:rPr>
          <w:szCs w:val="21"/>
        </w:rPr>
        <w:t>监测数据标准化接口，打通光纤传感、视频监控、毫米波雷达、路面传感器、人工巡检等多源数据壁垒，搭建集</w:t>
      </w:r>
      <w:r>
        <w:rPr>
          <w:b/>
          <w:bCs/>
          <w:szCs w:val="21"/>
        </w:rPr>
        <w:t>车流感知、结构健康监测、路域安防预警</w:t>
      </w:r>
      <w:r>
        <w:rPr>
          <w:szCs w:val="21"/>
        </w:rPr>
        <w:t>于一体的智慧公路云平台。基于长期时序监测数据，构建车辆荷载与道路结构损伤的耦合数值模型，建立多维度病害识别与分级预警阈值库，实现车流参数统计、路面开裂、路基沉降、桥梁振动、边坡滑移的同步研判。</w:t>
      </w:r>
    </w:p>
    <w:p w14:paraId="05C2A5AE" w14:textId="77777777" w:rsidR="00455074" w:rsidRDefault="00455074">
      <w:pPr>
        <w:widowControl w:val="0"/>
        <w:snapToGrid/>
        <w:ind w:firstLine="482"/>
        <w:rPr>
          <w:rStyle w:val="20"/>
          <w:rFonts w:ascii="黑体" w:hAnsi="黑体" w:cs="黑体"/>
          <w:szCs w:val="24"/>
        </w:rPr>
      </w:pPr>
    </w:p>
    <w:p w14:paraId="1A300D2B" w14:textId="77777777" w:rsidR="00455074" w:rsidRDefault="00A45B6B">
      <w:pPr>
        <w:widowControl w:val="0"/>
        <w:snapToGrid/>
        <w:ind w:firstLineChars="0" w:firstLine="0"/>
        <w:rPr>
          <w:rStyle w:val="20"/>
          <w:rFonts w:ascii="黑体" w:hAnsi="黑体" w:cs="黑体"/>
          <w:szCs w:val="24"/>
        </w:rPr>
      </w:pPr>
      <w:r>
        <w:rPr>
          <w:rStyle w:val="20"/>
          <w:rFonts w:ascii="黑体" w:hAnsi="黑体" w:cs="黑体" w:hint="eastAsia"/>
          <w:szCs w:val="24"/>
        </w:rPr>
        <w:t>5 结束语</w:t>
      </w:r>
    </w:p>
    <w:p w14:paraId="44F75DA1" w14:textId="77777777" w:rsidR="00455074" w:rsidRDefault="00A45B6B">
      <w:pPr>
        <w:widowControl w:val="0"/>
        <w:snapToGrid/>
        <w:ind w:firstLine="420"/>
        <w:rPr>
          <w:szCs w:val="21"/>
        </w:rPr>
      </w:pPr>
      <w:r>
        <w:rPr>
          <w:rFonts w:hint="eastAsia"/>
          <w:szCs w:val="21"/>
        </w:rPr>
        <w:t>本文对分布式声波传感技术在公路交通运行、道路结构健康及路域安全监测中的工作机理、系统结构、采集信号特征提取及处理、监测光缆的布设方式等进行了系统分析和讨论，并对</w:t>
      </w:r>
      <w:r>
        <w:rPr>
          <w:rFonts w:hint="eastAsia"/>
          <w:szCs w:val="21"/>
        </w:rPr>
        <w:t>DAS</w:t>
      </w:r>
      <w:r>
        <w:rPr>
          <w:rFonts w:hint="eastAsia"/>
          <w:szCs w:val="21"/>
        </w:rPr>
        <w:t>系统在车辆轨迹识别、速度监测、结构振动特征提取、异常扰动定位进行了现场实验测试。结果表明，</w:t>
      </w:r>
      <w:r>
        <w:rPr>
          <w:rFonts w:hint="eastAsia"/>
          <w:szCs w:val="21"/>
        </w:rPr>
        <w:t>DAS</w:t>
      </w:r>
      <w:r>
        <w:rPr>
          <w:rFonts w:hint="eastAsia"/>
          <w:szCs w:val="21"/>
        </w:rPr>
        <w:t>系统可通过光纤形成连续长距离、高密度的时空感知链路，使公路监测由离散点式转为连续全域监测础，从而实现公路交通状态、道路结构健康和安全的连续不间断监测。</w:t>
      </w:r>
      <w:r>
        <w:rPr>
          <w:rFonts w:hint="eastAsia"/>
          <w:szCs w:val="21"/>
        </w:rPr>
        <w:t>DAS</w:t>
      </w:r>
      <w:r>
        <w:rPr>
          <w:rFonts w:hint="eastAsia"/>
          <w:szCs w:val="21"/>
        </w:rPr>
        <w:t>系统在公路监测中的应用，需要综合考虑传感光缆的选型、光缆的布设方法、采集信号的处理及智能化运算等众多因数。将来，需要进一步研究物理机理约束的智能算法、标准化光缆布设、多源信息融合和长期基线建模，完善统一的数据与施工标准。</w:t>
      </w:r>
    </w:p>
    <w:p w14:paraId="3E4367D9" w14:textId="77777777" w:rsidR="00455074" w:rsidRDefault="00455074">
      <w:pPr>
        <w:widowControl w:val="0"/>
        <w:snapToGrid/>
        <w:ind w:firstLineChars="0" w:firstLine="0"/>
        <w:rPr>
          <w:szCs w:val="21"/>
        </w:rPr>
      </w:pPr>
    </w:p>
    <w:p w14:paraId="7889FF9F" w14:textId="77777777" w:rsidR="00455074" w:rsidRDefault="00A45B6B">
      <w:pPr>
        <w:widowControl w:val="0"/>
        <w:snapToGrid/>
        <w:ind w:firstLineChars="0" w:firstLine="0"/>
        <w:rPr>
          <w:b/>
          <w:kern w:val="2"/>
          <w:szCs w:val="21"/>
        </w:rPr>
      </w:pPr>
      <w:r>
        <w:rPr>
          <w:b/>
          <w:kern w:val="2"/>
          <w:szCs w:val="21"/>
        </w:rPr>
        <w:t>参考文献：</w:t>
      </w:r>
    </w:p>
    <w:p w14:paraId="61207D42" w14:textId="77777777" w:rsidR="00455074" w:rsidRDefault="00A45B6B">
      <w:pPr>
        <w:pStyle w:val="af4"/>
        <w:numPr>
          <w:ilvl w:val="0"/>
          <w:numId w:val="1"/>
        </w:numPr>
        <w:spacing w:line="288" w:lineRule="auto"/>
        <w:ind w:left="0" w:firstLineChars="0" w:firstLine="0"/>
        <w:rPr>
          <w:kern w:val="2"/>
          <w:szCs w:val="21"/>
        </w:rPr>
      </w:pPr>
      <w:bookmarkStart w:id="40" w:name="_Ref233842044"/>
      <w:r>
        <w:rPr>
          <w:kern w:val="2"/>
          <w:szCs w:val="21"/>
        </w:rPr>
        <w:t xml:space="preserve">Zhao Jingnan, Ma </w:t>
      </w:r>
      <w:r>
        <w:rPr>
          <w:rFonts w:hint="eastAsia"/>
          <w:kern w:val="2"/>
          <w:szCs w:val="21"/>
        </w:rPr>
        <w:t>Tianju</w:t>
      </w:r>
      <w:r>
        <w:rPr>
          <w:kern w:val="2"/>
          <w:szCs w:val="21"/>
        </w:rPr>
        <w:t>, Zhang Fujie. Distributed optical fiber sensors for pavement Engineering: A-State-of-Art review[J]. Measurement, 2025, 246: 116732.</w:t>
      </w:r>
      <w:bookmarkEnd w:id="40"/>
    </w:p>
    <w:p w14:paraId="3672289D" w14:textId="77777777" w:rsidR="00455074" w:rsidRDefault="00A45B6B">
      <w:pPr>
        <w:pStyle w:val="af4"/>
        <w:numPr>
          <w:ilvl w:val="0"/>
          <w:numId w:val="1"/>
        </w:numPr>
        <w:spacing w:line="288" w:lineRule="auto"/>
        <w:ind w:left="0" w:firstLineChars="0" w:firstLine="0"/>
        <w:rPr>
          <w:kern w:val="2"/>
          <w:szCs w:val="21"/>
        </w:rPr>
      </w:pPr>
      <w:bookmarkStart w:id="41" w:name="_Ref233842051"/>
      <w:r>
        <w:rPr>
          <w:kern w:val="2"/>
          <w:szCs w:val="21"/>
        </w:rPr>
        <w:t>Senkans U, Silkans N, Merijs-Meri R, et al. Fiber-Optical-Sensor-Based Technologies for Future Smart-Road-Based Transportation Infrastructure Applications[</w:t>
      </w:r>
      <w:r>
        <w:rPr>
          <w:rFonts w:hint="eastAsia"/>
          <w:kern w:val="2"/>
          <w:szCs w:val="21"/>
        </w:rPr>
        <w:t>J</w:t>
      </w:r>
      <w:r>
        <w:rPr>
          <w:kern w:val="2"/>
          <w:szCs w:val="21"/>
        </w:rPr>
        <w:t>]//Photonics. MDPI, 2026, 13(2): 106.</w:t>
      </w:r>
      <w:bookmarkEnd w:id="41"/>
    </w:p>
    <w:p w14:paraId="548CEE7E" w14:textId="77777777" w:rsidR="00455074" w:rsidRDefault="00A45B6B">
      <w:pPr>
        <w:pStyle w:val="af4"/>
        <w:numPr>
          <w:ilvl w:val="0"/>
          <w:numId w:val="1"/>
        </w:numPr>
        <w:spacing w:line="288" w:lineRule="auto"/>
        <w:ind w:left="0" w:firstLineChars="0" w:firstLine="0"/>
        <w:rPr>
          <w:kern w:val="2"/>
          <w:szCs w:val="21"/>
        </w:rPr>
      </w:pPr>
      <w:bookmarkStart w:id="42" w:name="_Ref233842058"/>
      <w:r>
        <w:rPr>
          <w:kern w:val="2"/>
          <w:szCs w:val="21"/>
        </w:rPr>
        <w:t>Lv Bin, Peng Yuqing, Du C</w:t>
      </w:r>
      <w:r>
        <w:rPr>
          <w:rFonts w:hint="eastAsia"/>
          <w:kern w:val="2"/>
          <w:szCs w:val="21"/>
        </w:rPr>
        <w:t>ong</w:t>
      </w:r>
      <w:r>
        <w:rPr>
          <w:kern w:val="2"/>
          <w:szCs w:val="21"/>
        </w:rPr>
        <w:t>, et al. Review of Brillouin distributed sensing for structural monitoring in transportation Infrastructure[J]. Infrastructures, 2025, 10(6): 148.</w:t>
      </w:r>
      <w:bookmarkEnd w:id="42"/>
    </w:p>
    <w:p w14:paraId="3DA64159" w14:textId="77777777" w:rsidR="00455074" w:rsidRDefault="00A45B6B">
      <w:pPr>
        <w:pStyle w:val="af4"/>
        <w:numPr>
          <w:ilvl w:val="0"/>
          <w:numId w:val="1"/>
        </w:numPr>
        <w:spacing w:line="288" w:lineRule="auto"/>
        <w:ind w:left="0" w:firstLineChars="0" w:firstLine="0"/>
        <w:rPr>
          <w:kern w:val="2"/>
          <w:szCs w:val="21"/>
        </w:rPr>
      </w:pPr>
      <w:bookmarkStart w:id="43" w:name="_Ref233842074"/>
      <w:r>
        <w:rPr>
          <w:kern w:val="2"/>
          <w:szCs w:val="21"/>
        </w:rPr>
        <w:t>Macchiarulo V, Milillo P, Blenkinsopp C, et al. Monitoring deformations of infrastructure networks: A fully automated GIS integration and analysis of InSAR time-series[J]. Structural Health Monitoring, 2022, 21(4): 1849-1878.</w:t>
      </w:r>
      <w:bookmarkEnd w:id="43"/>
    </w:p>
    <w:p w14:paraId="2E25CA8D" w14:textId="77777777" w:rsidR="00455074" w:rsidRDefault="00A45B6B">
      <w:pPr>
        <w:pStyle w:val="af4"/>
        <w:numPr>
          <w:ilvl w:val="0"/>
          <w:numId w:val="1"/>
        </w:numPr>
        <w:spacing w:line="288" w:lineRule="auto"/>
        <w:ind w:left="0" w:firstLineChars="0" w:firstLine="0"/>
        <w:rPr>
          <w:kern w:val="2"/>
          <w:szCs w:val="21"/>
        </w:rPr>
      </w:pPr>
      <w:bookmarkStart w:id="44" w:name="_Ref233842076"/>
      <w:r>
        <w:rPr>
          <w:kern w:val="2"/>
          <w:szCs w:val="21"/>
        </w:rPr>
        <w:t>Wang S</w:t>
      </w:r>
      <w:r>
        <w:rPr>
          <w:rFonts w:hint="eastAsia"/>
          <w:kern w:val="2"/>
          <w:szCs w:val="21"/>
        </w:rPr>
        <w:t>hun</w:t>
      </w:r>
      <w:r>
        <w:rPr>
          <w:kern w:val="2"/>
          <w:szCs w:val="21"/>
        </w:rPr>
        <w:t>, Yang Zhihong, Mohanty Lipi, et al. Distributed fiber optic sensing for internal strain monitoring in full life cycle of concrete slabs with BOFDA technology[J]. Engineering Structures, 2024, 305: 117798.</w:t>
      </w:r>
      <w:bookmarkEnd w:id="44"/>
    </w:p>
    <w:p w14:paraId="7AD8472E" w14:textId="77777777" w:rsidR="00455074" w:rsidRDefault="00A45B6B">
      <w:pPr>
        <w:pStyle w:val="af4"/>
        <w:numPr>
          <w:ilvl w:val="0"/>
          <w:numId w:val="1"/>
        </w:numPr>
        <w:spacing w:line="288" w:lineRule="auto"/>
        <w:ind w:left="0" w:firstLineChars="0" w:firstLine="0"/>
        <w:rPr>
          <w:kern w:val="2"/>
          <w:szCs w:val="21"/>
        </w:rPr>
      </w:pPr>
      <w:bookmarkStart w:id="45" w:name="_Ref233842083"/>
      <w:r>
        <w:rPr>
          <w:kern w:val="2"/>
          <w:szCs w:val="21"/>
        </w:rPr>
        <w:t>Ranyal E, Sadhu A, Jain K. Road condition monitoring using smart sensing and artificial intelligence: A review[J]. Sensors, 2022, 22(8): 3044.</w:t>
      </w:r>
      <w:bookmarkEnd w:id="45"/>
    </w:p>
    <w:p w14:paraId="562FA63F" w14:textId="77777777" w:rsidR="00455074" w:rsidRDefault="00A45B6B">
      <w:pPr>
        <w:pStyle w:val="af4"/>
        <w:numPr>
          <w:ilvl w:val="0"/>
          <w:numId w:val="1"/>
        </w:numPr>
        <w:spacing w:line="288" w:lineRule="auto"/>
        <w:ind w:left="0" w:firstLineChars="0" w:firstLine="0"/>
        <w:rPr>
          <w:kern w:val="2"/>
          <w:szCs w:val="21"/>
        </w:rPr>
      </w:pPr>
      <w:bookmarkStart w:id="46" w:name="_Ref233842090"/>
      <w:r>
        <w:rPr>
          <w:kern w:val="2"/>
          <w:szCs w:val="21"/>
        </w:rPr>
        <w:t>Xin X</w:t>
      </w:r>
      <w:r>
        <w:rPr>
          <w:rFonts w:hint="eastAsia"/>
          <w:kern w:val="2"/>
          <w:szCs w:val="21"/>
        </w:rPr>
        <w:t>ue</w:t>
      </w:r>
      <w:r>
        <w:rPr>
          <w:kern w:val="2"/>
          <w:szCs w:val="21"/>
        </w:rPr>
        <w:t>, Hui J</w:t>
      </w:r>
      <w:r>
        <w:rPr>
          <w:rFonts w:hint="eastAsia"/>
          <w:kern w:val="2"/>
          <w:szCs w:val="21"/>
        </w:rPr>
        <w:t>unyao</w:t>
      </w:r>
      <w:r>
        <w:rPr>
          <w:kern w:val="2"/>
          <w:szCs w:val="21"/>
        </w:rPr>
        <w:t>, Chen L</w:t>
      </w:r>
      <w:r>
        <w:rPr>
          <w:rFonts w:hint="eastAsia"/>
          <w:kern w:val="2"/>
          <w:szCs w:val="21"/>
        </w:rPr>
        <w:t>in</w:t>
      </w:r>
      <w:r>
        <w:rPr>
          <w:kern w:val="2"/>
          <w:szCs w:val="21"/>
        </w:rPr>
        <w:t>, et al. Monitoring the internal conditions of road structures by smart sensing and in situ monitoring technology: a review[J]. Applied Sciences, 2025, 15(7): 3945.</w:t>
      </w:r>
      <w:bookmarkEnd w:id="46"/>
    </w:p>
    <w:p w14:paraId="7D09A682" w14:textId="77777777" w:rsidR="00455074" w:rsidRDefault="00A45B6B">
      <w:pPr>
        <w:pStyle w:val="af4"/>
        <w:numPr>
          <w:ilvl w:val="0"/>
          <w:numId w:val="1"/>
        </w:numPr>
        <w:spacing w:line="288" w:lineRule="auto"/>
        <w:ind w:left="0" w:firstLineChars="0" w:firstLine="0"/>
        <w:rPr>
          <w:kern w:val="2"/>
          <w:szCs w:val="21"/>
        </w:rPr>
      </w:pPr>
      <w:bookmarkStart w:id="47" w:name="_Ref233842097"/>
      <w:r>
        <w:rPr>
          <w:kern w:val="2"/>
          <w:szCs w:val="21"/>
        </w:rPr>
        <w:t>Gui X</w:t>
      </w:r>
      <w:r>
        <w:rPr>
          <w:rFonts w:hint="eastAsia"/>
          <w:kern w:val="2"/>
          <w:szCs w:val="21"/>
        </w:rPr>
        <w:t>in</w:t>
      </w:r>
      <w:r>
        <w:rPr>
          <w:kern w:val="2"/>
          <w:szCs w:val="21"/>
        </w:rPr>
        <w:t>, Zeng F</w:t>
      </w:r>
      <w:r>
        <w:rPr>
          <w:rFonts w:hint="eastAsia"/>
          <w:kern w:val="2"/>
          <w:szCs w:val="21"/>
        </w:rPr>
        <w:t>anhao</w:t>
      </w:r>
      <w:r>
        <w:rPr>
          <w:kern w:val="2"/>
          <w:szCs w:val="21"/>
        </w:rPr>
        <w:t xml:space="preserve">, Zhang </w:t>
      </w:r>
      <w:r>
        <w:rPr>
          <w:rFonts w:hint="eastAsia"/>
          <w:kern w:val="2"/>
          <w:szCs w:val="21"/>
        </w:rPr>
        <w:t>Yunchuan </w:t>
      </w:r>
      <w:r>
        <w:rPr>
          <w:kern w:val="2"/>
          <w:szCs w:val="21"/>
        </w:rPr>
        <w:t>, et al. Intelligent Distributed Optical Fiber Sensing in Transportation Infrastructures: Research Progress, Applications, and Challenges[J]. arXiv preprint arXiv:2601.13891, 2026.</w:t>
      </w:r>
      <w:bookmarkEnd w:id="47"/>
    </w:p>
    <w:p w14:paraId="6F80E4F1" w14:textId="77777777" w:rsidR="00455074" w:rsidRDefault="00A45B6B">
      <w:pPr>
        <w:pStyle w:val="af4"/>
        <w:numPr>
          <w:ilvl w:val="0"/>
          <w:numId w:val="1"/>
        </w:numPr>
        <w:spacing w:line="288" w:lineRule="auto"/>
        <w:ind w:left="0" w:firstLineChars="0" w:firstLine="0"/>
        <w:rPr>
          <w:kern w:val="2"/>
          <w:szCs w:val="21"/>
        </w:rPr>
      </w:pPr>
      <w:bookmarkStart w:id="48" w:name="_Ref233842173"/>
      <w:r>
        <w:rPr>
          <w:kern w:val="2"/>
          <w:szCs w:val="21"/>
        </w:rPr>
        <w:t>Bado M F, Casas J R. A review of recent distributed optical fiber sensors applications for civil engineering structural health monitoring[J]. Sensors, 2021, 21(5): 1818.</w:t>
      </w:r>
      <w:bookmarkEnd w:id="48"/>
    </w:p>
    <w:p w14:paraId="3EDBEC5C" w14:textId="77777777" w:rsidR="00455074" w:rsidRDefault="00A45B6B">
      <w:pPr>
        <w:pStyle w:val="af4"/>
        <w:numPr>
          <w:ilvl w:val="0"/>
          <w:numId w:val="1"/>
        </w:numPr>
        <w:spacing w:line="288" w:lineRule="auto"/>
        <w:ind w:left="0" w:firstLineChars="0" w:firstLine="0"/>
        <w:rPr>
          <w:kern w:val="2"/>
          <w:szCs w:val="21"/>
        </w:rPr>
      </w:pPr>
      <w:bookmarkStart w:id="49" w:name="_Ref233842175"/>
      <w:r>
        <w:rPr>
          <w:kern w:val="2"/>
          <w:szCs w:val="21"/>
        </w:rPr>
        <w:t>Li Z</w:t>
      </w:r>
      <w:r>
        <w:rPr>
          <w:rFonts w:hint="eastAsia"/>
          <w:kern w:val="2"/>
          <w:szCs w:val="21"/>
        </w:rPr>
        <w:t>hen</w:t>
      </w:r>
      <w:r>
        <w:rPr>
          <w:kern w:val="2"/>
          <w:szCs w:val="21"/>
        </w:rPr>
        <w:t>, Yuan K</w:t>
      </w:r>
      <w:r>
        <w:rPr>
          <w:rFonts w:hint="eastAsia"/>
          <w:kern w:val="2"/>
          <w:szCs w:val="21"/>
        </w:rPr>
        <w:t>un</w:t>
      </w:r>
      <w:r>
        <w:rPr>
          <w:kern w:val="2"/>
          <w:szCs w:val="21"/>
        </w:rPr>
        <w:t>, Zhao L</w:t>
      </w:r>
      <w:r>
        <w:rPr>
          <w:rFonts w:hint="eastAsia"/>
          <w:kern w:val="2"/>
          <w:szCs w:val="21"/>
        </w:rPr>
        <w:t>iguo</w:t>
      </w:r>
      <w:r>
        <w:rPr>
          <w:kern w:val="2"/>
          <w:szCs w:val="21"/>
        </w:rPr>
        <w:t>. Optical-fiber-embedded beam for subgrade distributed settlement monitoring: Experiments and numerical modeling[J]. Applied Sciences, 2023, 13(16): 9047.</w:t>
      </w:r>
      <w:bookmarkEnd w:id="49"/>
    </w:p>
    <w:p w14:paraId="1607542D" w14:textId="77777777" w:rsidR="00455074" w:rsidRDefault="00A45B6B">
      <w:pPr>
        <w:pStyle w:val="af4"/>
        <w:numPr>
          <w:ilvl w:val="0"/>
          <w:numId w:val="1"/>
        </w:numPr>
        <w:spacing w:line="288" w:lineRule="auto"/>
        <w:ind w:left="0" w:firstLineChars="0" w:firstLine="0"/>
        <w:rPr>
          <w:kern w:val="2"/>
          <w:szCs w:val="21"/>
        </w:rPr>
      </w:pPr>
      <w:bookmarkStart w:id="50" w:name="_Ref233842182"/>
      <w:r>
        <w:rPr>
          <w:kern w:val="2"/>
          <w:szCs w:val="21"/>
        </w:rPr>
        <w:lastRenderedPageBreak/>
        <w:t>Deng J</w:t>
      </w:r>
      <w:r>
        <w:rPr>
          <w:rFonts w:hint="eastAsia"/>
          <w:kern w:val="2"/>
          <w:szCs w:val="21"/>
        </w:rPr>
        <w:t>ingxiang</w:t>
      </w:r>
      <w:r>
        <w:rPr>
          <w:kern w:val="2"/>
          <w:szCs w:val="21"/>
        </w:rPr>
        <w:t>, Jin L</w:t>
      </w:r>
      <w:r>
        <w:rPr>
          <w:rFonts w:hint="eastAsia"/>
          <w:kern w:val="2"/>
          <w:szCs w:val="21"/>
        </w:rPr>
        <w:t>ong</w:t>
      </w:r>
      <w:r>
        <w:rPr>
          <w:kern w:val="2"/>
          <w:szCs w:val="21"/>
        </w:rPr>
        <w:t xml:space="preserve">, Wang </w:t>
      </w:r>
      <w:r>
        <w:rPr>
          <w:rFonts w:hint="eastAsia"/>
          <w:kern w:val="2"/>
          <w:szCs w:val="21"/>
        </w:rPr>
        <w:t>Hongzhi</w:t>
      </w:r>
      <w:r>
        <w:rPr>
          <w:kern w:val="2"/>
          <w:szCs w:val="21"/>
        </w:rPr>
        <w:t>, et al. Distributed acoustic sensing for road traffic monitoring: Principles, signal processing, and emerging applications[J]. Infrastructures, 2025, 10(9): 228.</w:t>
      </w:r>
      <w:bookmarkEnd w:id="50"/>
    </w:p>
    <w:p w14:paraId="3234F227" w14:textId="77777777" w:rsidR="00455074" w:rsidRDefault="00A45B6B">
      <w:pPr>
        <w:pStyle w:val="af4"/>
        <w:numPr>
          <w:ilvl w:val="0"/>
          <w:numId w:val="1"/>
        </w:numPr>
        <w:spacing w:line="288" w:lineRule="auto"/>
        <w:ind w:left="0" w:firstLineChars="0" w:firstLine="0"/>
        <w:rPr>
          <w:kern w:val="2"/>
          <w:szCs w:val="21"/>
        </w:rPr>
      </w:pPr>
      <w:bookmarkStart w:id="51" w:name="_Ref233842198"/>
      <w:r>
        <w:rPr>
          <w:rFonts w:hint="eastAsia"/>
          <w:kern w:val="2"/>
          <w:szCs w:val="21"/>
        </w:rPr>
        <w:t>桂鑫</w:t>
      </w:r>
      <w:r>
        <w:rPr>
          <w:rFonts w:hint="eastAsia"/>
          <w:kern w:val="2"/>
          <w:szCs w:val="21"/>
        </w:rPr>
        <w:t xml:space="preserve">, </w:t>
      </w:r>
      <w:r>
        <w:rPr>
          <w:rFonts w:hint="eastAsia"/>
          <w:kern w:val="2"/>
          <w:szCs w:val="21"/>
        </w:rPr>
        <w:t>王一鸣</w:t>
      </w:r>
      <w:r>
        <w:rPr>
          <w:rFonts w:hint="eastAsia"/>
          <w:kern w:val="2"/>
          <w:szCs w:val="21"/>
        </w:rPr>
        <w:t xml:space="preserve">, </w:t>
      </w:r>
      <w:r>
        <w:rPr>
          <w:rFonts w:hint="eastAsia"/>
          <w:kern w:val="2"/>
          <w:szCs w:val="21"/>
        </w:rPr>
        <w:t>江河</w:t>
      </w:r>
      <w:r>
        <w:rPr>
          <w:rFonts w:hint="eastAsia"/>
          <w:kern w:val="2"/>
          <w:szCs w:val="21"/>
        </w:rPr>
        <w:t xml:space="preserve">, </w:t>
      </w:r>
      <w:r>
        <w:rPr>
          <w:rFonts w:hint="eastAsia"/>
          <w:kern w:val="2"/>
          <w:szCs w:val="21"/>
        </w:rPr>
        <w:t>等</w:t>
      </w:r>
      <w:r>
        <w:rPr>
          <w:rFonts w:hint="eastAsia"/>
          <w:kern w:val="2"/>
          <w:szCs w:val="21"/>
        </w:rPr>
        <w:t xml:space="preserve">. </w:t>
      </w:r>
      <w:r>
        <w:rPr>
          <w:rFonts w:hint="eastAsia"/>
          <w:kern w:val="2"/>
          <w:szCs w:val="21"/>
        </w:rPr>
        <w:t>大规模光栅阵列光纤传感网络与应用综述</w:t>
      </w:r>
      <w:r>
        <w:rPr>
          <w:rFonts w:hint="eastAsia"/>
          <w:kern w:val="2"/>
          <w:szCs w:val="21"/>
        </w:rPr>
        <w:t>[J]. Laser &amp; Optoelectronics Progress, 2025, 62(13): 1306012.</w:t>
      </w:r>
      <w:bookmarkEnd w:id="51"/>
    </w:p>
    <w:p w14:paraId="343A97AA" w14:textId="77777777" w:rsidR="00455074" w:rsidRDefault="00A45B6B">
      <w:pPr>
        <w:pStyle w:val="af4"/>
        <w:numPr>
          <w:ilvl w:val="0"/>
          <w:numId w:val="1"/>
        </w:numPr>
        <w:spacing w:line="288" w:lineRule="auto"/>
        <w:ind w:left="0" w:firstLineChars="0" w:firstLine="0"/>
        <w:rPr>
          <w:kern w:val="2"/>
          <w:szCs w:val="21"/>
        </w:rPr>
      </w:pPr>
      <w:bookmarkStart w:id="52" w:name="_Ref233842221"/>
      <w:r>
        <w:rPr>
          <w:kern w:val="2"/>
          <w:szCs w:val="21"/>
        </w:rPr>
        <w:t xml:space="preserve">An </w:t>
      </w:r>
      <w:r>
        <w:rPr>
          <w:rFonts w:hint="eastAsia"/>
          <w:kern w:val="2"/>
          <w:szCs w:val="21"/>
        </w:rPr>
        <w:t>Yuhang</w:t>
      </w:r>
      <w:r>
        <w:rPr>
          <w:kern w:val="2"/>
          <w:szCs w:val="21"/>
        </w:rPr>
        <w:t>, Ma J</w:t>
      </w:r>
      <w:r>
        <w:rPr>
          <w:rFonts w:hint="eastAsia"/>
          <w:kern w:val="2"/>
          <w:szCs w:val="21"/>
        </w:rPr>
        <w:t>ihui</w:t>
      </w:r>
      <w:r>
        <w:rPr>
          <w:kern w:val="2"/>
          <w:szCs w:val="21"/>
        </w:rPr>
        <w:t xml:space="preserve">, Xu </w:t>
      </w:r>
      <w:r>
        <w:rPr>
          <w:rFonts w:hint="eastAsia"/>
          <w:kern w:val="2"/>
          <w:szCs w:val="21"/>
        </w:rPr>
        <w:t>Tuanwei</w:t>
      </w:r>
      <w:r>
        <w:rPr>
          <w:kern w:val="2"/>
          <w:szCs w:val="21"/>
        </w:rPr>
        <w:t xml:space="preserve">, et al. </w:t>
      </w:r>
      <w:bookmarkStart w:id="53" w:name="OLE_LINK104"/>
      <w:r>
        <w:rPr>
          <w:kern w:val="2"/>
          <w:szCs w:val="21"/>
        </w:rPr>
        <w:t>Traffic vibration signal analysis of DAS fiber optic cables with different coupling based on an improved wavelet thresholding method</w:t>
      </w:r>
      <w:bookmarkEnd w:id="53"/>
      <w:r>
        <w:rPr>
          <w:kern w:val="2"/>
          <w:szCs w:val="21"/>
        </w:rPr>
        <w:t>[J]. Sensors, 2023, 23(12): 5727.</w:t>
      </w:r>
      <w:bookmarkEnd w:id="52"/>
    </w:p>
    <w:p w14:paraId="46D911E6" w14:textId="77777777" w:rsidR="00455074" w:rsidRDefault="00A45B6B">
      <w:pPr>
        <w:pStyle w:val="af4"/>
        <w:numPr>
          <w:ilvl w:val="0"/>
          <w:numId w:val="1"/>
        </w:numPr>
        <w:spacing w:line="288" w:lineRule="auto"/>
        <w:ind w:left="0" w:firstLineChars="0" w:firstLine="0"/>
        <w:rPr>
          <w:kern w:val="2"/>
          <w:szCs w:val="21"/>
        </w:rPr>
      </w:pPr>
      <w:bookmarkStart w:id="54" w:name="_Ref233842314"/>
      <w:r>
        <w:rPr>
          <w:rFonts w:hint="eastAsia"/>
          <w:kern w:val="2"/>
          <w:szCs w:val="21"/>
        </w:rPr>
        <w:t>张旭苹</w:t>
      </w:r>
      <w:r>
        <w:rPr>
          <w:rFonts w:hint="eastAsia"/>
          <w:kern w:val="2"/>
          <w:szCs w:val="21"/>
        </w:rPr>
        <w:t xml:space="preserve">, </w:t>
      </w:r>
      <w:r>
        <w:rPr>
          <w:rFonts w:hint="eastAsia"/>
          <w:kern w:val="2"/>
          <w:szCs w:val="21"/>
        </w:rPr>
        <w:t>丁哲文</w:t>
      </w:r>
      <w:r>
        <w:rPr>
          <w:rFonts w:hint="eastAsia"/>
          <w:kern w:val="2"/>
          <w:szCs w:val="21"/>
        </w:rPr>
        <w:t xml:space="preserve">, </w:t>
      </w:r>
      <w:r>
        <w:rPr>
          <w:rFonts w:hint="eastAsia"/>
          <w:kern w:val="2"/>
          <w:szCs w:val="21"/>
        </w:rPr>
        <w:t>洪瑞</w:t>
      </w:r>
      <w:r>
        <w:rPr>
          <w:rFonts w:hint="eastAsia"/>
          <w:kern w:val="2"/>
          <w:szCs w:val="21"/>
        </w:rPr>
        <w:t xml:space="preserve">, </w:t>
      </w:r>
      <w:r>
        <w:rPr>
          <w:rFonts w:hint="eastAsia"/>
          <w:kern w:val="2"/>
          <w:szCs w:val="21"/>
        </w:rPr>
        <w:t>等</w:t>
      </w:r>
      <w:r>
        <w:rPr>
          <w:rFonts w:hint="eastAsia"/>
          <w:kern w:val="2"/>
          <w:szCs w:val="21"/>
        </w:rPr>
        <w:t xml:space="preserve">. </w:t>
      </w:r>
      <w:r>
        <w:rPr>
          <w:rFonts w:hint="eastAsia"/>
          <w:kern w:val="2"/>
          <w:szCs w:val="21"/>
        </w:rPr>
        <w:t>相位敏感光时域反射分布式光纤传感技术</w:t>
      </w:r>
      <w:r>
        <w:rPr>
          <w:rFonts w:hint="eastAsia"/>
          <w:kern w:val="2"/>
          <w:szCs w:val="21"/>
        </w:rPr>
        <w:t xml:space="preserve">[J]. </w:t>
      </w:r>
      <w:r>
        <w:rPr>
          <w:rFonts w:hint="eastAsia"/>
          <w:kern w:val="2"/>
          <w:szCs w:val="21"/>
        </w:rPr>
        <w:t>光学学报</w:t>
      </w:r>
      <w:r>
        <w:rPr>
          <w:rFonts w:hint="eastAsia"/>
          <w:kern w:val="2"/>
          <w:szCs w:val="21"/>
        </w:rPr>
        <w:t>, 2021, 41(1): 0106004.</w:t>
      </w:r>
      <w:bookmarkEnd w:id="54"/>
    </w:p>
    <w:p w14:paraId="109086CA" w14:textId="77777777" w:rsidR="00455074" w:rsidRDefault="00A45B6B">
      <w:pPr>
        <w:pStyle w:val="af4"/>
        <w:numPr>
          <w:ilvl w:val="0"/>
          <w:numId w:val="1"/>
        </w:numPr>
        <w:spacing w:line="288" w:lineRule="auto"/>
        <w:ind w:left="0" w:firstLineChars="0" w:firstLine="0"/>
        <w:rPr>
          <w:kern w:val="2"/>
          <w:szCs w:val="21"/>
        </w:rPr>
      </w:pPr>
      <w:bookmarkStart w:id="55" w:name="_Ref233842322"/>
      <w:r>
        <w:rPr>
          <w:rFonts w:hint="eastAsia"/>
          <w:kern w:val="2"/>
          <w:szCs w:val="21"/>
        </w:rPr>
        <w:t>张驰</w:t>
      </w:r>
      <w:r>
        <w:rPr>
          <w:rFonts w:hint="eastAsia"/>
          <w:kern w:val="2"/>
          <w:szCs w:val="21"/>
        </w:rPr>
        <w:t xml:space="preserve">, </w:t>
      </w:r>
      <w:r>
        <w:rPr>
          <w:rFonts w:hint="eastAsia"/>
          <w:kern w:val="2"/>
          <w:szCs w:val="21"/>
        </w:rPr>
        <w:t>邹宁睦</w:t>
      </w:r>
      <w:r>
        <w:rPr>
          <w:rFonts w:hint="eastAsia"/>
          <w:kern w:val="2"/>
          <w:szCs w:val="21"/>
        </w:rPr>
        <w:t xml:space="preserve">, </w:t>
      </w:r>
      <w:r>
        <w:rPr>
          <w:rFonts w:hint="eastAsia"/>
          <w:kern w:val="2"/>
          <w:szCs w:val="21"/>
        </w:rPr>
        <w:t>宋金玉</w:t>
      </w:r>
      <w:r>
        <w:rPr>
          <w:rFonts w:hint="eastAsia"/>
          <w:kern w:val="2"/>
          <w:szCs w:val="21"/>
        </w:rPr>
        <w:t xml:space="preserve">, </w:t>
      </w:r>
      <w:r>
        <w:rPr>
          <w:rFonts w:hint="eastAsia"/>
          <w:kern w:val="2"/>
          <w:szCs w:val="21"/>
        </w:rPr>
        <w:t>等</w:t>
      </w:r>
      <w:r>
        <w:rPr>
          <w:rFonts w:hint="eastAsia"/>
          <w:kern w:val="2"/>
          <w:szCs w:val="21"/>
        </w:rPr>
        <w:t xml:space="preserve">. </w:t>
      </w:r>
      <w:r>
        <w:rPr>
          <w:rFonts w:hint="eastAsia"/>
          <w:kern w:val="2"/>
          <w:szCs w:val="21"/>
        </w:rPr>
        <w:t>Φ</w:t>
      </w:r>
      <w:r>
        <w:rPr>
          <w:rFonts w:hint="eastAsia"/>
          <w:kern w:val="2"/>
          <w:szCs w:val="21"/>
        </w:rPr>
        <w:t xml:space="preserve">-OTDR </w:t>
      </w:r>
      <w:r>
        <w:rPr>
          <w:rFonts w:hint="eastAsia"/>
          <w:kern w:val="2"/>
          <w:szCs w:val="21"/>
        </w:rPr>
        <w:t>系统的数字信号处理及应用</w:t>
      </w:r>
      <w:r>
        <w:rPr>
          <w:rFonts w:hint="eastAsia"/>
          <w:kern w:val="2"/>
          <w:szCs w:val="21"/>
        </w:rPr>
        <w:t xml:space="preserve">[J]. </w:t>
      </w:r>
      <w:r>
        <w:rPr>
          <w:rFonts w:hint="eastAsia"/>
          <w:kern w:val="2"/>
          <w:szCs w:val="21"/>
        </w:rPr>
        <w:t>光电工程</w:t>
      </w:r>
      <w:r>
        <w:rPr>
          <w:rFonts w:hint="eastAsia"/>
          <w:kern w:val="2"/>
          <w:szCs w:val="21"/>
        </w:rPr>
        <w:t>, 2023, 50(2): 220088-1-220088-18.</w:t>
      </w:r>
      <w:bookmarkEnd w:id="55"/>
    </w:p>
    <w:p w14:paraId="138FABE2" w14:textId="77777777" w:rsidR="00455074" w:rsidRDefault="00A45B6B">
      <w:pPr>
        <w:pStyle w:val="af4"/>
        <w:numPr>
          <w:ilvl w:val="0"/>
          <w:numId w:val="1"/>
        </w:numPr>
        <w:spacing w:line="288" w:lineRule="auto"/>
        <w:ind w:left="0" w:firstLineChars="0" w:firstLine="0"/>
        <w:rPr>
          <w:kern w:val="2"/>
          <w:szCs w:val="21"/>
        </w:rPr>
      </w:pPr>
      <w:bookmarkStart w:id="56" w:name="_Ref233842451"/>
      <w:r>
        <w:rPr>
          <w:kern w:val="2"/>
          <w:szCs w:val="21"/>
        </w:rPr>
        <w:t>Cardenas J J, Al-Qadi I L. Impact of road roughness on tire–pavement contact stresses during vehicle maneuvering[J]. Journal of Engineering Mechanics, 2025, 151(2): 04024115.</w:t>
      </w:r>
      <w:bookmarkEnd w:id="56"/>
    </w:p>
    <w:p w14:paraId="09C1AEEF" w14:textId="77777777" w:rsidR="00455074" w:rsidRDefault="00A45B6B">
      <w:pPr>
        <w:pStyle w:val="af4"/>
        <w:numPr>
          <w:ilvl w:val="0"/>
          <w:numId w:val="1"/>
        </w:numPr>
        <w:spacing w:line="288" w:lineRule="auto"/>
        <w:ind w:left="0" w:firstLineChars="0" w:firstLine="0"/>
        <w:rPr>
          <w:kern w:val="2"/>
          <w:szCs w:val="21"/>
        </w:rPr>
      </w:pPr>
      <w:bookmarkStart w:id="57" w:name="_Ref233842465"/>
      <w:r>
        <w:rPr>
          <w:kern w:val="2"/>
          <w:szCs w:val="21"/>
        </w:rPr>
        <w:t>van den Ende M, Ferrari A, Sladen A, et al. Deep deconvolution for traffic analysis with distributed acoustic sensing data[J]. IEEE Transactions on Intelligent Transportation Systems, 2022, 24(3): 2947-2962.</w:t>
      </w:r>
      <w:bookmarkEnd w:id="57"/>
    </w:p>
    <w:p w14:paraId="6660B248" w14:textId="77777777" w:rsidR="00455074" w:rsidRDefault="00A45B6B">
      <w:pPr>
        <w:pStyle w:val="af4"/>
        <w:numPr>
          <w:ilvl w:val="0"/>
          <w:numId w:val="1"/>
        </w:numPr>
        <w:spacing w:line="288" w:lineRule="auto"/>
        <w:ind w:left="0" w:firstLineChars="0" w:firstLine="0"/>
        <w:rPr>
          <w:kern w:val="2"/>
          <w:szCs w:val="21"/>
        </w:rPr>
      </w:pPr>
      <w:bookmarkStart w:id="58" w:name="_Ref233842619"/>
      <w:r>
        <w:rPr>
          <w:kern w:val="2"/>
          <w:szCs w:val="21"/>
        </w:rPr>
        <w:t>Liou J Y, Sung J C. Surface responses induced by point load or uniform traction moving steadily on an anisotropic half-plane[J]. International Journal of Solids and Structures, 2008, 45(9): 2737-2757.</w:t>
      </w:r>
      <w:bookmarkEnd w:id="58"/>
    </w:p>
    <w:p w14:paraId="26A45B7C" w14:textId="77777777" w:rsidR="00455074" w:rsidRDefault="00A45B6B">
      <w:pPr>
        <w:pStyle w:val="af4"/>
        <w:numPr>
          <w:ilvl w:val="0"/>
          <w:numId w:val="1"/>
        </w:numPr>
        <w:spacing w:line="288" w:lineRule="auto"/>
        <w:ind w:left="0" w:firstLineChars="0" w:firstLine="0"/>
        <w:rPr>
          <w:kern w:val="2"/>
          <w:szCs w:val="21"/>
        </w:rPr>
      </w:pPr>
      <w:bookmarkStart w:id="59" w:name="_Ref233842620"/>
      <w:r>
        <w:rPr>
          <w:kern w:val="2"/>
          <w:szCs w:val="21"/>
        </w:rPr>
        <w:t>Jousset P, Reinsch T, Ryberg T, et al. Dynamic strain determination using fibre-optic cables allows imaging of seismological and structural features[J]. Nature communications, 2018, 9(1): 2509.</w:t>
      </w:r>
      <w:bookmarkEnd w:id="59"/>
    </w:p>
    <w:p w14:paraId="0A566A09" w14:textId="77777777" w:rsidR="00455074" w:rsidRDefault="00A45B6B">
      <w:pPr>
        <w:pStyle w:val="af4"/>
        <w:numPr>
          <w:ilvl w:val="0"/>
          <w:numId w:val="1"/>
        </w:numPr>
        <w:spacing w:line="288" w:lineRule="auto"/>
        <w:ind w:left="0" w:firstLineChars="0" w:firstLine="0"/>
        <w:rPr>
          <w:kern w:val="2"/>
          <w:szCs w:val="21"/>
        </w:rPr>
      </w:pPr>
      <w:bookmarkStart w:id="60" w:name="_Ref233842658"/>
      <w:r>
        <w:rPr>
          <w:kern w:val="2"/>
          <w:szCs w:val="21"/>
        </w:rPr>
        <w:t>Martin E, Lindsey N, Dou S, et al. Interferometry of a roadside DAS array in Fairbanks, AK[C]//SEG International Exposition and Annual Meeting</w:t>
      </w:r>
      <w:r>
        <w:t xml:space="preserve"> </w:t>
      </w:r>
      <w:r>
        <w:rPr>
          <w:kern w:val="2"/>
          <w:szCs w:val="21"/>
        </w:rPr>
        <w:t>, Dallas, USA, 2016. SEG, 2016: SEG-2016-13963708.</w:t>
      </w:r>
      <w:bookmarkEnd w:id="60"/>
    </w:p>
    <w:p w14:paraId="302E8169" w14:textId="77777777" w:rsidR="00455074" w:rsidRDefault="00A45B6B">
      <w:pPr>
        <w:pStyle w:val="af4"/>
        <w:numPr>
          <w:ilvl w:val="0"/>
          <w:numId w:val="1"/>
        </w:numPr>
        <w:spacing w:line="288" w:lineRule="auto"/>
        <w:ind w:left="0" w:firstLineChars="0" w:firstLine="0"/>
        <w:rPr>
          <w:kern w:val="2"/>
          <w:szCs w:val="21"/>
        </w:rPr>
      </w:pPr>
      <w:bookmarkStart w:id="61" w:name="_Ref233842659"/>
      <w:r>
        <w:rPr>
          <w:kern w:val="2"/>
          <w:szCs w:val="21"/>
        </w:rPr>
        <w:t>Yuan S</w:t>
      </w:r>
      <w:r>
        <w:rPr>
          <w:rFonts w:hint="eastAsia"/>
          <w:kern w:val="2"/>
          <w:szCs w:val="21"/>
        </w:rPr>
        <w:t>iyuan</w:t>
      </w:r>
      <w:r>
        <w:rPr>
          <w:kern w:val="2"/>
          <w:szCs w:val="21"/>
        </w:rPr>
        <w:t>, Lellouch A, Clapp R G, et al. Near-surface characterization using a roadside distributed acoustic sensing array[J]. The Leading Edge, 2020, 39(9): 646-653.</w:t>
      </w:r>
      <w:bookmarkEnd w:id="61"/>
    </w:p>
    <w:p w14:paraId="03275E15" w14:textId="77777777" w:rsidR="00455074" w:rsidRDefault="00A45B6B">
      <w:pPr>
        <w:pStyle w:val="af4"/>
        <w:numPr>
          <w:ilvl w:val="0"/>
          <w:numId w:val="1"/>
        </w:numPr>
        <w:spacing w:line="288" w:lineRule="auto"/>
        <w:ind w:left="0" w:firstLineChars="0" w:firstLine="0"/>
        <w:rPr>
          <w:kern w:val="2"/>
          <w:szCs w:val="21"/>
        </w:rPr>
      </w:pPr>
      <w:bookmarkStart w:id="62" w:name="_Ref233842829"/>
      <w:r>
        <w:rPr>
          <w:kern w:val="2"/>
          <w:szCs w:val="21"/>
        </w:rPr>
        <w:t>Barrias A, Casas J R, Villalba S. A review of distributed optical fiber sensors for civil engineering applications[J]. Sensors, 2016, 16(5): 748.</w:t>
      </w:r>
      <w:bookmarkEnd w:id="62"/>
    </w:p>
    <w:p w14:paraId="1851034E" w14:textId="77777777" w:rsidR="00455074" w:rsidRDefault="00A45B6B">
      <w:pPr>
        <w:pStyle w:val="af4"/>
        <w:numPr>
          <w:ilvl w:val="0"/>
          <w:numId w:val="1"/>
        </w:numPr>
        <w:spacing w:line="288" w:lineRule="auto"/>
        <w:ind w:left="0" w:firstLineChars="0" w:firstLine="0"/>
        <w:rPr>
          <w:kern w:val="2"/>
          <w:szCs w:val="21"/>
        </w:rPr>
      </w:pPr>
      <w:bookmarkStart w:id="63" w:name="_Ref233842843"/>
      <w:r>
        <w:rPr>
          <w:kern w:val="2"/>
          <w:szCs w:val="21"/>
        </w:rPr>
        <w:t>Yue L</w:t>
      </w:r>
      <w:r>
        <w:rPr>
          <w:rFonts w:hint="eastAsia"/>
          <w:kern w:val="2"/>
          <w:szCs w:val="21"/>
        </w:rPr>
        <w:t>ina</w:t>
      </w:r>
      <w:r>
        <w:rPr>
          <w:kern w:val="2"/>
          <w:szCs w:val="21"/>
        </w:rPr>
        <w:t>, Li S</w:t>
      </w:r>
      <w:r>
        <w:rPr>
          <w:rFonts w:hint="eastAsia"/>
          <w:kern w:val="2"/>
          <w:szCs w:val="21"/>
        </w:rPr>
        <w:t>heng</w:t>
      </w:r>
      <w:r>
        <w:rPr>
          <w:kern w:val="2"/>
          <w:szCs w:val="21"/>
        </w:rPr>
        <w:t>, Liu F</w:t>
      </w:r>
      <w:r>
        <w:rPr>
          <w:rFonts w:hint="eastAsia"/>
          <w:kern w:val="2"/>
          <w:szCs w:val="21"/>
        </w:rPr>
        <w:t>ang</w:t>
      </w:r>
      <w:r>
        <w:rPr>
          <w:kern w:val="2"/>
          <w:szCs w:val="21"/>
        </w:rPr>
        <w:t>, et al. Research on distributed monitoring system of intelligent highway based on weak fiber Bragg grating[J]. Measurement, 2025, 242: 116273.</w:t>
      </w:r>
      <w:bookmarkEnd w:id="63"/>
    </w:p>
    <w:p w14:paraId="76F8793D" w14:textId="77777777" w:rsidR="00455074" w:rsidRDefault="00A45B6B">
      <w:pPr>
        <w:pStyle w:val="af4"/>
        <w:numPr>
          <w:ilvl w:val="0"/>
          <w:numId w:val="1"/>
        </w:numPr>
        <w:spacing w:line="288" w:lineRule="auto"/>
        <w:ind w:left="0" w:firstLineChars="0" w:firstLine="0"/>
        <w:rPr>
          <w:kern w:val="2"/>
          <w:szCs w:val="21"/>
        </w:rPr>
      </w:pPr>
      <w:bookmarkStart w:id="64" w:name="_Ref233842881"/>
      <w:r>
        <w:rPr>
          <w:kern w:val="2"/>
          <w:szCs w:val="21"/>
        </w:rPr>
        <w:t xml:space="preserve">Bao </w:t>
      </w:r>
      <w:r>
        <w:rPr>
          <w:rFonts w:hint="eastAsia"/>
          <w:kern w:val="2"/>
          <w:szCs w:val="21"/>
        </w:rPr>
        <w:t>Xiaoyi</w:t>
      </w:r>
      <w:r>
        <w:rPr>
          <w:kern w:val="2"/>
          <w:szCs w:val="21"/>
        </w:rPr>
        <w:t>, Chen L</w:t>
      </w:r>
      <w:r>
        <w:rPr>
          <w:rFonts w:hint="eastAsia"/>
          <w:kern w:val="2"/>
          <w:szCs w:val="21"/>
        </w:rPr>
        <w:t>iang</w:t>
      </w:r>
      <w:r>
        <w:rPr>
          <w:kern w:val="2"/>
          <w:szCs w:val="21"/>
        </w:rPr>
        <w:t>. Recent progress in distributed fiber optic sensors[J]. sensors, 2012, 12(7): 8601-8639.</w:t>
      </w:r>
      <w:bookmarkEnd w:id="64"/>
    </w:p>
    <w:p w14:paraId="355008F4" w14:textId="77777777" w:rsidR="00455074" w:rsidRDefault="00A45B6B">
      <w:pPr>
        <w:pStyle w:val="af4"/>
        <w:numPr>
          <w:ilvl w:val="0"/>
          <w:numId w:val="1"/>
        </w:numPr>
        <w:spacing w:line="288" w:lineRule="auto"/>
        <w:ind w:left="0" w:firstLineChars="0" w:firstLine="0"/>
        <w:rPr>
          <w:kern w:val="2"/>
          <w:szCs w:val="21"/>
        </w:rPr>
      </w:pPr>
      <w:bookmarkStart w:id="65" w:name="_Ref233842883"/>
      <w:r>
        <w:rPr>
          <w:kern w:val="2"/>
          <w:szCs w:val="21"/>
        </w:rPr>
        <w:t>Hartog A H. An introduction to distributed optical fibre sensors[M]. CRC press, 2017.</w:t>
      </w:r>
      <w:bookmarkEnd w:id="65"/>
    </w:p>
    <w:p w14:paraId="5A7452C7" w14:textId="77777777" w:rsidR="00455074" w:rsidRDefault="00A45B6B">
      <w:pPr>
        <w:pStyle w:val="af4"/>
        <w:numPr>
          <w:ilvl w:val="0"/>
          <w:numId w:val="1"/>
        </w:numPr>
        <w:spacing w:line="288" w:lineRule="auto"/>
        <w:ind w:left="0" w:firstLineChars="0" w:firstLine="0"/>
        <w:rPr>
          <w:kern w:val="2"/>
          <w:szCs w:val="21"/>
        </w:rPr>
      </w:pPr>
      <w:bookmarkStart w:id="66" w:name="_Ref233842897"/>
      <w:r>
        <w:rPr>
          <w:kern w:val="2"/>
          <w:szCs w:val="21"/>
        </w:rPr>
        <w:t>Glisic B, Inaudi D. Fibre optic methods for structural health monitoring[M]. John Wiley &amp; Sons, 2007.</w:t>
      </w:r>
      <w:bookmarkEnd w:id="66"/>
    </w:p>
    <w:p w14:paraId="3B9889D7" w14:textId="77777777" w:rsidR="00455074" w:rsidRDefault="00A45B6B">
      <w:pPr>
        <w:pStyle w:val="af4"/>
        <w:numPr>
          <w:ilvl w:val="0"/>
          <w:numId w:val="1"/>
        </w:numPr>
        <w:spacing w:line="288" w:lineRule="auto"/>
        <w:ind w:left="0" w:firstLineChars="0" w:firstLine="0"/>
        <w:rPr>
          <w:kern w:val="2"/>
          <w:szCs w:val="21"/>
        </w:rPr>
      </w:pPr>
      <w:bookmarkStart w:id="67" w:name="_Ref233842913"/>
      <w:r>
        <w:rPr>
          <w:kern w:val="2"/>
          <w:szCs w:val="21"/>
        </w:rPr>
        <w:t>Masoudi A, Newson T P. Contributed review: Distributed optical fibre dynamic strain sensing[J]. Review of scientific instruments, 2016, 87(1).</w:t>
      </w:r>
      <w:bookmarkEnd w:id="67"/>
    </w:p>
    <w:p w14:paraId="65ECC602" w14:textId="77777777" w:rsidR="00455074" w:rsidRDefault="00A45B6B">
      <w:pPr>
        <w:pStyle w:val="af4"/>
        <w:numPr>
          <w:ilvl w:val="0"/>
          <w:numId w:val="1"/>
        </w:numPr>
        <w:spacing w:line="288" w:lineRule="auto"/>
        <w:ind w:left="0" w:firstLineChars="0" w:firstLine="0"/>
        <w:rPr>
          <w:kern w:val="2"/>
          <w:szCs w:val="21"/>
        </w:rPr>
      </w:pPr>
      <w:bookmarkStart w:id="68" w:name="_Ref233843003"/>
      <w:r>
        <w:rPr>
          <w:kern w:val="2"/>
          <w:szCs w:val="21"/>
        </w:rPr>
        <w:t xml:space="preserve">Ye X W, Jin T, Yun C B. </w:t>
      </w:r>
      <w:bookmarkStart w:id="69" w:name="OLE_LINK50"/>
      <w:r>
        <w:rPr>
          <w:kern w:val="2"/>
          <w:szCs w:val="21"/>
        </w:rPr>
        <w:t>A review on deep learning-based structural health monitoring of civil infrastructures</w:t>
      </w:r>
      <w:bookmarkEnd w:id="69"/>
      <w:r>
        <w:rPr>
          <w:kern w:val="2"/>
          <w:szCs w:val="21"/>
        </w:rPr>
        <w:t>[J]. Smart Struct. Syst, 2019, 24(5): 567-585.</w:t>
      </w:r>
      <w:bookmarkEnd w:id="68"/>
    </w:p>
    <w:p w14:paraId="477530D0" w14:textId="77777777" w:rsidR="00455074" w:rsidRDefault="00A45B6B">
      <w:pPr>
        <w:pStyle w:val="af4"/>
        <w:numPr>
          <w:ilvl w:val="0"/>
          <w:numId w:val="1"/>
        </w:numPr>
        <w:ind w:left="0" w:firstLineChars="0" w:firstLine="0"/>
        <w:rPr>
          <w:kern w:val="2"/>
          <w:szCs w:val="21"/>
        </w:rPr>
      </w:pPr>
      <w:bookmarkStart w:id="70" w:name="_Ref234148376"/>
      <w:r>
        <w:rPr>
          <w:kern w:val="2"/>
          <w:szCs w:val="21"/>
        </w:rPr>
        <w:t>Rodet J, Tauzin B, Amin Panah M, et al. Urban dark fiber distributed acoustic sensing for bridge monitoring[J]. Structural Health Monitoring, 2025, 24(1): 636-653.</w:t>
      </w:r>
      <w:bookmarkEnd w:id="70"/>
    </w:p>
    <w:p w14:paraId="75DE7F97" w14:textId="77777777" w:rsidR="00455074" w:rsidRDefault="00A45B6B">
      <w:pPr>
        <w:pStyle w:val="af4"/>
        <w:numPr>
          <w:ilvl w:val="0"/>
          <w:numId w:val="1"/>
        </w:numPr>
        <w:spacing w:line="288" w:lineRule="auto"/>
        <w:ind w:left="0" w:firstLineChars="0" w:firstLine="0"/>
        <w:rPr>
          <w:kern w:val="2"/>
          <w:szCs w:val="21"/>
        </w:rPr>
      </w:pPr>
      <w:bookmarkStart w:id="71" w:name="_Ref233843118"/>
      <w:r>
        <w:rPr>
          <w:rFonts w:hint="eastAsia"/>
          <w:kern w:val="2"/>
          <w:szCs w:val="21"/>
        </w:rPr>
        <w:t>Hubbard Peter G, Ou Ruonan, Xu Tianchen, et al. Road deformation monitoring and event detection using asphalt</w:t>
      </w:r>
      <w:r>
        <w:rPr>
          <w:rFonts w:hint="eastAsia"/>
          <w:kern w:val="2"/>
          <w:szCs w:val="21"/>
        </w:rPr>
        <w:t>‐</w:t>
      </w:r>
      <w:r>
        <w:rPr>
          <w:rFonts w:hint="eastAsia"/>
          <w:kern w:val="2"/>
          <w:szCs w:val="21"/>
        </w:rPr>
        <w:t>embedded distributed acoustic sensing (DAS)[J]. Structural Control and Health Monitoring, 2022, 29(11): e3067.</w:t>
      </w:r>
      <w:bookmarkEnd w:id="71"/>
    </w:p>
    <w:p w14:paraId="73D1B080" w14:textId="77777777" w:rsidR="00455074" w:rsidRDefault="00A45B6B">
      <w:pPr>
        <w:pStyle w:val="af4"/>
        <w:numPr>
          <w:ilvl w:val="0"/>
          <w:numId w:val="1"/>
        </w:numPr>
        <w:spacing w:line="288" w:lineRule="auto"/>
        <w:ind w:left="0" w:firstLineChars="0" w:firstLine="0"/>
        <w:rPr>
          <w:kern w:val="2"/>
          <w:szCs w:val="21"/>
        </w:rPr>
      </w:pPr>
      <w:bookmarkStart w:id="72" w:name="_Ref233843287"/>
      <w:r>
        <w:rPr>
          <w:rFonts w:hint="eastAsia"/>
          <w:kern w:val="2"/>
          <w:szCs w:val="21"/>
        </w:rPr>
        <w:t>赵君黎</w:t>
      </w:r>
      <w:r>
        <w:rPr>
          <w:rFonts w:hint="eastAsia"/>
          <w:kern w:val="2"/>
          <w:szCs w:val="21"/>
        </w:rPr>
        <w:t>.</w:t>
      </w:r>
      <w:r>
        <w:rPr>
          <w:rFonts w:hint="eastAsia"/>
          <w:kern w:val="2"/>
          <w:szCs w:val="21"/>
        </w:rPr>
        <w:t>公路工程结构可靠性设计统一标准</w:t>
      </w:r>
      <w:r>
        <w:rPr>
          <w:rFonts w:hint="eastAsia"/>
          <w:kern w:val="2"/>
          <w:szCs w:val="21"/>
        </w:rPr>
        <w:t>[M].</w:t>
      </w:r>
      <w:r>
        <w:rPr>
          <w:rFonts w:hint="eastAsia"/>
          <w:kern w:val="2"/>
          <w:szCs w:val="21"/>
        </w:rPr>
        <w:t>人民交通出版社股份有限公司</w:t>
      </w:r>
      <w:r>
        <w:rPr>
          <w:rFonts w:hint="eastAsia"/>
          <w:kern w:val="2"/>
          <w:szCs w:val="21"/>
        </w:rPr>
        <w:t>,2020.</w:t>
      </w:r>
      <w:bookmarkEnd w:id="72"/>
    </w:p>
    <w:p w14:paraId="4E6D0706" w14:textId="77777777" w:rsidR="00455074" w:rsidRDefault="00A45B6B">
      <w:pPr>
        <w:pStyle w:val="af4"/>
        <w:numPr>
          <w:ilvl w:val="0"/>
          <w:numId w:val="1"/>
        </w:numPr>
        <w:spacing w:line="288" w:lineRule="auto"/>
        <w:ind w:left="0" w:firstLineChars="0" w:firstLine="0"/>
        <w:rPr>
          <w:kern w:val="2"/>
          <w:szCs w:val="21"/>
        </w:rPr>
      </w:pPr>
      <w:bookmarkStart w:id="73" w:name="_Ref233843529"/>
      <w:r>
        <w:rPr>
          <w:kern w:val="2"/>
          <w:szCs w:val="21"/>
        </w:rPr>
        <w:lastRenderedPageBreak/>
        <w:t xml:space="preserve">Li </w:t>
      </w:r>
      <w:r>
        <w:rPr>
          <w:rFonts w:hint="eastAsia"/>
          <w:kern w:val="2"/>
          <w:szCs w:val="21"/>
        </w:rPr>
        <w:t>Yinghuan</w:t>
      </w:r>
      <w:r>
        <w:rPr>
          <w:kern w:val="2"/>
          <w:szCs w:val="21"/>
        </w:rPr>
        <w:t xml:space="preserve">, Zhang </w:t>
      </w:r>
      <w:r>
        <w:rPr>
          <w:rFonts w:hint="eastAsia"/>
          <w:kern w:val="2"/>
          <w:szCs w:val="21"/>
        </w:rPr>
        <w:t>Jingming</w:t>
      </w:r>
      <w:r>
        <w:rPr>
          <w:kern w:val="2"/>
          <w:szCs w:val="21"/>
        </w:rPr>
        <w:t xml:space="preserve">, Yan </w:t>
      </w:r>
      <w:r>
        <w:rPr>
          <w:rFonts w:hint="eastAsia"/>
          <w:kern w:val="2"/>
          <w:szCs w:val="21"/>
        </w:rPr>
        <w:t>Yaxi</w:t>
      </w:r>
      <w:r>
        <w:rPr>
          <w:kern w:val="2"/>
          <w:szCs w:val="21"/>
        </w:rPr>
        <w:t>, et al. Traffic Monitoring Using Optical Fiber Distributed Acoustic Sensing for Metropolitan Environments[J]. Journal of Lightwave Technology, 2025.</w:t>
      </w:r>
      <w:bookmarkEnd w:id="73"/>
    </w:p>
    <w:p w14:paraId="47B35A01" w14:textId="77777777" w:rsidR="00455074" w:rsidRDefault="00A45B6B">
      <w:pPr>
        <w:pStyle w:val="af4"/>
        <w:numPr>
          <w:ilvl w:val="0"/>
          <w:numId w:val="1"/>
        </w:numPr>
        <w:spacing w:line="288" w:lineRule="auto"/>
        <w:ind w:left="0" w:firstLineChars="0" w:firstLine="0"/>
        <w:rPr>
          <w:kern w:val="2"/>
          <w:szCs w:val="21"/>
        </w:rPr>
      </w:pPr>
      <w:bookmarkStart w:id="74" w:name="_Ref233843549"/>
      <w:r>
        <w:rPr>
          <w:kern w:val="2"/>
          <w:szCs w:val="21"/>
        </w:rPr>
        <w:t xml:space="preserve">Min </w:t>
      </w:r>
      <w:r>
        <w:rPr>
          <w:rFonts w:hint="eastAsia"/>
          <w:kern w:val="2"/>
          <w:szCs w:val="21"/>
        </w:rPr>
        <w:t>Rui</w:t>
      </w:r>
      <w:r>
        <w:rPr>
          <w:kern w:val="2"/>
          <w:szCs w:val="21"/>
        </w:rPr>
        <w:t xml:space="preserve">, Chen </w:t>
      </w:r>
      <w:r>
        <w:rPr>
          <w:rFonts w:hint="eastAsia"/>
          <w:kern w:val="2"/>
          <w:szCs w:val="21"/>
        </w:rPr>
        <w:t>Yunfeng</w:t>
      </w:r>
      <w:r>
        <w:rPr>
          <w:kern w:val="2"/>
          <w:szCs w:val="21"/>
        </w:rPr>
        <w:t xml:space="preserve">, Wang </w:t>
      </w:r>
      <w:r>
        <w:rPr>
          <w:rFonts w:hint="eastAsia"/>
          <w:kern w:val="2"/>
          <w:szCs w:val="21"/>
        </w:rPr>
        <w:t>Hang</w:t>
      </w:r>
      <w:r>
        <w:rPr>
          <w:kern w:val="2"/>
          <w:szCs w:val="21"/>
        </w:rPr>
        <w:t>, et al. DAS vehicle signal extraction using machine learning in urban traffic monitoring[J]. IEEE Transactions on Geoscience and Remote Sensing, 2024, 62: 1-10.</w:t>
      </w:r>
      <w:bookmarkEnd w:id="74"/>
    </w:p>
    <w:p w14:paraId="4690B69F" w14:textId="77777777" w:rsidR="00455074" w:rsidRDefault="00A45B6B">
      <w:pPr>
        <w:pStyle w:val="af4"/>
        <w:numPr>
          <w:ilvl w:val="0"/>
          <w:numId w:val="1"/>
        </w:numPr>
        <w:spacing w:line="288" w:lineRule="auto"/>
        <w:ind w:left="0" w:firstLineChars="0" w:firstLine="0"/>
        <w:rPr>
          <w:kern w:val="2"/>
          <w:szCs w:val="21"/>
        </w:rPr>
      </w:pPr>
      <w:bookmarkStart w:id="75" w:name="_Ref233843551"/>
      <w:r>
        <w:rPr>
          <w:kern w:val="2"/>
          <w:szCs w:val="21"/>
        </w:rPr>
        <w:t>Wang H</w:t>
      </w:r>
      <w:r>
        <w:rPr>
          <w:rFonts w:hint="eastAsia"/>
          <w:kern w:val="2"/>
          <w:szCs w:val="21"/>
        </w:rPr>
        <w:t>ang</w:t>
      </w:r>
      <w:r>
        <w:rPr>
          <w:kern w:val="2"/>
          <w:szCs w:val="21"/>
        </w:rPr>
        <w:t>, Chen Y</w:t>
      </w:r>
      <w:r>
        <w:rPr>
          <w:rFonts w:hint="eastAsia"/>
          <w:kern w:val="2"/>
          <w:szCs w:val="21"/>
        </w:rPr>
        <w:t>unfeng</w:t>
      </w:r>
      <w:r>
        <w:rPr>
          <w:kern w:val="2"/>
          <w:szCs w:val="21"/>
        </w:rPr>
        <w:t>, Min R</w:t>
      </w:r>
      <w:r>
        <w:rPr>
          <w:rFonts w:hint="eastAsia"/>
          <w:kern w:val="2"/>
          <w:szCs w:val="21"/>
        </w:rPr>
        <w:t>ui</w:t>
      </w:r>
      <w:r>
        <w:rPr>
          <w:kern w:val="2"/>
          <w:szCs w:val="21"/>
        </w:rPr>
        <w:t>, et al. Urban DAS data processing and its preliminary application to city traffic monitoring[J]. Sensors, 2022, 22(24): 9976.</w:t>
      </w:r>
      <w:bookmarkEnd w:id="75"/>
    </w:p>
    <w:p w14:paraId="38BADEEF" w14:textId="77777777" w:rsidR="00455074" w:rsidRDefault="00A45B6B">
      <w:pPr>
        <w:pStyle w:val="af4"/>
        <w:numPr>
          <w:ilvl w:val="0"/>
          <w:numId w:val="1"/>
        </w:numPr>
        <w:spacing w:line="288" w:lineRule="auto"/>
        <w:ind w:left="0" w:firstLineChars="0" w:firstLine="0"/>
        <w:rPr>
          <w:kern w:val="2"/>
          <w:szCs w:val="21"/>
        </w:rPr>
      </w:pPr>
      <w:bookmarkStart w:id="76" w:name="_Ref233843553"/>
      <w:r>
        <w:rPr>
          <w:kern w:val="2"/>
          <w:szCs w:val="21"/>
        </w:rPr>
        <w:t>García L, Mota S, Titos M, et al. Fiber optic acoustic sensing to understand and affect the rhythm of the cities: Proof-of-concept to create data-driven urban mobility models[J]. Remote Sensing, 2023, 15(13): 3282.</w:t>
      </w:r>
      <w:bookmarkEnd w:id="76"/>
    </w:p>
    <w:p w14:paraId="74074340" w14:textId="77777777" w:rsidR="00455074" w:rsidRDefault="00A45B6B">
      <w:pPr>
        <w:pStyle w:val="af4"/>
        <w:numPr>
          <w:ilvl w:val="0"/>
          <w:numId w:val="1"/>
        </w:numPr>
        <w:spacing w:line="288" w:lineRule="auto"/>
        <w:ind w:left="0" w:firstLineChars="0" w:firstLine="0"/>
        <w:rPr>
          <w:kern w:val="2"/>
          <w:szCs w:val="21"/>
        </w:rPr>
      </w:pPr>
      <w:bookmarkStart w:id="77" w:name="_Ref233843554"/>
      <w:r>
        <w:rPr>
          <w:kern w:val="2"/>
          <w:szCs w:val="21"/>
        </w:rPr>
        <w:t xml:space="preserve">Narisetty C, Hino T, Huang </w:t>
      </w:r>
      <w:r>
        <w:rPr>
          <w:rFonts w:hint="eastAsia"/>
          <w:kern w:val="2"/>
          <w:szCs w:val="21"/>
        </w:rPr>
        <w:t>Ming-Fang</w:t>
      </w:r>
      <w:r>
        <w:rPr>
          <w:kern w:val="2"/>
          <w:szCs w:val="21"/>
        </w:rPr>
        <w:t>, et al. Overcoming challenges of distributed fiber-optic sensing for highway traffic monitoring[J]. Transportation Research Record, 2021, 2675(2): 233-242.</w:t>
      </w:r>
      <w:bookmarkEnd w:id="77"/>
    </w:p>
    <w:p w14:paraId="55ABD294" w14:textId="77777777" w:rsidR="00455074" w:rsidRDefault="00A45B6B">
      <w:pPr>
        <w:pStyle w:val="af4"/>
        <w:numPr>
          <w:ilvl w:val="0"/>
          <w:numId w:val="1"/>
        </w:numPr>
        <w:spacing w:line="288" w:lineRule="auto"/>
        <w:ind w:left="0" w:firstLineChars="0" w:firstLine="0"/>
        <w:rPr>
          <w:kern w:val="2"/>
          <w:szCs w:val="21"/>
        </w:rPr>
      </w:pPr>
      <w:bookmarkStart w:id="78" w:name="_Ref233843556"/>
      <w:r>
        <w:rPr>
          <w:kern w:val="2"/>
          <w:szCs w:val="21"/>
        </w:rPr>
        <w:t>Liu H</w:t>
      </w:r>
      <w:r>
        <w:rPr>
          <w:rFonts w:hint="eastAsia"/>
          <w:kern w:val="2"/>
          <w:szCs w:val="21"/>
        </w:rPr>
        <w:t>uiyong</w:t>
      </w:r>
      <w:r>
        <w:rPr>
          <w:kern w:val="2"/>
          <w:szCs w:val="21"/>
        </w:rPr>
        <w:t xml:space="preserve">, Ma </w:t>
      </w:r>
      <w:r>
        <w:rPr>
          <w:rFonts w:hint="eastAsia"/>
          <w:kern w:val="2"/>
          <w:szCs w:val="21"/>
        </w:rPr>
        <w:t>Jihui</w:t>
      </w:r>
      <w:r>
        <w:rPr>
          <w:kern w:val="2"/>
          <w:szCs w:val="21"/>
        </w:rPr>
        <w:t xml:space="preserve">, Xu </w:t>
      </w:r>
      <w:r>
        <w:rPr>
          <w:rFonts w:hint="eastAsia"/>
          <w:kern w:val="2"/>
          <w:szCs w:val="21"/>
        </w:rPr>
        <w:t>Tuanwei</w:t>
      </w:r>
      <w:r>
        <w:rPr>
          <w:kern w:val="2"/>
          <w:szCs w:val="21"/>
        </w:rPr>
        <w:t>, et al. Vehicle detection and classification using distributed fiber optic acoustic sensing[J]. IEEE Transactions on Vehicular Technology, 2019, 69(2): 1363-1374.</w:t>
      </w:r>
      <w:bookmarkEnd w:id="78"/>
    </w:p>
    <w:p w14:paraId="3BBA59FF" w14:textId="77777777" w:rsidR="00455074" w:rsidRDefault="00A45B6B">
      <w:pPr>
        <w:pStyle w:val="af4"/>
        <w:numPr>
          <w:ilvl w:val="0"/>
          <w:numId w:val="1"/>
        </w:numPr>
        <w:spacing w:line="288" w:lineRule="auto"/>
        <w:ind w:left="0" w:firstLineChars="0" w:firstLine="0"/>
        <w:rPr>
          <w:kern w:val="2"/>
          <w:szCs w:val="21"/>
        </w:rPr>
      </w:pPr>
      <w:bookmarkStart w:id="79" w:name="_Ref234149793"/>
      <w:r>
        <w:t>Jørgen Hald.Beamforming and Wavenumber Processing[J]. 2008.DOI:10.1007/978-0-387-30441-0_9.</w:t>
      </w:r>
      <w:bookmarkEnd w:id="79"/>
    </w:p>
    <w:p w14:paraId="771B6A7E" w14:textId="77777777" w:rsidR="00455074" w:rsidRDefault="00A45B6B">
      <w:pPr>
        <w:pStyle w:val="af4"/>
        <w:numPr>
          <w:ilvl w:val="0"/>
          <w:numId w:val="1"/>
        </w:numPr>
        <w:spacing w:line="288" w:lineRule="auto"/>
        <w:ind w:left="0" w:firstLineChars="0" w:firstLine="0"/>
        <w:rPr>
          <w:kern w:val="2"/>
          <w:szCs w:val="21"/>
        </w:rPr>
      </w:pPr>
      <w:bookmarkStart w:id="80" w:name="_Ref233843644"/>
      <w:r>
        <w:rPr>
          <w:kern w:val="2"/>
          <w:szCs w:val="21"/>
        </w:rPr>
        <w:t xml:space="preserve">Yuan </w:t>
      </w:r>
      <w:r>
        <w:rPr>
          <w:rFonts w:hint="eastAsia"/>
          <w:kern w:val="2"/>
          <w:szCs w:val="21"/>
        </w:rPr>
        <w:t>Siyuan</w:t>
      </w:r>
      <w:r>
        <w:rPr>
          <w:kern w:val="2"/>
          <w:szCs w:val="21"/>
        </w:rPr>
        <w:t>, van Den Ende M, Liu J</w:t>
      </w:r>
      <w:r>
        <w:rPr>
          <w:rFonts w:hint="eastAsia"/>
          <w:kern w:val="2"/>
          <w:szCs w:val="21"/>
        </w:rPr>
        <w:t>ingxiao</w:t>
      </w:r>
      <w:r>
        <w:rPr>
          <w:kern w:val="2"/>
          <w:szCs w:val="21"/>
        </w:rPr>
        <w:t>, et al. Spatial deep deconvolution u-net for traffic analyses with distributed acoustic sensing[J]. IEEE Transactions on Intelligent Transportation Systems, 2023, 25(2): 1913-1924.</w:t>
      </w:r>
      <w:bookmarkEnd w:id="80"/>
    </w:p>
    <w:p w14:paraId="71D16253" w14:textId="77777777" w:rsidR="00455074" w:rsidRDefault="00A45B6B">
      <w:pPr>
        <w:pStyle w:val="af4"/>
        <w:numPr>
          <w:ilvl w:val="0"/>
          <w:numId w:val="1"/>
        </w:numPr>
        <w:spacing w:line="288" w:lineRule="auto"/>
        <w:ind w:left="0" w:firstLineChars="0" w:firstLine="0"/>
        <w:rPr>
          <w:kern w:val="2"/>
          <w:szCs w:val="21"/>
        </w:rPr>
      </w:pPr>
      <w:bookmarkStart w:id="81" w:name="_Ref233843788"/>
      <w:r>
        <w:rPr>
          <w:kern w:val="2"/>
          <w:szCs w:val="21"/>
        </w:rPr>
        <w:t xml:space="preserve">Zhang </w:t>
      </w:r>
      <w:r>
        <w:rPr>
          <w:rFonts w:hint="eastAsia"/>
          <w:kern w:val="2"/>
          <w:szCs w:val="21"/>
        </w:rPr>
        <w:t>Zhiyu</w:t>
      </w:r>
      <w:r>
        <w:rPr>
          <w:kern w:val="2"/>
          <w:szCs w:val="21"/>
        </w:rPr>
        <w:t xml:space="preserve">, Li </w:t>
      </w:r>
      <w:r>
        <w:rPr>
          <w:rFonts w:hint="eastAsia"/>
          <w:kern w:val="2"/>
          <w:szCs w:val="21"/>
        </w:rPr>
        <w:t>Jing</w:t>
      </w:r>
      <w:r>
        <w:rPr>
          <w:kern w:val="2"/>
          <w:szCs w:val="21"/>
        </w:rPr>
        <w:t xml:space="preserve">, Xiong </w:t>
      </w:r>
      <w:r>
        <w:rPr>
          <w:rFonts w:hint="eastAsia"/>
          <w:kern w:val="2"/>
          <w:szCs w:val="21"/>
        </w:rPr>
        <w:t>Hongqiang</w:t>
      </w:r>
      <w:r>
        <w:rPr>
          <w:kern w:val="2"/>
          <w:szCs w:val="21"/>
        </w:rPr>
        <w:t>, et al. Intelligent Vehicle Automatic Identification and Classification With Distributed Acoustic Sensing[J]. IEEE Transactions on Intelligent Transportation Systems, 2025.</w:t>
      </w:r>
      <w:bookmarkEnd w:id="81"/>
    </w:p>
    <w:p w14:paraId="08B6026A" w14:textId="77777777" w:rsidR="00455074" w:rsidRDefault="00A45B6B">
      <w:pPr>
        <w:pStyle w:val="af4"/>
        <w:numPr>
          <w:ilvl w:val="0"/>
          <w:numId w:val="1"/>
        </w:numPr>
        <w:spacing w:line="288" w:lineRule="auto"/>
        <w:ind w:left="0" w:firstLineChars="0" w:firstLine="0"/>
        <w:rPr>
          <w:kern w:val="2"/>
          <w:szCs w:val="21"/>
        </w:rPr>
      </w:pPr>
      <w:bookmarkStart w:id="82" w:name="_Ref233843846"/>
      <w:r>
        <w:rPr>
          <w:kern w:val="2"/>
          <w:szCs w:val="21"/>
        </w:rPr>
        <w:t>Liu F</w:t>
      </w:r>
      <w:r>
        <w:rPr>
          <w:rFonts w:hint="eastAsia"/>
          <w:kern w:val="2"/>
          <w:szCs w:val="21"/>
        </w:rPr>
        <w:t>ang</w:t>
      </w:r>
      <w:r>
        <w:rPr>
          <w:kern w:val="2"/>
          <w:szCs w:val="21"/>
        </w:rPr>
        <w:t>, Xie Y</w:t>
      </w:r>
      <w:r>
        <w:rPr>
          <w:rFonts w:hint="eastAsia"/>
          <w:kern w:val="2"/>
          <w:szCs w:val="21"/>
        </w:rPr>
        <w:t>u</w:t>
      </w:r>
      <w:r>
        <w:rPr>
          <w:kern w:val="2"/>
          <w:szCs w:val="21"/>
        </w:rPr>
        <w:t>, Yue L</w:t>
      </w:r>
      <w:r>
        <w:rPr>
          <w:rFonts w:hint="eastAsia"/>
          <w:kern w:val="2"/>
          <w:szCs w:val="21"/>
        </w:rPr>
        <w:t>ina</w:t>
      </w:r>
      <w:r>
        <w:rPr>
          <w:kern w:val="2"/>
          <w:szCs w:val="21"/>
        </w:rPr>
        <w:t>, et al. Long-distance and real-time vehicle detection on highway using RCF network and PPHT based on ultraweak FBG array[J]. IEEE Transactions on Instrumentation and Measurement, 2024, 73: 1-16.</w:t>
      </w:r>
      <w:bookmarkEnd w:id="82"/>
    </w:p>
    <w:p w14:paraId="49876483" w14:textId="77777777" w:rsidR="00455074" w:rsidRDefault="00A45B6B">
      <w:pPr>
        <w:pStyle w:val="af4"/>
        <w:numPr>
          <w:ilvl w:val="0"/>
          <w:numId w:val="1"/>
        </w:numPr>
        <w:spacing w:line="288" w:lineRule="auto"/>
        <w:ind w:left="0" w:firstLineChars="0" w:firstLine="0"/>
        <w:rPr>
          <w:kern w:val="2"/>
          <w:szCs w:val="21"/>
        </w:rPr>
      </w:pPr>
      <w:bookmarkStart w:id="83" w:name="_Ref233843847"/>
      <w:r>
        <w:rPr>
          <w:kern w:val="2"/>
          <w:szCs w:val="21"/>
        </w:rPr>
        <w:t>Corera I, Piñeiro E, Navallas J, et al. Long-range traffic monitoring based on pulse-compression distributed acoustic sensing and advanced vehicle tracking and classification algorithm[J]. Sensors, 2023, 23(6): 3127.</w:t>
      </w:r>
      <w:bookmarkEnd w:id="83"/>
    </w:p>
    <w:p w14:paraId="6A27E4C8" w14:textId="77777777" w:rsidR="00455074" w:rsidRDefault="00A45B6B">
      <w:pPr>
        <w:pStyle w:val="af4"/>
        <w:numPr>
          <w:ilvl w:val="0"/>
          <w:numId w:val="1"/>
        </w:numPr>
        <w:spacing w:line="288" w:lineRule="auto"/>
        <w:ind w:left="0" w:firstLineChars="0" w:firstLine="0"/>
        <w:rPr>
          <w:kern w:val="2"/>
          <w:szCs w:val="21"/>
        </w:rPr>
      </w:pPr>
      <w:bookmarkStart w:id="84" w:name="_Ref233844105"/>
      <w:r>
        <w:rPr>
          <w:kern w:val="2"/>
          <w:szCs w:val="21"/>
        </w:rPr>
        <w:t>OptaSense. Interstate 20 Atlanta Highway Traffic Monitoring Case Study[EB/OL]. https://www.optasense.com/case-study-optasense-traffic-monitoring-solution-deployed-on-interstate-20-atlanta</w:t>
      </w:r>
      <w:bookmarkEnd w:id="84"/>
    </w:p>
    <w:p w14:paraId="1780BBC7" w14:textId="77777777" w:rsidR="00455074" w:rsidRDefault="00A45B6B">
      <w:pPr>
        <w:pStyle w:val="af4"/>
        <w:numPr>
          <w:ilvl w:val="0"/>
          <w:numId w:val="1"/>
        </w:numPr>
        <w:spacing w:line="288" w:lineRule="auto"/>
        <w:ind w:left="0" w:firstLineChars="0" w:firstLine="0"/>
        <w:rPr>
          <w:kern w:val="2"/>
          <w:szCs w:val="21"/>
        </w:rPr>
      </w:pPr>
      <w:bookmarkStart w:id="85" w:name="_Ref234150948"/>
      <w:r>
        <w:rPr>
          <w:rFonts w:hint="eastAsia"/>
        </w:rPr>
        <w:t>Lindsey N J, Yuan Siyuan, Lellouch A, et al. City</w:t>
      </w:r>
      <w:r>
        <w:rPr>
          <w:rFonts w:hint="eastAsia"/>
        </w:rPr>
        <w:t>‐</w:t>
      </w:r>
      <w:r>
        <w:rPr>
          <w:rFonts w:hint="eastAsia"/>
        </w:rPr>
        <w:t>scale dark fiber DAS measurements of infrastructure use during the COVID</w:t>
      </w:r>
      <w:r>
        <w:rPr>
          <w:rFonts w:hint="eastAsia"/>
        </w:rPr>
        <w:t>‐</w:t>
      </w:r>
      <w:r>
        <w:rPr>
          <w:rFonts w:hint="eastAsia"/>
        </w:rPr>
        <w:t>19 pandemic[J]. Geophysical research letters, 2020, 47(16): e2020GL089931.</w:t>
      </w:r>
      <w:bookmarkEnd w:id="85"/>
    </w:p>
    <w:p w14:paraId="40B08315" w14:textId="77777777" w:rsidR="00455074" w:rsidRDefault="00A45B6B">
      <w:pPr>
        <w:pStyle w:val="af4"/>
        <w:numPr>
          <w:ilvl w:val="0"/>
          <w:numId w:val="1"/>
        </w:numPr>
        <w:spacing w:line="288" w:lineRule="auto"/>
        <w:ind w:left="0" w:firstLineChars="0" w:firstLine="0"/>
        <w:rPr>
          <w:kern w:val="2"/>
          <w:szCs w:val="21"/>
        </w:rPr>
      </w:pPr>
      <w:bookmarkStart w:id="86" w:name="_Ref234150994"/>
      <w:r>
        <w:t>Xie D</w:t>
      </w:r>
      <w:r>
        <w:rPr>
          <w:rFonts w:hint="eastAsia"/>
        </w:rPr>
        <w:t>ongzi</w:t>
      </w:r>
      <w:r>
        <w:t>, Wu X</w:t>
      </w:r>
      <w:r>
        <w:rPr>
          <w:rFonts w:hint="eastAsia"/>
        </w:rPr>
        <w:t>inming</w:t>
      </w:r>
      <w:r>
        <w:t>, Guo Z</w:t>
      </w:r>
      <w:r>
        <w:rPr>
          <w:rFonts w:hint="eastAsia"/>
        </w:rPr>
        <w:t>hixiang</w:t>
      </w:r>
      <w:r>
        <w:t>, et al. Intelligent traffic monitoring with distributed acoustic sensing[J]. Seismological Research Letters, 2025, 96(4): 2477-2488.</w:t>
      </w:r>
      <w:bookmarkEnd w:id="86"/>
    </w:p>
    <w:p w14:paraId="4EA18289" w14:textId="77777777" w:rsidR="00455074" w:rsidRDefault="00A45B6B">
      <w:pPr>
        <w:pStyle w:val="af4"/>
        <w:numPr>
          <w:ilvl w:val="0"/>
          <w:numId w:val="1"/>
        </w:numPr>
        <w:spacing w:line="288" w:lineRule="auto"/>
        <w:ind w:left="0" w:firstLineChars="0" w:firstLine="0"/>
        <w:rPr>
          <w:kern w:val="2"/>
          <w:szCs w:val="21"/>
        </w:rPr>
      </w:pPr>
      <w:bookmarkStart w:id="87" w:name="_Ref234151038"/>
      <w:r>
        <w:t>Fontana M, García-Fernández Á F, Maskell S. Notch power detector for multiple vehicle trajectory estimation with distributed acoustic sensing[J]. Signal Processing, 2025, 232: 109905.</w:t>
      </w:r>
      <w:bookmarkEnd w:id="87"/>
    </w:p>
    <w:p w14:paraId="2519ADAB" w14:textId="77777777" w:rsidR="00455074" w:rsidRDefault="00A45B6B">
      <w:pPr>
        <w:pStyle w:val="af4"/>
        <w:numPr>
          <w:ilvl w:val="0"/>
          <w:numId w:val="1"/>
        </w:numPr>
        <w:spacing w:line="288" w:lineRule="auto"/>
        <w:ind w:left="0" w:firstLineChars="0" w:firstLine="0"/>
        <w:rPr>
          <w:kern w:val="2"/>
          <w:szCs w:val="21"/>
        </w:rPr>
      </w:pPr>
      <w:bookmarkStart w:id="88" w:name="_Ref234151155"/>
      <w:r>
        <w:t>Wang Z</w:t>
      </w:r>
      <w:r>
        <w:rPr>
          <w:rFonts w:hint="eastAsia"/>
        </w:rPr>
        <w:t>heng</w:t>
      </w:r>
      <w:r>
        <w:t>, Zhang T</w:t>
      </w:r>
      <w:r>
        <w:rPr>
          <w:rFonts w:hint="eastAsia"/>
        </w:rPr>
        <w:t>aiyin</w:t>
      </w:r>
      <w:r>
        <w:t xml:space="preserve">, Chen </w:t>
      </w:r>
      <w:r>
        <w:rPr>
          <w:rFonts w:hint="eastAsia"/>
        </w:rPr>
        <w:t>Huiliang</w:t>
      </w:r>
      <w:r>
        <w:t>, et al. Enhancing traffic monitoring with noise-robust distributed acoustic sensing and deep learning[J]. Journal of Applied Geophysics, 2025, 233: 105616.</w:t>
      </w:r>
      <w:bookmarkEnd w:id="88"/>
    </w:p>
    <w:p w14:paraId="6528422D" w14:textId="77777777" w:rsidR="00455074" w:rsidRDefault="00A45B6B">
      <w:pPr>
        <w:pStyle w:val="af4"/>
        <w:numPr>
          <w:ilvl w:val="0"/>
          <w:numId w:val="1"/>
        </w:numPr>
        <w:spacing w:line="288" w:lineRule="auto"/>
        <w:ind w:left="0" w:firstLineChars="0" w:firstLine="0"/>
        <w:rPr>
          <w:kern w:val="2"/>
          <w:szCs w:val="21"/>
        </w:rPr>
      </w:pPr>
      <w:bookmarkStart w:id="89" w:name="_Ref234151245"/>
      <w:r>
        <w:t>Ye Z</w:t>
      </w:r>
      <w:r>
        <w:rPr>
          <w:rFonts w:hint="eastAsia"/>
        </w:rPr>
        <w:t>hipeng</w:t>
      </w:r>
      <w:r>
        <w:t>, Wang W</w:t>
      </w:r>
      <w:r>
        <w:rPr>
          <w:rFonts w:hint="eastAsia"/>
        </w:rPr>
        <w:t>eijun</w:t>
      </w:r>
      <w:r>
        <w:t>, Wang X</w:t>
      </w:r>
      <w:r>
        <w:rPr>
          <w:rFonts w:hint="eastAsia"/>
        </w:rPr>
        <w:t>in</w:t>
      </w:r>
      <w:r>
        <w:t xml:space="preserve">, et al. </w:t>
      </w:r>
      <w:bookmarkStart w:id="90" w:name="OLE_LINK100"/>
      <w:r>
        <w:t>Traffic flow and vehicle speed monitoring with the object detection method from the roadside distributed acoustic sensing array</w:t>
      </w:r>
      <w:bookmarkEnd w:id="90"/>
      <w:r>
        <w:t>[J]. Frontiers in Earth Science, 2023, 10: 992571.</w:t>
      </w:r>
      <w:bookmarkEnd w:id="89"/>
    </w:p>
    <w:p w14:paraId="547F9602" w14:textId="77777777" w:rsidR="00455074" w:rsidRDefault="00A45B6B">
      <w:pPr>
        <w:pStyle w:val="af4"/>
        <w:numPr>
          <w:ilvl w:val="0"/>
          <w:numId w:val="1"/>
        </w:numPr>
        <w:spacing w:line="288" w:lineRule="auto"/>
        <w:ind w:left="0" w:firstLineChars="0" w:firstLine="0"/>
        <w:rPr>
          <w:kern w:val="2"/>
          <w:szCs w:val="21"/>
        </w:rPr>
      </w:pPr>
      <w:bookmarkStart w:id="91" w:name="_Ref234151339"/>
      <w:r>
        <w:t>Peng F</w:t>
      </w:r>
      <w:r>
        <w:rPr>
          <w:rFonts w:hint="eastAsia"/>
        </w:rPr>
        <w:t>ei</w:t>
      </w:r>
      <w:r>
        <w:t>, Zhu Z</w:t>
      </w:r>
      <w:r>
        <w:rPr>
          <w:rFonts w:hint="eastAsia"/>
        </w:rPr>
        <w:t>iyang</w:t>
      </w:r>
      <w:r>
        <w:t>, Zhang Y</w:t>
      </w:r>
      <w:r>
        <w:rPr>
          <w:rFonts w:hint="eastAsia"/>
        </w:rPr>
        <w:t>ujie</w:t>
      </w:r>
      <w:r>
        <w:t>, et al. A deep learning image segmentation model for detection of weak vehicle-generated quasi-static strain in distributed acoustic sensing[J]. IEEE Transactions on Intelligent Transportation Systems, 2025.</w:t>
      </w:r>
      <w:bookmarkEnd w:id="91"/>
    </w:p>
    <w:p w14:paraId="3DAAA684" w14:textId="77777777" w:rsidR="00455074" w:rsidRDefault="00A45B6B">
      <w:pPr>
        <w:pStyle w:val="af4"/>
        <w:numPr>
          <w:ilvl w:val="0"/>
          <w:numId w:val="1"/>
        </w:numPr>
        <w:spacing w:line="288" w:lineRule="auto"/>
        <w:ind w:left="0" w:firstLineChars="0" w:firstLine="0"/>
        <w:rPr>
          <w:kern w:val="2"/>
          <w:szCs w:val="21"/>
        </w:rPr>
      </w:pPr>
      <w:bookmarkStart w:id="92" w:name="_Ref234151392"/>
      <w:r>
        <w:lastRenderedPageBreak/>
        <w:t>Zhang W</w:t>
      </w:r>
      <w:r>
        <w:rPr>
          <w:rFonts w:hint="eastAsia"/>
        </w:rPr>
        <w:t>enting</w:t>
      </w:r>
      <w:r>
        <w:t xml:space="preserve">, Li </w:t>
      </w:r>
      <w:r>
        <w:rPr>
          <w:rFonts w:hint="eastAsia"/>
        </w:rPr>
        <w:t>Chuanling</w:t>
      </w:r>
      <w:r>
        <w:t>, Qi Z</w:t>
      </w:r>
      <w:r>
        <w:rPr>
          <w:rFonts w:hint="eastAsia"/>
        </w:rPr>
        <w:t>henyu</w:t>
      </w:r>
      <w:r>
        <w:t>, et al. Expressway traffic trajectory recognition on DAS vibration spatiotemporal images[J]. IEEE Transactions on Intelligent Transportation Systems, 2025.</w:t>
      </w:r>
      <w:bookmarkEnd w:id="92"/>
    </w:p>
    <w:p w14:paraId="56C2DCFC" w14:textId="77777777" w:rsidR="00455074" w:rsidRDefault="00A45B6B">
      <w:pPr>
        <w:pStyle w:val="af4"/>
        <w:numPr>
          <w:ilvl w:val="0"/>
          <w:numId w:val="1"/>
        </w:numPr>
        <w:spacing w:line="288" w:lineRule="auto"/>
        <w:ind w:left="0" w:firstLineChars="0" w:firstLine="0"/>
        <w:rPr>
          <w:kern w:val="2"/>
          <w:szCs w:val="21"/>
        </w:rPr>
      </w:pPr>
      <w:bookmarkStart w:id="93" w:name="_Ref233844091"/>
      <w:r>
        <w:rPr>
          <w:kern w:val="2"/>
          <w:szCs w:val="21"/>
        </w:rPr>
        <w:t>OptaSense. DAS Traffic Monitoring System Case Study: I-29 Highway, North Dakota, USA[EB/OL]. https://www.optasense.com/case-study-optasense-traffic-monitoring-solution-deployed-on-us-highway</w:t>
      </w:r>
      <w:bookmarkEnd w:id="93"/>
    </w:p>
    <w:p w14:paraId="0CA490E2" w14:textId="77777777" w:rsidR="00455074" w:rsidRDefault="00A45B6B">
      <w:pPr>
        <w:pStyle w:val="af4"/>
        <w:numPr>
          <w:ilvl w:val="0"/>
          <w:numId w:val="1"/>
        </w:numPr>
        <w:ind w:left="0" w:firstLineChars="0" w:firstLine="0"/>
        <w:rPr>
          <w:kern w:val="2"/>
          <w:szCs w:val="21"/>
        </w:rPr>
      </w:pPr>
      <w:bookmarkStart w:id="94" w:name="_Ref234153300"/>
      <w:r>
        <w:rPr>
          <w:kern w:val="2"/>
          <w:szCs w:val="21"/>
        </w:rPr>
        <w:t>Song H</w:t>
      </w:r>
      <w:r>
        <w:rPr>
          <w:rFonts w:hint="eastAsia"/>
          <w:kern w:val="2"/>
          <w:szCs w:val="21"/>
        </w:rPr>
        <w:t>ongyang</w:t>
      </w:r>
      <w:r>
        <w:rPr>
          <w:kern w:val="2"/>
          <w:szCs w:val="21"/>
        </w:rPr>
        <w:t>, Ma X</w:t>
      </w:r>
      <w:r>
        <w:rPr>
          <w:rFonts w:hint="eastAsia"/>
          <w:kern w:val="2"/>
          <w:szCs w:val="21"/>
        </w:rPr>
        <w:t>ianyong</w:t>
      </w:r>
      <w:r>
        <w:rPr>
          <w:kern w:val="2"/>
          <w:szCs w:val="21"/>
        </w:rPr>
        <w:t>, Dong Zejiao, et al. Estimating Traffic Load Based on Multi-Layer Pavement Strain Monitored by Distributed Optical Fiber Sensors[J]. IEEE Sensors Journal, 2025.</w:t>
      </w:r>
      <w:bookmarkEnd w:id="94"/>
    </w:p>
    <w:p w14:paraId="2056DFB5" w14:textId="77777777" w:rsidR="00455074" w:rsidRDefault="00A45B6B">
      <w:pPr>
        <w:pStyle w:val="af4"/>
        <w:numPr>
          <w:ilvl w:val="0"/>
          <w:numId w:val="1"/>
        </w:numPr>
        <w:spacing w:line="288" w:lineRule="auto"/>
        <w:ind w:left="0" w:firstLineChars="0" w:firstLine="0"/>
        <w:rPr>
          <w:kern w:val="2"/>
          <w:szCs w:val="21"/>
        </w:rPr>
      </w:pPr>
      <w:bookmarkStart w:id="95" w:name="_Ref233844729"/>
      <w:r>
        <w:rPr>
          <w:rFonts w:hint="eastAsia"/>
          <w:kern w:val="2"/>
          <w:szCs w:val="21"/>
        </w:rPr>
        <w:t>李时宜</w:t>
      </w:r>
      <w:r>
        <w:rPr>
          <w:rFonts w:hint="eastAsia"/>
          <w:kern w:val="2"/>
          <w:szCs w:val="21"/>
        </w:rPr>
        <w:t xml:space="preserve">, </w:t>
      </w:r>
      <w:r>
        <w:rPr>
          <w:rFonts w:hint="eastAsia"/>
          <w:kern w:val="2"/>
          <w:szCs w:val="21"/>
        </w:rPr>
        <w:t>李浩</w:t>
      </w:r>
      <w:r>
        <w:rPr>
          <w:rFonts w:hint="eastAsia"/>
          <w:kern w:val="2"/>
          <w:szCs w:val="21"/>
        </w:rPr>
        <w:t xml:space="preserve">, </w:t>
      </w:r>
      <w:r>
        <w:rPr>
          <w:rFonts w:hint="eastAsia"/>
          <w:kern w:val="2"/>
          <w:szCs w:val="21"/>
        </w:rPr>
        <w:t>季文斌</w:t>
      </w:r>
      <w:r>
        <w:rPr>
          <w:rFonts w:hint="eastAsia"/>
          <w:kern w:val="2"/>
          <w:szCs w:val="21"/>
        </w:rPr>
        <w:t xml:space="preserve">, </w:t>
      </w:r>
      <w:r>
        <w:rPr>
          <w:rFonts w:hint="eastAsia"/>
          <w:kern w:val="2"/>
          <w:szCs w:val="21"/>
        </w:rPr>
        <w:t>等</w:t>
      </w:r>
      <w:r>
        <w:rPr>
          <w:rFonts w:hint="eastAsia"/>
          <w:kern w:val="2"/>
          <w:szCs w:val="21"/>
        </w:rPr>
        <w:t xml:space="preserve">. </w:t>
      </w:r>
      <w:r>
        <w:rPr>
          <w:rFonts w:hint="eastAsia"/>
          <w:kern w:val="2"/>
          <w:szCs w:val="21"/>
        </w:rPr>
        <w:t>基于布里渊光时域反射仪的边坡监测光纤传感器结构</w:t>
      </w:r>
      <w:r>
        <w:rPr>
          <w:rFonts w:hint="eastAsia"/>
          <w:kern w:val="2"/>
          <w:szCs w:val="21"/>
        </w:rPr>
        <w:t xml:space="preserve">[J]. </w:t>
      </w:r>
      <w:r>
        <w:rPr>
          <w:rFonts w:hint="eastAsia"/>
          <w:kern w:val="2"/>
          <w:szCs w:val="21"/>
        </w:rPr>
        <w:t>光子学报</w:t>
      </w:r>
      <w:r>
        <w:rPr>
          <w:rFonts w:hint="eastAsia"/>
          <w:kern w:val="2"/>
          <w:szCs w:val="21"/>
        </w:rPr>
        <w:t>, 2021, 50(9): 0906005.</w:t>
      </w:r>
      <w:bookmarkEnd w:id="95"/>
    </w:p>
    <w:p w14:paraId="3FD0DFAC" w14:textId="77777777" w:rsidR="00455074" w:rsidRDefault="00A45B6B">
      <w:pPr>
        <w:pStyle w:val="af4"/>
        <w:numPr>
          <w:ilvl w:val="0"/>
          <w:numId w:val="1"/>
        </w:numPr>
        <w:spacing w:line="288" w:lineRule="auto"/>
        <w:ind w:left="0" w:firstLineChars="0" w:firstLine="0"/>
        <w:rPr>
          <w:kern w:val="2"/>
          <w:szCs w:val="21"/>
        </w:rPr>
      </w:pPr>
      <w:bookmarkStart w:id="96" w:name="_Ref233844390"/>
      <w:r>
        <w:rPr>
          <w:kern w:val="2"/>
          <w:szCs w:val="21"/>
        </w:rPr>
        <w:t>Kang J, Walter F, Halter T, et al. Soil slope monitoring with Distributed Acoustic Sensing under wetting and drying cycles[J]. Earth Surface Dynamics, 2025, 13(6): 1133-1155.</w:t>
      </w:r>
      <w:bookmarkStart w:id="97" w:name="_Ref233844399"/>
      <w:bookmarkEnd w:id="96"/>
    </w:p>
    <w:p w14:paraId="4B2196CF" w14:textId="77777777" w:rsidR="00455074" w:rsidRDefault="00A45B6B">
      <w:pPr>
        <w:pStyle w:val="af4"/>
        <w:numPr>
          <w:ilvl w:val="0"/>
          <w:numId w:val="1"/>
        </w:numPr>
        <w:spacing w:line="288" w:lineRule="auto"/>
        <w:ind w:left="0" w:firstLineChars="0" w:firstLine="0"/>
        <w:rPr>
          <w:kern w:val="2"/>
          <w:szCs w:val="21"/>
        </w:rPr>
      </w:pPr>
      <w:bookmarkStart w:id="98" w:name="_Ref234706053"/>
      <w:r>
        <w:rPr>
          <w:kern w:val="2"/>
          <w:szCs w:val="21"/>
        </w:rPr>
        <w:t xml:space="preserve">Zhu </w:t>
      </w:r>
      <w:r>
        <w:rPr>
          <w:rFonts w:hint="eastAsia"/>
          <w:kern w:val="2"/>
          <w:szCs w:val="21"/>
        </w:rPr>
        <w:t>Chengyuan</w:t>
      </w:r>
      <w:r>
        <w:rPr>
          <w:kern w:val="2"/>
          <w:szCs w:val="21"/>
        </w:rPr>
        <w:t xml:space="preserve">, Yang Yiyuan, Yang Kaixiang, et al. </w:t>
      </w:r>
      <w:bookmarkStart w:id="99" w:name="OLE_LINK109"/>
      <w:r>
        <w:rPr>
          <w:kern w:val="2"/>
          <w:szCs w:val="21"/>
        </w:rPr>
        <w:t>Monitoring landslide disturbances using distributed acoustic sensing under extreme weather conditions</w:t>
      </w:r>
      <w:bookmarkEnd w:id="99"/>
      <w:r>
        <w:rPr>
          <w:kern w:val="2"/>
          <w:szCs w:val="21"/>
        </w:rPr>
        <w:t>[J]. npj Natural Hazards, 2026, 3(1): 23.</w:t>
      </w:r>
      <w:bookmarkEnd w:id="97"/>
      <w:bookmarkEnd w:id="98"/>
    </w:p>
    <w:p w14:paraId="62A36E6B" w14:textId="77777777" w:rsidR="00455074" w:rsidRDefault="00A45B6B">
      <w:pPr>
        <w:pStyle w:val="af4"/>
        <w:numPr>
          <w:ilvl w:val="0"/>
          <w:numId w:val="1"/>
        </w:numPr>
        <w:spacing w:line="288" w:lineRule="auto"/>
        <w:ind w:left="0" w:firstLineChars="0" w:firstLine="0"/>
        <w:rPr>
          <w:kern w:val="2"/>
          <w:szCs w:val="21"/>
        </w:rPr>
      </w:pPr>
      <w:bookmarkStart w:id="100" w:name="_Ref234153949"/>
      <w:r>
        <w:t>Zhu H</w:t>
      </w:r>
      <w:r>
        <w:rPr>
          <w:rFonts w:hint="eastAsia"/>
        </w:rPr>
        <w:t>ui</w:t>
      </w:r>
      <w:r>
        <w:t>, Pan C</w:t>
      </w:r>
      <w:r>
        <w:rPr>
          <w:rFonts w:hint="eastAsia"/>
        </w:rPr>
        <w:t>hao</w:t>
      </w:r>
      <w:r>
        <w:t xml:space="preserve">, Sun </w:t>
      </w:r>
      <w:r>
        <w:rPr>
          <w:rFonts w:hint="eastAsia"/>
        </w:rPr>
        <w:t>Xiaohan</w:t>
      </w:r>
      <w:r>
        <w:t>. Vibration pattern recognition and classification in OTDR based distributed optical-fiber vibration sensing system[C]//Smart Sensor Phenomena, Technology, Networks, and Systems Integration 2014</w:t>
      </w:r>
      <w:r>
        <w:rPr>
          <w:rFonts w:hint="eastAsia"/>
        </w:rPr>
        <w:t>,</w:t>
      </w:r>
      <w:r>
        <w:t xml:space="preserve"> San Diego, California, USA, 2014. SPIE, 2014:29</w:t>
      </w:r>
      <w:r>
        <w:noBreakHyphen/>
        <w:t>34.</w:t>
      </w:r>
      <w:bookmarkEnd w:id="100"/>
    </w:p>
    <w:p w14:paraId="32CFFC4D" w14:textId="77777777" w:rsidR="00455074" w:rsidRDefault="00A45B6B">
      <w:pPr>
        <w:pStyle w:val="af4"/>
        <w:numPr>
          <w:ilvl w:val="0"/>
          <w:numId w:val="1"/>
        </w:numPr>
        <w:spacing w:line="288" w:lineRule="auto"/>
        <w:ind w:left="0" w:firstLineChars="0" w:firstLine="0"/>
        <w:rPr>
          <w:kern w:val="2"/>
          <w:szCs w:val="21"/>
        </w:rPr>
      </w:pPr>
      <w:bookmarkStart w:id="101" w:name="_Ref234153959"/>
      <w:r>
        <w:rPr>
          <w:kern w:val="2"/>
          <w:szCs w:val="21"/>
        </w:rPr>
        <w:t>Fang N</w:t>
      </w:r>
      <w:r>
        <w:rPr>
          <w:rFonts w:hint="eastAsia"/>
          <w:kern w:val="2"/>
          <w:szCs w:val="21"/>
        </w:rPr>
        <w:t>ian</w:t>
      </w:r>
      <w:r>
        <w:rPr>
          <w:kern w:val="2"/>
          <w:szCs w:val="21"/>
        </w:rPr>
        <w:t xml:space="preserve">, Wang </w:t>
      </w:r>
      <w:r>
        <w:rPr>
          <w:rFonts w:hint="eastAsia"/>
          <w:kern w:val="2"/>
          <w:szCs w:val="21"/>
        </w:rPr>
        <w:t>Lutang</w:t>
      </w:r>
      <w:r>
        <w:rPr>
          <w:kern w:val="2"/>
          <w:szCs w:val="21"/>
        </w:rPr>
        <w:t xml:space="preserve">, Jia </w:t>
      </w:r>
      <w:r>
        <w:rPr>
          <w:rFonts w:hint="eastAsia"/>
          <w:kern w:val="2"/>
          <w:szCs w:val="21"/>
        </w:rPr>
        <w:t>Dongjian</w:t>
      </w:r>
      <w:r>
        <w:rPr>
          <w:kern w:val="2"/>
          <w:szCs w:val="21"/>
        </w:rPr>
        <w:t>, et al. Walking intrusion signal recognition method for fiber fence system[C]//2009 Asia Communications and Photonics conference and Exhibition (ACP)</w:t>
      </w:r>
      <w:r>
        <w:t xml:space="preserve"> </w:t>
      </w:r>
      <w:r>
        <w:rPr>
          <w:kern w:val="2"/>
          <w:szCs w:val="21"/>
        </w:rPr>
        <w:t>, Shanghai, China, 2009. IEEE, 2009: 1-6.</w:t>
      </w:r>
      <w:bookmarkEnd w:id="101"/>
    </w:p>
    <w:p w14:paraId="700EF25B" w14:textId="77777777" w:rsidR="00455074" w:rsidRDefault="00A45B6B">
      <w:pPr>
        <w:pStyle w:val="af4"/>
        <w:numPr>
          <w:ilvl w:val="0"/>
          <w:numId w:val="1"/>
        </w:numPr>
        <w:spacing w:line="288" w:lineRule="auto"/>
        <w:ind w:left="0" w:firstLineChars="0" w:firstLine="0"/>
        <w:rPr>
          <w:kern w:val="2"/>
          <w:szCs w:val="21"/>
        </w:rPr>
      </w:pPr>
      <w:bookmarkStart w:id="102" w:name="_Ref234153972"/>
      <w:r>
        <w:rPr>
          <w:rFonts w:hint="eastAsia"/>
          <w:kern w:val="2"/>
          <w:szCs w:val="21"/>
        </w:rPr>
        <w:t>王照勇</w:t>
      </w:r>
      <w:r>
        <w:rPr>
          <w:rFonts w:hint="eastAsia"/>
          <w:kern w:val="2"/>
          <w:szCs w:val="21"/>
        </w:rPr>
        <w:t xml:space="preserve">, </w:t>
      </w:r>
      <w:r>
        <w:rPr>
          <w:rFonts w:hint="eastAsia"/>
          <w:kern w:val="2"/>
          <w:szCs w:val="21"/>
        </w:rPr>
        <w:t>潘政清</w:t>
      </w:r>
      <w:r>
        <w:rPr>
          <w:rFonts w:hint="eastAsia"/>
          <w:kern w:val="2"/>
          <w:szCs w:val="21"/>
        </w:rPr>
        <w:t xml:space="preserve">, </w:t>
      </w:r>
      <w:r>
        <w:rPr>
          <w:rFonts w:hint="eastAsia"/>
          <w:kern w:val="2"/>
          <w:szCs w:val="21"/>
        </w:rPr>
        <w:t>叶青</w:t>
      </w:r>
      <w:r>
        <w:rPr>
          <w:rFonts w:hint="eastAsia"/>
          <w:kern w:val="2"/>
          <w:szCs w:val="21"/>
        </w:rPr>
        <w:t xml:space="preserve">, </w:t>
      </w:r>
      <w:r>
        <w:rPr>
          <w:rFonts w:hint="eastAsia"/>
          <w:kern w:val="2"/>
          <w:szCs w:val="21"/>
        </w:rPr>
        <w:t>等</w:t>
      </w:r>
      <w:r>
        <w:rPr>
          <w:rFonts w:hint="eastAsia"/>
          <w:kern w:val="2"/>
          <w:szCs w:val="21"/>
        </w:rPr>
        <w:t xml:space="preserve">. </w:t>
      </w:r>
      <w:r>
        <w:rPr>
          <w:rFonts w:hint="eastAsia"/>
          <w:kern w:val="2"/>
          <w:szCs w:val="21"/>
        </w:rPr>
        <w:t>用于光纤围栏入侵告警的频谱分析快速模式识别</w:t>
      </w:r>
      <w:r>
        <w:rPr>
          <w:rFonts w:hint="eastAsia"/>
          <w:kern w:val="2"/>
          <w:szCs w:val="21"/>
        </w:rPr>
        <w:t>[J]. Chinese Journal of Lasers, 2015, 42(4): 405010--1.</w:t>
      </w:r>
      <w:bookmarkEnd w:id="102"/>
    </w:p>
    <w:p w14:paraId="08748BD7" w14:textId="77777777" w:rsidR="00455074" w:rsidRDefault="00A45B6B">
      <w:pPr>
        <w:pStyle w:val="af4"/>
        <w:numPr>
          <w:ilvl w:val="0"/>
          <w:numId w:val="1"/>
        </w:numPr>
        <w:spacing w:line="288" w:lineRule="auto"/>
        <w:ind w:left="0" w:firstLineChars="0" w:firstLine="0"/>
        <w:rPr>
          <w:kern w:val="2"/>
          <w:szCs w:val="21"/>
        </w:rPr>
      </w:pPr>
      <w:bookmarkStart w:id="103" w:name="_Ref234153987"/>
      <w:r>
        <w:rPr>
          <w:rFonts w:hint="eastAsia"/>
          <w:kern w:val="2"/>
          <w:szCs w:val="21"/>
        </w:rPr>
        <w:t>郑印</w:t>
      </w:r>
      <w:r>
        <w:rPr>
          <w:rFonts w:hint="eastAsia"/>
          <w:kern w:val="2"/>
          <w:szCs w:val="21"/>
        </w:rPr>
        <w:t xml:space="preserve">, </w:t>
      </w:r>
      <w:r>
        <w:rPr>
          <w:rFonts w:hint="eastAsia"/>
          <w:kern w:val="2"/>
          <w:szCs w:val="21"/>
        </w:rPr>
        <w:t>段发阶</w:t>
      </w:r>
      <w:r>
        <w:rPr>
          <w:rFonts w:hint="eastAsia"/>
          <w:kern w:val="2"/>
          <w:szCs w:val="21"/>
        </w:rPr>
        <w:t xml:space="preserve">, </w:t>
      </w:r>
      <w:r>
        <w:rPr>
          <w:rFonts w:hint="eastAsia"/>
          <w:kern w:val="2"/>
          <w:szCs w:val="21"/>
        </w:rPr>
        <w:t>涂勤昌</w:t>
      </w:r>
      <w:r>
        <w:rPr>
          <w:rFonts w:hint="eastAsia"/>
          <w:kern w:val="2"/>
          <w:szCs w:val="21"/>
        </w:rPr>
        <w:t xml:space="preserve">, </w:t>
      </w:r>
      <w:r>
        <w:rPr>
          <w:rFonts w:hint="eastAsia"/>
          <w:kern w:val="2"/>
          <w:szCs w:val="21"/>
        </w:rPr>
        <w:t>等</w:t>
      </w:r>
      <w:r>
        <w:rPr>
          <w:rFonts w:hint="eastAsia"/>
          <w:kern w:val="2"/>
          <w:szCs w:val="21"/>
        </w:rPr>
        <w:t xml:space="preserve">. </w:t>
      </w:r>
      <w:r>
        <w:rPr>
          <w:rFonts w:hint="eastAsia"/>
          <w:kern w:val="2"/>
          <w:szCs w:val="21"/>
        </w:rPr>
        <w:t>φ</w:t>
      </w:r>
      <w:r>
        <w:rPr>
          <w:rFonts w:hint="eastAsia"/>
          <w:kern w:val="2"/>
          <w:szCs w:val="21"/>
        </w:rPr>
        <w:t xml:space="preserve">-OTDR </w:t>
      </w:r>
      <w:r>
        <w:rPr>
          <w:rFonts w:hint="eastAsia"/>
          <w:kern w:val="2"/>
          <w:szCs w:val="21"/>
        </w:rPr>
        <w:t>识别不同频率振动事件研究</w:t>
      </w:r>
      <w:r>
        <w:rPr>
          <w:rFonts w:hint="eastAsia"/>
          <w:kern w:val="2"/>
          <w:szCs w:val="21"/>
        </w:rPr>
        <w:t xml:space="preserve">[J]. </w:t>
      </w:r>
      <w:r>
        <w:rPr>
          <w:rFonts w:hint="eastAsia"/>
          <w:kern w:val="2"/>
          <w:szCs w:val="21"/>
        </w:rPr>
        <w:t>光电工程</w:t>
      </w:r>
      <w:r>
        <w:rPr>
          <w:rFonts w:hint="eastAsia"/>
          <w:kern w:val="2"/>
          <w:szCs w:val="21"/>
        </w:rPr>
        <w:t>, 2015, 42(5): 68-74.</w:t>
      </w:r>
      <w:bookmarkEnd w:id="103"/>
    </w:p>
    <w:p w14:paraId="7A257777" w14:textId="77777777" w:rsidR="00455074" w:rsidRDefault="00A45B6B">
      <w:pPr>
        <w:pStyle w:val="af4"/>
        <w:numPr>
          <w:ilvl w:val="0"/>
          <w:numId w:val="1"/>
        </w:numPr>
        <w:spacing w:line="288" w:lineRule="auto"/>
        <w:ind w:left="0" w:firstLineChars="0" w:firstLine="0"/>
        <w:rPr>
          <w:kern w:val="2"/>
          <w:szCs w:val="21"/>
        </w:rPr>
      </w:pPr>
      <w:bookmarkStart w:id="104" w:name="_Ref234153998"/>
      <w:r>
        <w:rPr>
          <w:kern w:val="2"/>
          <w:szCs w:val="21"/>
        </w:rPr>
        <w:t xml:space="preserve">Wu </w:t>
      </w:r>
      <w:r>
        <w:rPr>
          <w:rFonts w:hint="eastAsia"/>
          <w:kern w:val="2"/>
          <w:szCs w:val="21"/>
        </w:rPr>
        <w:t>Huijuan</w:t>
      </w:r>
      <w:r>
        <w:rPr>
          <w:kern w:val="2"/>
          <w:szCs w:val="21"/>
        </w:rPr>
        <w:t xml:space="preserve">, Xiao </w:t>
      </w:r>
      <w:r>
        <w:rPr>
          <w:rFonts w:hint="eastAsia"/>
          <w:kern w:val="2"/>
          <w:szCs w:val="21"/>
        </w:rPr>
        <w:t>Shunkun</w:t>
      </w:r>
      <w:r>
        <w:rPr>
          <w:kern w:val="2"/>
          <w:szCs w:val="21"/>
        </w:rPr>
        <w:t xml:space="preserve">, Li </w:t>
      </w:r>
      <w:r>
        <w:rPr>
          <w:rFonts w:hint="eastAsia"/>
          <w:kern w:val="2"/>
          <w:szCs w:val="21"/>
        </w:rPr>
        <w:t>Xiaoyu</w:t>
      </w:r>
      <w:r>
        <w:rPr>
          <w:kern w:val="2"/>
          <w:szCs w:val="21"/>
        </w:rPr>
        <w:t>, et al. Separation and determination of the disturbing signals in phase-sensitive optical time domain reflectometry (Φ-OTDR)[J]. Journal of Lightwave Technology, 2015, 33(15): 3156-3162.</w:t>
      </w:r>
      <w:bookmarkEnd w:id="104"/>
    </w:p>
    <w:p w14:paraId="0A65118F" w14:textId="77777777" w:rsidR="00455074" w:rsidRDefault="00A45B6B">
      <w:pPr>
        <w:pStyle w:val="af4"/>
        <w:numPr>
          <w:ilvl w:val="0"/>
          <w:numId w:val="1"/>
        </w:numPr>
        <w:spacing w:line="288" w:lineRule="auto"/>
        <w:ind w:left="0" w:firstLineChars="0" w:firstLine="0"/>
        <w:rPr>
          <w:kern w:val="2"/>
          <w:szCs w:val="21"/>
        </w:rPr>
      </w:pPr>
      <w:bookmarkStart w:id="105" w:name="_Ref234153999"/>
      <w:r>
        <w:rPr>
          <w:kern w:val="2"/>
          <w:szCs w:val="21"/>
        </w:rPr>
        <w:t>Sun Q</w:t>
      </w:r>
      <w:r>
        <w:rPr>
          <w:rFonts w:hint="eastAsia"/>
          <w:kern w:val="2"/>
          <w:szCs w:val="21"/>
        </w:rPr>
        <w:t>ian</w:t>
      </w:r>
      <w:r>
        <w:rPr>
          <w:kern w:val="2"/>
          <w:szCs w:val="21"/>
        </w:rPr>
        <w:t>, Feng H</w:t>
      </w:r>
      <w:r>
        <w:rPr>
          <w:rFonts w:hint="eastAsia"/>
          <w:kern w:val="2"/>
          <w:szCs w:val="21"/>
        </w:rPr>
        <w:t>ao</w:t>
      </w:r>
      <w:r>
        <w:rPr>
          <w:kern w:val="2"/>
          <w:szCs w:val="21"/>
        </w:rPr>
        <w:t xml:space="preserve">, Yan </w:t>
      </w:r>
      <w:r>
        <w:rPr>
          <w:rFonts w:hint="eastAsia"/>
          <w:kern w:val="2"/>
          <w:szCs w:val="21"/>
        </w:rPr>
        <w:t>Xueying</w:t>
      </w:r>
      <w:r>
        <w:rPr>
          <w:kern w:val="2"/>
          <w:szCs w:val="21"/>
        </w:rPr>
        <w:t>, et al. Recognition of a phase-sensitivity OTDR sensing system based on morphologic feature extraction[J]. Sensors, 2015, 15(7): 15179-15197.</w:t>
      </w:r>
      <w:bookmarkEnd w:id="105"/>
    </w:p>
    <w:p w14:paraId="625F6234" w14:textId="77777777" w:rsidR="00455074" w:rsidRDefault="00A45B6B">
      <w:pPr>
        <w:pStyle w:val="af4"/>
        <w:numPr>
          <w:ilvl w:val="0"/>
          <w:numId w:val="1"/>
        </w:numPr>
        <w:spacing w:line="288" w:lineRule="auto"/>
        <w:ind w:left="0" w:firstLineChars="0" w:firstLine="0"/>
        <w:rPr>
          <w:kern w:val="2"/>
          <w:szCs w:val="21"/>
        </w:rPr>
      </w:pPr>
      <w:bookmarkStart w:id="106" w:name="_Ref234154018"/>
      <w:r>
        <w:rPr>
          <w:kern w:val="2"/>
          <w:szCs w:val="21"/>
        </w:rPr>
        <w:t>Wu Huijuan, Liu Xiangrong, Xiao Y</w:t>
      </w:r>
      <w:r>
        <w:rPr>
          <w:rFonts w:hint="eastAsia"/>
          <w:kern w:val="2"/>
          <w:szCs w:val="21"/>
        </w:rPr>
        <w:t>ao</w:t>
      </w:r>
      <w:r>
        <w:rPr>
          <w:kern w:val="2"/>
          <w:szCs w:val="21"/>
        </w:rPr>
        <w:t>, et al. A dynamic time sequence recognition and knowledge mining method based on the hidden Markov models (HMMs) for pipeline safety monitoring with Φ-OTDR[J]. Journal of Lightwave Technology, 2019, 37(19): 4991-5000.</w:t>
      </w:r>
      <w:bookmarkEnd w:id="106"/>
    </w:p>
    <w:p w14:paraId="00475B22" w14:textId="77777777" w:rsidR="00455074" w:rsidRDefault="00A45B6B">
      <w:pPr>
        <w:pStyle w:val="af4"/>
        <w:numPr>
          <w:ilvl w:val="0"/>
          <w:numId w:val="1"/>
        </w:numPr>
        <w:spacing w:line="288" w:lineRule="auto"/>
        <w:ind w:left="0" w:firstLineChars="0" w:firstLine="0"/>
        <w:rPr>
          <w:kern w:val="2"/>
          <w:szCs w:val="21"/>
        </w:rPr>
      </w:pPr>
      <w:bookmarkStart w:id="107" w:name="_Ref234154024"/>
      <w:r>
        <w:rPr>
          <w:rFonts w:hint="eastAsia"/>
          <w:kern w:val="2"/>
          <w:szCs w:val="21"/>
        </w:rPr>
        <w:t>张俊楠</w:t>
      </w:r>
      <w:r>
        <w:rPr>
          <w:rFonts w:hint="eastAsia"/>
          <w:kern w:val="2"/>
          <w:szCs w:val="21"/>
        </w:rPr>
        <w:t xml:space="preserve">, </w:t>
      </w:r>
      <w:r>
        <w:rPr>
          <w:rFonts w:hint="eastAsia"/>
          <w:kern w:val="2"/>
          <w:szCs w:val="21"/>
        </w:rPr>
        <w:t>娄淑琴</w:t>
      </w:r>
      <w:r>
        <w:rPr>
          <w:rFonts w:hint="eastAsia"/>
          <w:kern w:val="2"/>
          <w:szCs w:val="21"/>
        </w:rPr>
        <w:t xml:space="preserve">, </w:t>
      </w:r>
      <w:r>
        <w:rPr>
          <w:rFonts w:hint="eastAsia"/>
          <w:kern w:val="2"/>
          <w:szCs w:val="21"/>
        </w:rPr>
        <w:t>梁生</w:t>
      </w:r>
      <w:r>
        <w:rPr>
          <w:rFonts w:hint="eastAsia"/>
          <w:kern w:val="2"/>
          <w:szCs w:val="21"/>
        </w:rPr>
        <w:t xml:space="preserve">. </w:t>
      </w:r>
      <w:r>
        <w:rPr>
          <w:rFonts w:hint="eastAsia"/>
          <w:kern w:val="2"/>
          <w:szCs w:val="21"/>
        </w:rPr>
        <w:t>基于</w:t>
      </w:r>
      <w:r>
        <w:rPr>
          <w:rFonts w:hint="eastAsia"/>
          <w:kern w:val="2"/>
          <w:szCs w:val="21"/>
        </w:rPr>
        <w:t xml:space="preserve"> SVM </w:t>
      </w:r>
      <w:r>
        <w:rPr>
          <w:rFonts w:hint="eastAsia"/>
          <w:kern w:val="2"/>
          <w:szCs w:val="21"/>
        </w:rPr>
        <w:t>算法的</w:t>
      </w:r>
      <w:r>
        <w:rPr>
          <w:rFonts w:hint="eastAsia"/>
          <w:kern w:val="2"/>
          <w:szCs w:val="21"/>
        </w:rPr>
        <w:t xml:space="preserve"> </w:t>
      </w:r>
      <w:r>
        <w:rPr>
          <w:rFonts w:hint="eastAsia"/>
          <w:kern w:val="2"/>
          <w:szCs w:val="21"/>
        </w:rPr>
        <w:t>φ</w:t>
      </w:r>
      <w:r>
        <w:rPr>
          <w:rFonts w:hint="eastAsia"/>
          <w:kern w:val="2"/>
          <w:szCs w:val="21"/>
        </w:rPr>
        <w:t xml:space="preserve">-OTDR </w:t>
      </w:r>
      <w:r>
        <w:rPr>
          <w:rFonts w:hint="eastAsia"/>
          <w:kern w:val="2"/>
          <w:szCs w:val="21"/>
        </w:rPr>
        <w:t>分布式光纤扰动传感系统模式识别研究</w:t>
      </w:r>
      <w:r>
        <w:rPr>
          <w:rFonts w:hint="eastAsia"/>
          <w:kern w:val="2"/>
          <w:szCs w:val="21"/>
        </w:rPr>
        <w:t xml:space="preserve">[J]. </w:t>
      </w:r>
      <w:r>
        <w:rPr>
          <w:rFonts w:hint="eastAsia"/>
          <w:kern w:val="2"/>
          <w:szCs w:val="21"/>
        </w:rPr>
        <w:t>红外与激光工程</w:t>
      </w:r>
      <w:r>
        <w:rPr>
          <w:rFonts w:hint="eastAsia"/>
          <w:kern w:val="2"/>
          <w:szCs w:val="21"/>
        </w:rPr>
        <w:t>, 2017, 46(4): 422003-0422003 (7).</w:t>
      </w:r>
      <w:bookmarkEnd w:id="107"/>
    </w:p>
    <w:p w14:paraId="4C7FCC97" w14:textId="77777777" w:rsidR="00455074" w:rsidRDefault="00A45B6B">
      <w:pPr>
        <w:pStyle w:val="af4"/>
        <w:numPr>
          <w:ilvl w:val="0"/>
          <w:numId w:val="1"/>
        </w:numPr>
        <w:spacing w:line="288" w:lineRule="auto"/>
        <w:ind w:left="0" w:firstLineChars="0" w:firstLine="0"/>
        <w:rPr>
          <w:kern w:val="2"/>
          <w:szCs w:val="21"/>
        </w:rPr>
      </w:pPr>
      <w:bookmarkStart w:id="108" w:name="_Ref234154031"/>
      <w:r>
        <w:rPr>
          <w:kern w:val="2"/>
          <w:szCs w:val="21"/>
        </w:rPr>
        <w:t>Wang X</w:t>
      </w:r>
      <w:r>
        <w:rPr>
          <w:rFonts w:hint="eastAsia"/>
          <w:kern w:val="2"/>
          <w:szCs w:val="21"/>
        </w:rPr>
        <w:t>in</w:t>
      </w:r>
      <w:r>
        <w:rPr>
          <w:kern w:val="2"/>
          <w:szCs w:val="21"/>
        </w:rPr>
        <w:t>, Liu Y</w:t>
      </w:r>
      <w:r>
        <w:rPr>
          <w:rFonts w:hint="eastAsia"/>
          <w:kern w:val="2"/>
          <w:szCs w:val="21"/>
        </w:rPr>
        <w:t>ong</w:t>
      </w:r>
      <w:r>
        <w:rPr>
          <w:kern w:val="2"/>
          <w:szCs w:val="21"/>
        </w:rPr>
        <w:t>, Liang S</w:t>
      </w:r>
      <w:r>
        <w:rPr>
          <w:rFonts w:hint="eastAsia"/>
          <w:kern w:val="2"/>
          <w:szCs w:val="21"/>
        </w:rPr>
        <w:t>heng</w:t>
      </w:r>
      <w:r>
        <w:rPr>
          <w:kern w:val="2"/>
          <w:szCs w:val="21"/>
        </w:rPr>
        <w:t>, et al. Event identification based on random forest classifier for Φ-OTDR fiber-optic distributed disturbance sensor[J]. Infrared Physics &amp; Technology, 2019, 97: 319-325.</w:t>
      </w:r>
      <w:bookmarkEnd w:id="108"/>
    </w:p>
    <w:p w14:paraId="5DD8A142" w14:textId="77777777" w:rsidR="00455074" w:rsidRDefault="00A45B6B">
      <w:pPr>
        <w:pStyle w:val="af4"/>
        <w:numPr>
          <w:ilvl w:val="0"/>
          <w:numId w:val="1"/>
        </w:numPr>
        <w:spacing w:line="288" w:lineRule="auto"/>
        <w:ind w:left="0" w:firstLineChars="0" w:firstLine="0"/>
        <w:rPr>
          <w:kern w:val="2"/>
          <w:szCs w:val="21"/>
        </w:rPr>
      </w:pPr>
      <w:bookmarkStart w:id="109" w:name="_Ref233844432"/>
      <w:r>
        <w:rPr>
          <w:kern w:val="2"/>
          <w:szCs w:val="21"/>
        </w:rPr>
        <w:t>Tomasov A, Zaviska P, Dejdar P, et al. Advancing perimeter security: Integrating DAS and CNN for object classification in fiber vicinity[J]. IEEE Access, 2025.</w:t>
      </w:r>
      <w:bookmarkEnd w:id="109"/>
    </w:p>
    <w:p w14:paraId="5AAF587C" w14:textId="77777777" w:rsidR="00455074" w:rsidRDefault="00A45B6B">
      <w:pPr>
        <w:pStyle w:val="af4"/>
        <w:numPr>
          <w:ilvl w:val="0"/>
          <w:numId w:val="1"/>
        </w:numPr>
        <w:spacing w:line="288" w:lineRule="auto"/>
        <w:ind w:left="0" w:firstLineChars="0" w:firstLine="0"/>
        <w:rPr>
          <w:kern w:val="2"/>
          <w:szCs w:val="21"/>
        </w:rPr>
      </w:pPr>
      <w:bookmarkStart w:id="110" w:name="_Ref234154141"/>
      <w:r>
        <w:t xml:space="preserve">Wu </w:t>
      </w:r>
      <w:r>
        <w:rPr>
          <w:rFonts w:hint="eastAsia"/>
        </w:rPr>
        <w:t>Huijuan</w:t>
      </w:r>
      <w:r>
        <w:t xml:space="preserve">, Wang </w:t>
      </w:r>
      <w:r>
        <w:rPr>
          <w:rFonts w:hint="eastAsia"/>
        </w:rPr>
        <w:t>Yufeng</w:t>
      </w:r>
      <w:r>
        <w:t xml:space="preserve">, Liu </w:t>
      </w:r>
      <w:r>
        <w:rPr>
          <w:rFonts w:hint="eastAsia"/>
        </w:rPr>
        <w:t>Xinyu</w:t>
      </w:r>
      <w:r>
        <w:t>, et al. Smart fiber-optic distributed acoustic sensing (sDAS) with multitask learning for time-efficient ground listening applications[J]. IEEE Internet of Things Journal, 2023, 11(5): 8511-8525.</w:t>
      </w:r>
      <w:bookmarkEnd w:id="110"/>
    </w:p>
    <w:p w14:paraId="13E28263" w14:textId="77777777" w:rsidR="00455074" w:rsidRDefault="00A45B6B">
      <w:pPr>
        <w:pStyle w:val="af4"/>
        <w:numPr>
          <w:ilvl w:val="0"/>
          <w:numId w:val="1"/>
        </w:numPr>
        <w:spacing w:line="288" w:lineRule="auto"/>
        <w:ind w:left="0" w:firstLineChars="0" w:firstLine="0"/>
      </w:pPr>
      <w:bookmarkStart w:id="111" w:name="_Ref234154179"/>
      <w:r>
        <w:t xml:space="preserve">Xu </w:t>
      </w:r>
      <w:r>
        <w:rPr>
          <w:rFonts w:hint="eastAsia"/>
        </w:rPr>
        <w:t>Wei-Jie</w:t>
      </w:r>
      <w:r>
        <w:t xml:space="preserve">, Liu </w:t>
      </w:r>
      <w:r>
        <w:rPr>
          <w:rFonts w:hint="eastAsia"/>
        </w:rPr>
        <w:t>Shuaiqi</w:t>
      </w:r>
      <w:r>
        <w:t xml:space="preserve">, Yu </w:t>
      </w:r>
      <w:r>
        <w:rPr>
          <w:rFonts w:hint="eastAsia"/>
        </w:rPr>
        <w:t>Fei-Hong</w:t>
      </w:r>
      <w:r>
        <w:t>, et al. Disturbance recognition for φ-OTDR based on Faster-RCNN[C]//Eighth Symposium on Novel Photoelectronic Detection Technology and Applications</w:t>
      </w:r>
      <w:r>
        <w:rPr>
          <w:rFonts w:ascii="Arial" w:hAnsi="Arial" w:cs="Arial"/>
          <w:color w:val="000000"/>
          <w:sz w:val="24"/>
          <w:szCs w:val="24"/>
        </w:rPr>
        <w:t xml:space="preserve"> </w:t>
      </w:r>
      <w:r>
        <w:t>, Kunming, China, 2021. SPIE, 2022:1196.</w:t>
      </w:r>
      <w:bookmarkEnd w:id="111"/>
    </w:p>
    <w:p w14:paraId="73B0D4AC" w14:textId="77777777" w:rsidR="00455074" w:rsidRDefault="00A45B6B">
      <w:pPr>
        <w:pStyle w:val="af4"/>
        <w:numPr>
          <w:ilvl w:val="0"/>
          <w:numId w:val="1"/>
        </w:numPr>
        <w:spacing w:line="288" w:lineRule="auto"/>
        <w:ind w:left="0" w:firstLineChars="0" w:firstLine="0"/>
        <w:rPr>
          <w:kern w:val="2"/>
          <w:szCs w:val="21"/>
        </w:rPr>
      </w:pPr>
      <w:bookmarkStart w:id="112" w:name="_Ref233844739"/>
      <w:r>
        <w:rPr>
          <w:kern w:val="2"/>
          <w:szCs w:val="21"/>
        </w:rPr>
        <w:lastRenderedPageBreak/>
        <w:t>Yan S</w:t>
      </w:r>
      <w:r>
        <w:rPr>
          <w:rFonts w:hint="eastAsia"/>
          <w:kern w:val="2"/>
          <w:szCs w:val="21"/>
        </w:rPr>
        <w:t>en</w:t>
      </w:r>
      <w:r>
        <w:rPr>
          <w:kern w:val="2"/>
          <w:szCs w:val="21"/>
        </w:rPr>
        <w:t xml:space="preserve">, Zou </w:t>
      </w:r>
      <w:r>
        <w:rPr>
          <w:rFonts w:hint="eastAsia"/>
          <w:kern w:val="2"/>
          <w:szCs w:val="21"/>
        </w:rPr>
        <w:t>Ningmu</w:t>
      </w:r>
      <w:r>
        <w:rPr>
          <w:kern w:val="2"/>
          <w:szCs w:val="21"/>
        </w:rPr>
        <w:t>, Shang Ying, et al. LR-Net for Weak Vibration Event Location and Recognition with DAS[J]. IEEE Sensors Journal, 2025.</w:t>
      </w:r>
      <w:bookmarkEnd w:id="112"/>
    </w:p>
    <w:p w14:paraId="61DBB9FA" w14:textId="77777777" w:rsidR="00455074" w:rsidRDefault="00455074">
      <w:pPr>
        <w:ind w:firstLine="420"/>
        <w:rPr>
          <w:kern w:val="2"/>
          <w:szCs w:val="21"/>
        </w:rPr>
      </w:pPr>
    </w:p>
    <w:p w14:paraId="457A9073" w14:textId="77777777" w:rsidR="00455074" w:rsidRDefault="00455074">
      <w:pPr>
        <w:ind w:firstLine="480"/>
        <w:rPr>
          <w:rStyle w:val="af0"/>
          <w:rFonts w:ascii="微软雅黑" w:eastAsia="微软雅黑" w:hAnsi="微软雅黑"/>
          <w:color w:val="0070C0"/>
          <w:sz w:val="24"/>
          <w:szCs w:val="24"/>
          <w:shd w:val="clear" w:color="auto" w:fill="FFFFFF"/>
        </w:rPr>
      </w:pPr>
    </w:p>
    <w:p w14:paraId="0A046372" w14:textId="77777777" w:rsidR="00455074" w:rsidRDefault="00A45B6B">
      <w:pPr>
        <w:ind w:firstLine="420"/>
      </w:pPr>
      <w:r>
        <w:rPr>
          <w:rFonts w:hint="eastAsia"/>
        </w:rPr>
        <w:t>收稿</w:t>
      </w:r>
      <w:r>
        <w:t>日期：</w:t>
      </w:r>
      <w:r>
        <w:rPr>
          <w:rFonts w:hint="eastAsia"/>
        </w:rPr>
        <w:t>2026</w:t>
      </w:r>
      <w:r>
        <w:t>-07-12</w:t>
      </w:r>
      <w:r>
        <w:rPr>
          <w:rFonts w:hint="eastAsia"/>
        </w:rPr>
        <w:t>。</w:t>
      </w:r>
    </w:p>
    <w:p w14:paraId="6567D3D2" w14:textId="77777777" w:rsidR="00455074" w:rsidRDefault="00A45B6B">
      <w:pPr>
        <w:ind w:leftChars="200" w:left="1470" w:hangingChars="500" w:hanging="1050"/>
      </w:pPr>
      <w:r>
        <w:t>基金项目：</w:t>
      </w:r>
      <w:r>
        <w:rPr>
          <w:rFonts w:hint="eastAsia"/>
        </w:rPr>
        <w:t>国家自然科学基金项目</w:t>
      </w:r>
      <w:r>
        <w:rPr>
          <w:rFonts w:hint="eastAsia"/>
        </w:rPr>
        <w:t>(62175100</w:t>
      </w:r>
      <w:r>
        <w:rPr>
          <w:rFonts w:hint="eastAsia"/>
        </w:rPr>
        <w:t>、</w:t>
      </w:r>
      <w:r>
        <w:rPr>
          <w:rFonts w:hint="eastAsia"/>
        </w:rPr>
        <w:t>U2001601)</w:t>
      </w:r>
      <w:r>
        <w:rPr>
          <w:rFonts w:hint="eastAsia"/>
        </w:rPr>
        <w:t>资助；中央高校基本科研业务费专项资金</w:t>
      </w:r>
      <w:r>
        <w:rPr>
          <w:rFonts w:hint="eastAsia"/>
        </w:rPr>
        <w:t>(2024300447</w:t>
      </w:r>
      <w:r>
        <w:rPr>
          <w:rFonts w:hint="eastAsia"/>
        </w:rPr>
        <w:t>、</w:t>
      </w:r>
      <w:r>
        <w:rPr>
          <w:rFonts w:hint="eastAsia"/>
        </w:rPr>
        <w:t>0213-14380264</w:t>
      </w:r>
      <w:r>
        <w:rPr>
          <w:rFonts w:hint="eastAsia"/>
        </w:rPr>
        <w:t>、</w:t>
      </w:r>
      <w:r>
        <w:rPr>
          <w:rFonts w:hint="eastAsia"/>
        </w:rPr>
        <w:t>0213-14380265)</w:t>
      </w:r>
      <w:r>
        <w:rPr>
          <w:rFonts w:hint="eastAsia"/>
        </w:rPr>
        <w:t>资助</w:t>
      </w:r>
    </w:p>
    <w:p w14:paraId="6FDB7162" w14:textId="77777777" w:rsidR="00455074" w:rsidRDefault="00455074">
      <w:pPr>
        <w:ind w:leftChars="200" w:left="1470" w:hangingChars="500" w:hanging="1050"/>
      </w:pPr>
    </w:p>
    <w:p w14:paraId="413B91CE" w14:textId="77777777" w:rsidR="00455074" w:rsidRDefault="00455074">
      <w:pPr>
        <w:ind w:firstLine="420"/>
      </w:pPr>
    </w:p>
    <w:p w14:paraId="51AF6C40" w14:textId="77777777" w:rsidR="00455074" w:rsidRDefault="00A45B6B">
      <w:pPr>
        <w:ind w:firstLine="422"/>
        <w:rPr>
          <w:szCs w:val="21"/>
        </w:rPr>
      </w:pPr>
      <w:bookmarkStart w:id="113" w:name="中文作者简介_2"/>
      <w:bookmarkStart w:id="114" w:name="_GoBack"/>
      <w:r>
        <w:rPr>
          <w:b/>
          <w:noProof/>
          <w:szCs w:val="21"/>
          <w:highlight w:val="white"/>
        </w:rPr>
        <w:drawing>
          <wp:inline distT="0" distB="0" distL="114300" distR="114300">
            <wp:extent cx="682625" cy="1023620"/>
            <wp:effectExtent l="0" t="0" r="3175" b="5080"/>
            <wp:docPr id="1" name="图片 1" descr="007f7f19c9f0fcc42204ae171139d9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07f7f19c9f0fcc42204ae171139d9e8"/>
                    <pic:cNvPicPr>
                      <a:picLocks noChangeAspect="1"/>
                    </pic:cNvPicPr>
                  </pic:nvPicPr>
                  <pic:blipFill>
                    <a:blip r:embed="rId17"/>
                    <a:stretch>
                      <a:fillRect/>
                    </a:stretch>
                  </pic:blipFill>
                  <pic:spPr>
                    <a:xfrm flipH="1">
                      <a:off x="0" y="0"/>
                      <a:ext cx="682625" cy="1023620"/>
                    </a:xfrm>
                    <a:prstGeom prst="rect">
                      <a:avLst/>
                    </a:prstGeom>
                  </pic:spPr>
                </pic:pic>
              </a:graphicData>
            </a:graphic>
          </wp:inline>
        </w:drawing>
      </w:r>
      <w:bookmarkEnd w:id="114"/>
      <w:r>
        <w:rPr>
          <w:b/>
          <w:szCs w:val="21"/>
          <w:highlight w:val="white"/>
        </w:rPr>
        <w:t>作者简介：</w:t>
      </w:r>
      <w:r>
        <w:rPr>
          <w:rFonts w:hint="eastAsia"/>
          <w:szCs w:val="21"/>
        </w:rPr>
        <w:t>张旭苹（</w:t>
      </w:r>
      <w:r>
        <w:rPr>
          <w:rFonts w:hint="eastAsia"/>
          <w:szCs w:val="21"/>
        </w:rPr>
        <w:t>1962</w:t>
      </w:r>
      <w:r>
        <w:rPr>
          <w:rFonts w:hint="eastAsia"/>
          <w:szCs w:val="21"/>
        </w:rPr>
        <w:t>—），女，博士，南京大学二级教授、博士生导师。</w:t>
      </w:r>
      <w:r>
        <w:rPr>
          <w:rFonts w:hint="eastAsia"/>
          <w:szCs w:val="21"/>
        </w:rPr>
        <w:t>1983</w:t>
      </w:r>
      <w:r>
        <w:rPr>
          <w:rFonts w:hint="eastAsia"/>
          <w:szCs w:val="21"/>
        </w:rPr>
        <w:t>年、</w:t>
      </w:r>
      <w:r>
        <w:rPr>
          <w:rFonts w:hint="eastAsia"/>
          <w:szCs w:val="21"/>
        </w:rPr>
        <w:t>1986</w:t>
      </w:r>
      <w:r>
        <w:rPr>
          <w:rFonts w:hint="eastAsia"/>
          <w:szCs w:val="21"/>
        </w:rPr>
        <w:t>年、</w:t>
      </w:r>
      <w:r>
        <w:rPr>
          <w:rFonts w:hint="eastAsia"/>
          <w:szCs w:val="21"/>
        </w:rPr>
        <w:t>1995</w:t>
      </w:r>
      <w:r>
        <w:rPr>
          <w:rFonts w:hint="eastAsia"/>
          <w:szCs w:val="21"/>
        </w:rPr>
        <w:t>年分获东南大学电子工程学士、硕士、博士学位。长期从事分布式光纤传感原理、技术及应用研究。</w:t>
      </w:r>
    </w:p>
    <w:p w14:paraId="6B7BECAF" w14:textId="77777777" w:rsidR="00455074" w:rsidRDefault="00A45B6B">
      <w:pPr>
        <w:ind w:firstLine="420"/>
        <w:rPr>
          <w:szCs w:val="21"/>
        </w:rPr>
      </w:pPr>
      <w:bookmarkStart w:id="115" w:name="中文作者简介_3"/>
      <w:bookmarkEnd w:id="113"/>
      <w:r>
        <w:rPr>
          <w:szCs w:val="21"/>
          <w:highlight w:val="white"/>
        </w:rPr>
        <w:t>†</w:t>
      </w:r>
      <w:r>
        <w:rPr>
          <w:rFonts w:hint="eastAsia"/>
          <w:b/>
          <w:szCs w:val="21"/>
          <w:highlight w:val="white"/>
        </w:rPr>
        <w:t>共</w:t>
      </w:r>
      <w:r>
        <w:rPr>
          <w:b/>
          <w:szCs w:val="21"/>
          <w:highlight w:val="white"/>
        </w:rPr>
        <w:t>一作者</w:t>
      </w:r>
      <w:r>
        <w:rPr>
          <w:rFonts w:hint="eastAsia"/>
          <w:szCs w:val="21"/>
          <w:highlight w:val="white"/>
        </w:rPr>
        <w:t>：闫森（</w:t>
      </w:r>
      <w:r>
        <w:rPr>
          <w:rFonts w:hint="eastAsia"/>
          <w:szCs w:val="21"/>
          <w:highlight w:val="white"/>
        </w:rPr>
        <w:t>19</w:t>
      </w:r>
      <w:r>
        <w:rPr>
          <w:szCs w:val="21"/>
          <w:highlight w:val="white"/>
        </w:rPr>
        <w:t>96</w:t>
      </w:r>
      <w:r>
        <w:rPr>
          <w:rFonts w:hint="eastAsia"/>
          <w:szCs w:val="21"/>
          <w:highlight w:val="white"/>
        </w:rPr>
        <w:t>—），</w:t>
      </w:r>
      <w:bookmarkEnd w:id="115"/>
      <w:r>
        <w:rPr>
          <w:rFonts w:hint="eastAsia"/>
          <w:szCs w:val="21"/>
        </w:rPr>
        <w:t>男，</w:t>
      </w:r>
      <w:r>
        <w:rPr>
          <w:rFonts w:hint="eastAsia"/>
          <w:szCs w:val="21"/>
        </w:rPr>
        <w:t>2</w:t>
      </w:r>
      <w:r>
        <w:rPr>
          <w:szCs w:val="21"/>
        </w:rPr>
        <w:t>022</w:t>
      </w:r>
      <w:r>
        <w:rPr>
          <w:rFonts w:hint="eastAsia"/>
          <w:szCs w:val="21"/>
        </w:rPr>
        <w:t>年在齐鲁工业大学（山东科学院）获得控制科学与工程硕士学位，目前在南京大学工程与应用科学学院攻读博士学位。</w:t>
      </w:r>
    </w:p>
    <w:p w14:paraId="0FC5A69B" w14:textId="77777777" w:rsidR="00455074" w:rsidRDefault="00455074">
      <w:pPr>
        <w:ind w:firstLine="420"/>
        <w:rPr>
          <w:szCs w:val="21"/>
        </w:rPr>
      </w:pPr>
    </w:p>
    <w:p w14:paraId="195D3731" w14:textId="7CFBA86E" w:rsidR="00455074" w:rsidRDefault="00A45B6B">
      <w:pPr>
        <w:ind w:firstLine="420"/>
      </w:pPr>
      <w:r>
        <w:t xml:space="preserve"> </w:t>
      </w:r>
    </w:p>
    <w:sectPr w:rsidR="00455074">
      <w:headerReference w:type="even" r:id="rId18"/>
      <w:headerReference w:type="default" r:id="rId19"/>
      <w:footerReference w:type="even" r:id="rId20"/>
      <w:footerReference w:type="default" r:id="rId21"/>
      <w:headerReference w:type="first" r:id="rId22"/>
      <w:footerReference w:type="first" r:id="rId23"/>
      <w:pgSz w:w="11906" w:h="16838"/>
      <w:pgMar w:top="1440" w:right="1800" w:bottom="1440" w:left="1800"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A72BD" w14:textId="77777777" w:rsidR="00C61271" w:rsidRDefault="00C61271">
      <w:pPr>
        <w:ind w:firstLine="420"/>
      </w:pPr>
      <w:r>
        <w:separator/>
      </w:r>
    </w:p>
  </w:endnote>
  <w:endnote w:type="continuationSeparator" w:id="0">
    <w:p w14:paraId="763654AC" w14:textId="77777777" w:rsidR="00C61271" w:rsidRDefault="00C61271">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875B2" w14:textId="77777777" w:rsidR="00A45B6B" w:rsidRDefault="00A45B6B">
    <w:pPr>
      <w:pStyle w:val="a8"/>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DDE14" w14:textId="77777777" w:rsidR="00A45B6B" w:rsidRDefault="00A45B6B">
    <w:pPr>
      <w:pStyle w:val="a8"/>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C4982" w14:textId="77777777" w:rsidR="00A45B6B" w:rsidRDefault="00A45B6B">
    <w:pPr>
      <w:pStyle w:val="a8"/>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0873C" w14:textId="77777777" w:rsidR="00C61271" w:rsidRDefault="00C61271">
      <w:pPr>
        <w:ind w:firstLine="420"/>
      </w:pPr>
      <w:r>
        <w:separator/>
      </w:r>
    </w:p>
  </w:footnote>
  <w:footnote w:type="continuationSeparator" w:id="0">
    <w:p w14:paraId="669FE1AE" w14:textId="77777777" w:rsidR="00C61271" w:rsidRDefault="00C61271">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A4842" w14:textId="77777777" w:rsidR="00A45B6B" w:rsidRDefault="00A45B6B">
    <w:pPr>
      <w:pStyle w:val="aa"/>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0C174" w14:textId="77777777" w:rsidR="00A45B6B" w:rsidRDefault="00A45B6B">
    <w:pPr>
      <w:pStyle w:val="aa"/>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AC574" w14:textId="77777777" w:rsidR="00A45B6B" w:rsidRDefault="00A45B6B">
    <w:pPr>
      <w:pStyle w:val="aa"/>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067BC7"/>
    <w:multiLevelType w:val="multilevel"/>
    <w:tmpl w:val="55067BC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oNotDisplayPageBoundaries/>
  <w:bordersDoNotSurroundHeader/>
  <w:bordersDoNotSurroundFooter/>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5BAB"/>
    <w:rsid w:val="00006B2D"/>
    <w:rsid w:val="0001390A"/>
    <w:rsid w:val="00013C11"/>
    <w:rsid w:val="00020DE1"/>
    <w:rsid w:val="000243AA"/>
    <w:rsid w:val="00025449"/>
    <w:rsid w:val="00030833"/>
    <w:rsid w:val="00037A4D"/>
    <w:rsid w:val="00037DF2"/>
    <w:rsid w:val="000400F9"/>
    <w:rsid w:val="00040337"/>
    <w:rsid w:val="000422EB"/>
    <w:rsid w:val="000427F1"/>
    <w:rsid w:val="00044E71"/>
    <w:rsid w:val="00045035"/>
    <w:rsid w:val="000458A9"/>
    <w:rsid w:val="00052D74"/>
    <w:rsid w:val="0005416F"/>
    <w:rsid w:val="00054500"/>
    <w:rsid w:val="000546BE"/>
    <w:rsid w:val="000625F9"/>
    <w:rsid w:val="00062FFA"/>
    <w:rsid w:val="00072CCB"/>
    <w:rsid w:val="00073C66"/>
    <w:rsid w:val="0007503F"/>
    <w:rsid w:val="00077318"/>
    <w:rsid w:val="00080DF1"/>
    <w:rsid w:val="00082CDE"/>
    <w:rsid w:val="000836D2"/>
    <w:rsid w:val="0009214D"/>
    <w:rsid w:val="00092ACE"/>
    <w:rsid w:val="00092C91"/>
    <w:rsid w:val="0009413A"/>
    <w:rsid w:val="000A0DC7"/>
    <w:rsid w:val="000A5496"/>
    <w:rsid w:val="000A6A6F"/>
    <w:rsid w:val="000B02A7"/>
    <w:rsid w:val="000B0374"/>
    <w:rsid w:val="000B2E05"/>
    <w:rsid w:val="000B51CE"/>
    <w:rsid w:val="000B7BD6"/>
    <w:rsid w:val="000C17A3"/>
    <w:rsid w:val="000C3943"/>
    <w:rsid w:val="000D462F"/>
    <w:rsid w:val="000D622D"/>
    <w:rsid w:val="000E6AF8"/>
    <w:rsid w:val="000F114B"/>
    <w:rsid w:val="000F7C33"/>
    <w:rsid w:val="000F7C7C"/>
    <w:rsid w:val="00100DBC"/>
    <w:rsid w:val="001015D9"/>
    <w:rsid w:val="00103E73"/>
    <w:rsid w:val="001042FF"/>
    <w:rsid w:val="00107BE5"/>
    <w:rsid w:val="0011065C"/>
    <w:rsid w:val="00115AD2"/>
    <w:rsid w:val="00124F64"/>
    <w:rsid w:val="001254AD"/>
    <w:rsid w:val="0013051D"/>
    <w:rsid w:val="00133D75"/>
    <w:rsid w:val="001343E9"/>
    <w:rsid w:val="00135630"/>
    <w:rsid w:val="00135BD7"/>
    <w:rsid w:val="00135F8D"/>
    <w:rsid w:val="0013603E"/>
    <w:rsid w:val="00141CCE"/>
    <w:rsid w:val="00146C8E"/>
    <w:rsid w:val="0014790E"/>
    <w:rsid w:val="0015272E"/>
    <w:rsid w:val="001528E2"/>
    <w:rsid w:val="00155137"/>
    <w:rsid w:val="001562A4"/>
    <w:rsid w:val="00157391"/>
    <w:rsid w:val="00157667"/>
    <w:rsid w:val="00165EB2"/>
    <w:rsid w:val="001660EE"/>
    <w:rsid w:val="001664A3"/>
    <w:rsid w:val="00170744"/>
    <w:rsid w:val="00171A3B"/>
    <w:rsid w:val="001758F4"/>
    <w:rsid w:val="00176996"/>
    <w:rsid w:val="001775AF"/>
    <w:rsid w:val="00182C48"/>
    <w:rsid w:val="00182F46"/>
    <w:rsid w:val="001864E1"/>
    <w:rsid w:val="00186E1C"/>
    <w:rsid w:val="001875FC"/>
    <w:rsid w:val="00191823"/>
    <w:rsid w:val="00197193"/>
    <w:rsid w:val="00197BD7"/>
    <w:rsid w:val="001A0495"/>
    <w:rsid w:val="001A2626"/>
    <w:rsid w:val="001A46BD"/>
    <w:rsid w:val="001A535B"/>
    <w:rsid w:val="001B174F"/>
    <w:rsid w:val="001B3F06"/>
    <w:rsid w:val="001C40FF"/>
    <w:rsid w:val="001D0FB8"/>
    <w:rsid w:val="001D25CB"/>
    <w:rsid w:val="001D2B9A"/>
    <w:rsid w:val="001D429A"/>
    <w:rsid w:val="001E2067"/>
    <w:rsid w:val="001E6070"/>
    <w:rsid w:val="001F5A3F"/>
    <w:rsid w:val="001F7660"/>
    <w:rsid w:val="00202D03"/>
    <w:rsid w:val="00203826"/>
    <w:rsid w:val="0020495E"/>
    <w:rsid w:val="0020547C"/>
    <w:rsid w:val="00206611"/>
    <w:rsid w:val="0021250A"/>
    <w:rsid w:val="00215B6A"/>
    <w:rsid w:val="00220640"/>
    <w:rsid w:val="00224BA3"/>
    <w:rsid w:val="00226043"/>
    <w:rsid w:val="0022670F"/>
    <w:rsid w:val="00227188"/>
    <w:rsid w:val="00232F6E"/>
    <w:rsid w:val="002461B1"/>
    <w:rsid w:val="002504C4"/>
    <w:rsid w:val="0025171B"/>
    <w:rsid w:val="00251E18"/>
    <w:rsid w:val="00254238"/>
    <w:rsid w:val="00255698"/>
    <w:rsid w:val="00256E8C"/>
    <w:rsid w:val="002655B2"/>
    <w:rsid w:val="00267840"/>
    <w:rsid w:val="00274529"/>
    <w:rsid w:val="00276481"/>
    <w:rsid w:val="00286B67"/>
    <w:rsid w:val="00291157"/>
    <w:rsid w:val="00291EF5"/>
    <w:rsid w:val="00297639"/>
    <w:rsid w:val="002A0E7A"/>
    <w:rsid w:val="002A4E2D"/>
    <w:rsid w:val="002B5505"/>
    <w:rsid w:val="002B579B"/>
    <w:rsid w:val="002B675B"/>
    <w:rsid w:val="002C02CE"/>
    <w:rsid w:val="002C12B6"/>
    <w:rsid w:val="002C27FC"/>
    <w:rsid w:val="002C3059"/>
    <w:rsid w:val="002C40AC"/>
    <w:rsid w:val="002C4D3E"/>
    <w:rsid w:val="002D15C7"/>
    <w:rsid w:val="002E1B5D"/>
    <w:rsid w:val="002E4EAA"/>
    <w:rsid w:val="002E73D7"/>
    <w:rsid w:val="002E7B88"/>
    <w:rsid w:val="002F0A92"/>
    <w:rsid w:val="002F1399"/>
    <w:rsid w:val="002F2F9A"/>
    <w:rsid w:val="002F3C77"/>
    <w:rsid w:val="00305B9B"/>
    <w:rsid w:val="00312337"/>
    <w:rsid w:val="00314043"/>
    <w:rsid w:val="00315429"/>
    <w:rsid w:val="00320A60"/>
    <w:rsid w:val="003212CC"/>
    <w:rsid w:val="00321E1D"/>
    <w:rsid w:val="0032531C"/>
    <w:rsid w:val="003278C4"/>
    <w:rsid w:val="003331A2"/>
    <w:rsid w:val="00342B8A"/>
    <w:rsid w:val="003540A2"/>
    <w:rsid w:val="0035460D"/>
    <w:rsid w:val="0036092C"/>
    <w:rsid w:val="00361C1F"/>
    <w:rsid w:val="003659B2"/>
    <w:rsid w:val="003710D3"/>
    <w:rsid w:val="00375873"/>
    <w:rsid w:val="00375C28"/>
    <w:rsid w:val="00375C88"/>
    <w:rsid w:val="0037641E"/>
    <w:rsid w:val="00376436"/>
    <w:rsid w:val="0038498C"/>
    <w:rsid w:val="00385940"/>
    <w:rsid w:val="00386928"/>
    <w:rsid w:val="003876DA"/>
    <w:rsid w:val="003A3437"/>
    <w:rsid w:val="003B26E9"/>
    <w:rsid w:val="003B4227"/>
    <w:rsid w:val="003B4E2D"/>
    <w:rsid w:val="003B61A3"/>
    <w:rsid w:val="003B67D9"/>
    <w:rsid w:val="003C3C56"/>
    <w:rsid w:val="003C41F2"/>
    <w:rsid w:val="003C4D74"/>
    <w:rsid w:val="003C59E6"/>
    <w:rsid w:val="003C7469"/>
    <w:rsid w:val="003C773F"/>
    <w:rsid w:val="003D0F6B"/>
    <w:rsid w:val="003D2DC7"/>
    <w:rsid w:val="003D336B"/>
    <w:rsid w:val="003D7E35"/>
    <w:rsid w:val="003E12B2"/>
    <w:rsid w:val="003E2194"/>
    <w:rsid w:val="003E3203"/>
    <w:rsid w:val="003E6BAA"/>
    <w:rsid w:val="003E6DB0"/>
    <w:rsid w:val="003F0FB6"/>
    <w:rsid w:val="003F56B3"/>
    <w:rsid w:val="003F6019"/>
    <w:rsid w:val="00400705"/>
    <w:rsid w:val="00401201"/>
    <w:rsid w:val="00401F62"/>
    <w:rsid w:val="00412688"/>
    <w:rsid w:val="00414CE5"/>
    <w:rsid w:val="00414FF6"/>
    <w:rsid w:val="00421FE7"/>
    <w:rsid w:val="00424E47"/>
    <w:rsid w:val="004274F1"/>
    <w:rsid w:val="0043141F"/>
    <w:rsid w:val="004333AB"/>
    <w:rsid w:val="00433535"/>
    <w:rsid w:val="00447727"/>
    <w:rsid w:val="00447847"/>
    <w:rsid w:val="0045082D"/>
    <w:rsid w:val="00454266"/>
    <w:rsid w:val="00455074"/>
    <w:rsid w:val="0045515F"/>
    <w:rsid w:val="004647A2"/>
    <w:rsid w:val="00464B2C"/>
    <w:rsid w:val="00467B8B"/>
    <w:rsid w:val="00476E03"/>
    <w:rsid w:val="0048355A"/>
    <w:rsid w:val="0048612A"/>
    <w:rsid w:val="0049525D"/>
    <w:rsid w:val="00495CCF"/>
    <w:rsid w:val="004A01BD"/>
    <w:rsid w:val="004A2781"/>
    <w:rsid w:val="004A7175"/>
    <w:rsid w:val="004B2485"/>
    <w:rsid w:val="004B2503"/>
    <w:rsid w:val="004B290A"/>
    <w:rsid w:val="004B456C"/>
    <w:rsid w:val="004B4F59"/>
    <w:rsid w:val="004B77DD"/>
    <w:rsid w:val="004C44F7"/>
    <w:rsid w:val="004D407A"/>
    <w:rsid w:val="004E1905"/>
    <w:rsid w:val="004E32D9"/>
    <w:rsid w:val="004E478B"/>
    <w:rsid w:val="004E6D37"/>
    <w:rsid w:val="004F06E4"/>
    <w:rsid w:val="00507BB7"/>
    <w:rsid w:val="00511A1C"/>
    <w:rsid w:val="00512EDA"/>
    <w:rsid w:val="00514B57"/>
    <w:rsid w:val="00522513"/>
    <w:rsid w:val="00530122"/>
    <w:rsid w:val="00530F4D"/>
    <w:rsid w:val="00531773"/>
    <w:rsid w:val="00532DFA"/>
    <w:rsid w:val="005340B5"/>
    <w:rsid w:val="0054019E"/>
    <w:rsid w:val="00540410"/>
    <w:rsid w:val="00541EA0"/>
    <w:rsid w:val="0054402B"/>
    <w:rsid w:val="0055581C"/>
    <w:rsid w:val="0055586C"/>
    <w:rsid w:val="0055734B"/>
    <w:rsid w:val="005618DC"/>
    <w:rsid w:val="00565A55"/>
    <w:rsid w:val="005664DB"/>
    <w:rsid w:val="005668BC"/>
    <w:rsid w:val="005747FF"/>
    <w:rsid w:val="0058513D"/>
    <w:rsid w:val="00590249"/>
    <w:rsid w:val="0059349C"/>
    <w:rsid w:val="00594B22"/>
    <w:rsid w:val="00596717"/>
    <w:rsid w:val="005A52A9"/>
    <w:rsid w:val="005A5E82"/>
    <w:rsid w:val="005A6024"/>
    <w:rsid w:val="005B0233"/>
    <w:rsid w:val="005B2575"/>
    <w:rsid w:val="005B348C"/>
    <w:rsid w:val="005B3AD1"/>
    <w:rsid w:val="005B7A6C"/>
    <w:rsid w:val="005C1538"/>
    <w:rsid w:val="005C2EF1"/>
    <w:rsid w:val="005D0591"/>
    <w:rsid w:val="005D0C3A"/>
    <w:rsid w:val="005D2DF1"/>
    <w:rsid w:val="005D2F89"/>
    <w:rsid w:val="005D3CE3"/>
    <w:rsid w:val="005D67A7"/>
    <w:rsid w:val="005E21D2"/>
    <w:rsid w:val="005F0F30"/>
    <w:rsid w:val="005F4E93"/>
    <w:rsid w:val="005F57E0"/>
    <w:rsid w:val="0060007C"/>
    <w:rsid w:val="006002E9"/>
    <w:rsid w:val="0060431E"/>
    <w:rsid w:val="00607EAD"/>
    <w:rsid w:val="00610C96"/>
    <w:rsid w:val="006135B5"/>
    <w:rsid w:val="006200E5"/>
    <w:rsid w:val="00621E91"/>
    <w:rsid w:val="006254B9"/>
    <w:rsid w:val="00625537"/>
    <w:rsid w:val="00627825"/>
    <w:rsid w:val="00633004"/>
    <w:rsid w:val="00641132"/>
    <w:rsid w:val="00642759"/>
    <w:rsid w:val="00651F1F"/>
    <w:rsid w:val="00652297"/>
    <w:rsid w:val="00654FD8"/>
    <w:rsid w:val="006551FB"/>
    <w:rsid w:val="00660CDC"/>
    <w:rsid w:val="006654A6"/>
    <w:rsid w:val="00673242"/>
    <w:rsid w:val="00673FFE"/>
    <w:rsid w:val="00675A12"/>
    <w:rsid w:val="00677BB8"/>
    <w:rsid w:val="00682468"/>
    <w:rsid w:val="00687291"/>
    <w:rsid w:val="006915CF"/>
    <w:rsid w:val="00693891"/>
    <w:rsid w:val="006A36F3"/>
    <w:rsid w:val="006A3A5D"/>
    <w:rsid w:val="006A48C9"/>
    <w:rsid w:val="006A4C02"/>
    <w:rsid w:val="006A6228"/>
    <w:rsid w:val="006A670A"/>
    <w:rsid w:val="006B4783"/>
    <w:rsid w:val="006C0390"/>
    <w:rsid w:val="006D1577"/>
    <w:rsid w:val="006D2875"/>
    <w:rsid w:val="006D37AC"/>
    <w:rsid w:val="006D4B9D"/>
    <w:rsid w:val="006D5002"/>
    <w:rsid w:val="006D51AF"/>
    <w:rsid w:val="006D6908"/>
    <w:rsid w:val="006D7A7D"/>
    <w:rsid w:val="006E0189"/>
    <w:rsid w:val="006E2F6A"/>
    <w:rsid w:val="006E4341"/>
    <w:rsid w:val="006E5C5A"/>
    <w:rsid w:val="006F17F8"/>
    <w:rsid w:val="006F1AE7"/>
    <w:rsid w:val="006F3FEA"/>
    <w:rsid w:val="006F4ABD"/>
    <w:rsid w:val="00705288"/>
    <w:rsid w:val="00713949"/>
    <w:rsid w:val="0071540E"/>
    <w:rsid w:val="007202B9"/>
    <w:rsid w:val="0072061F"/>
    <w:rsid w:val="00722F7A"/>
    <w:rsid w:val="007269F1"/>
    <w:rsid w:val="00734ED7"/>
    <w:rsid w:val="00742680"/>
    <w:rsid w:val="00747B7C"/>
    <w:rsid w:val="007504B4"/>
    <w:rsid w:val="0075088C"/>
    <w:rsid w:val="0075255B"/>
    <w:rsid w:val="007536B4"/>
    <w:rsid w:val="0075589D"/>
    <w:rsid w:val="00755E6F"/>
    <w:rsid w:val="007567AB"/>
    <w:rsid w:val="00757DFE"/>
    <w:rsid w:val="0076478D"/>
    <w:rsid w:val="00767116"/>
    <w:rsid w:val="007674C4"/>
    <w:rsid w:val="00767722"/>
    <w:rsid w:val="0077758E"/>
    <w:rsid w:val="00783E71"/>
    <w:rsid w:val="00786324"/>
    <w:rsid w:val="00786714"/>
    <w:rsid w:val="007879FE"/>
    <w:rsid w:val="00795F58"/>
    <w:rsid w:val="00797513"/>
    <w:rsid w:val="007A04E4"/>
    <w:rsid w:val="007A1703"/>
    <w:rsid w:val="007A66D7"/>
    <w:rsid w:val="007B0BB3"/>
    <w:rsid w:val="007B55DF"/>
    <w:rsid w:val="007C6170"/>
    <w:rsid w:val="007D2685"/>
    <w:rsid w:val="007D3FA3"/>
    <w:rsid w:val="007D6A84"/>
    <w:rsid w:val="007D77E9"/>
    <w:rsid w:val="007D7894"/>
    <w:rsid w:val="007E06E1"/>
    <w:rsid w:val="007E1963"/>
    <w:rsid w:val="007E2CE2"/>
    <w:rsid w:val="007E6E88"/>
    <w:rsid w:val="007F0053"/>
    <w:rsid w:val="007F08C7"/>
    <w:rsid w:val="007F2FEF"/>
    <w:rsid w:val="007F3DB2"/>
    <w:rsid w:val="00802A60"/>
    <w:rsid w:val="00803206"/>
    <w:rsid w:val="00805B84"/>
    <w:rsid w:val="00817E17"/>
    <w:rsid w:val="00820B48"/>
    <w:rsid w:val="00822CD3"/>
    <w:rsid w:val="00824283"/>
    <w:rsid w:val="00826675"/>
    <w:rsid w:val="008269F8"/>
    <w:rsid w:val="00830CB8"/>
    <w:rsid w:val="008357C8"/>
    <w:rsid w:val="00837BAA"/>
    <w:rsid w:val="00845457"/>
    <w:rsid w:val="008457F7"/>
    <w:rsid w:val="008458F5"/>
    <w:rsid w:val="00846871"/>
    <w:rsid w:val="00847238"/>
    <w:rsid w:val="0084769A"/>
    <w:rsid w:val="00852FB7"/>
    <w:rsid w:val="00854038"/>
    <w:rsid w:val="0085568F"/>
    <w:rsid w:val="00857779"/>
    <w:rsid w:val="0086166E"/>
    <w:rsid w:val="00861DDC"/>
    <w:rsid w:val="00863B19"/>
    <w:rsid w:val="00865540"/>
    <w:rsid w:val="0086689F"/>
    <w:rsid w:val="008706EF"/>
    <w:rsid w:val="0087215A"/>
    <w:rsid w:val="00873566"/>
    <w:rsid w:val="0087368C"/>
    <w:rsid w:val="0087479C"/>
    <w:rsid w:val="008747E2"/>
    <w:rsid w:val="00875843"/>
    <w:rsid w:val="008758FA"/>
    <w:rsid w:val="00877A45"/>
    <w:rsid w:val="00880E15"/>
    <w:rsid w:val="00884BF0"/>
    <w:rsid w:val="0088700A"/>
    <w:rsid w:val="008872ED"/>
    <w:rsid w:val="008902FC"/>
    <w:rsid w:val="00891C51"/>
    <w:rsid w:val="00895486"/>
    <w:rsid w:val="00895637"/>
    <w:rsid w:val="00896978"/>
    <w:rsid w:val="008A0892"/>
    <w:rsid w:val="008B1E41"/>
    <w:rsid w:val="008B2A78"/>
    <w:rsid w:val="008B5626"/>
    <w:rsid w:val="008C6709"/>
    <w:rsid w:val="008C7929"/>
    <w:rsid w:val="008D010D"/>
    <w:rsid w:val="008D06E1"/>
    <w:rsid w:val="008E4822"/>
    <w:rsid w:val="008F1743"/>
    <w:rsid w:val="008F329A"/>
    <w:rsid w:val="008F70BA"/>
    <w:rsid w:val="00912C2E"/>
    <w:rsid w:val="009130A4"/>
    <w:rsid w:val="00914328"/>
    <w:rsid w:val="009154A9"/>
    <w:rsid w:val="0091744D"/>
    <w:rsid w:val="00917577"/>
    <w:rsid w:val="009215CF"/>
    <w:rsid w:val="009232CF"/>
    <w:rsid w:val="00924635"/>
    <w:rsid w:val="00924B37"/>
    <w:rsid w:val="00925464"/>
    <w:rsid w:val="0092693E"/>
    <w:rsid w:val="00930166"/>
    <w:rsid w:val="00930860"/>
    <w:rsid w:val="00930C34"/>
    <w:rsid w:val="0093233F"/>
    <w:rsid w:val="00932B08"/>
    <w:rsid w:val="00933375"/>
    <w:rsid w:val="00935007"/>
    <w:rsid w:val="00935DB1"/>
    <w:rsid w:val="00935FCA"/>
    <w:rsid w:val="00936DAA"/>
    <w:rsid w:val="0094009E"/>
    <w:rsid w:val="00941A13"/>
    <w:rsid w:val="00942068"/>
    <w:rsid w:val="009535D9"/>
    <w:rsid w:val="009541C2"/>
    <w:rsid w:val="009558D8"/>
    <w:rsid w:val="00960E7A"/>
    <w:rsid w:val="00962A74"/>
    <w:rsid w:val="0096319D"/>
    <w:rsid w:val="0096363A"/>
    <w:rsid w:val="0096677F"/>
    <w:rsid w:val="009723DD"/>
    <w:rsid w:val="009766E6"/>
    <w:rsid w:val="00976D49"/>
    <w:rsid w:val="00980C93"/>
    <w:rsid w:val="00982DBD"/>
    <w:rsid w:val="00996B73"/>
    <w:rsid w:val="009A2FA2"/>
    <w:rsid w:val="009A39B9"/>
    <w:rsid w:val="009B172C"/>
    <w:rsid w:val="009B3121"/>
    <w:rsid w:val="009B3345"/>
    <w:rsid w:val="009B33F2"/>
    <w:rsid w:val="009B7AD6"/>
    <w:rsid w:val="009B7EA7"/>
    <w:rsid w:val="009C66B4"/>
    <w:rsid w:val="009D6B0E"/>
    <w:rsid w:val="009E05B4"/>
    <w:rsid w:val="009E1ED3"/>
    <w:rsid w:val="009E213F"/>
    <w:rsid w:val="009E41E5"/>
    <w:rsid w:val="009E5ACA"/>
    <w:rsid w:val="009E63B6"/>
    <w:rsid w:val="009E64F5"/>
    <w:rsid w:val="009F48FD"/>
    <w:rsid w:val="009F6E90"/>
    <w:rsid w:val="009F7745"/>
    <w:rsid w:val="00A04464"/>
    <w:rsid w:val="00A127B7"/>
    <w:rsid w:val="00A13DCC"/>
    <w:rsid w:val="00A14765"/>
    <w:rsid w:val="00A14C9B"/>
    <w:rsid w:val="00A14FB1"/>
    <w:rsid w:val="00A17BE7"/>
    <w:rsid w:val="00A21490"/>
    <w:rsid w:val="00A21F55"/>
    <w:rsid w:val="00A2347B"/>
    <w:rsid w:val="00A236B6"/>
    <w:rsid w:val="00A24185"/>
    <w:rsid w:val="00A2440C"/>
    <w:rsid w:val="00A264A4"/>
    <w:rsid w:val="00A26BD1"/>
    <w:rsid w:val="00A27715"/>
    <w:rsid w:val="00A40953"/>
    <w:rsid w:val="00A40AD9"/>
    <w:rsid w:val="00A41BFC"/>
    <w:rsid w:val="00A42E13"/>
    <w:rsid w:val="00A44532"/>
    <w:rsid w:val="00A45B6B"/>
    <w:rsid w:val="00A51624"/>
    <w:rsid w:val="00A523C2"/>
    <w:rsid w:val="00A54433"/>
    <w:rsid w:val="00A545FD"/>
    <w:rsid w:val="00A5494C"/>
    <w:rsid w:val="00A60EBA"/>
    <w:rsid w:val="00A61B0C"/>
    <w:rsid w:val="00A61BC1"/>
    <w:rsid w:val="00A64739"/>
    <w:rsid w:val="00A6673A"/>
    <w:rsid w:val="00A80606"/>
    <w:rsid w:val="00A806E3"/>
    <w:rsid w:val="00A8094E"/>
    <w:rsid w:val="00A84B35"/>
    <w:rsid w:val="00A84E73"/>
    <w:rsid w:val="00A85D81"/>
    <w:rsid w:val="00A916D7"/>
    <w:rsid w:val="00A91C4E"/>
    <w:rsid w:val="00A93022"/>
    <w:rsid w:val="00A95DD5"/>
    <w:rsid w:val="00A9713B"/>
    <w:rsid w:val="00AA442B"/>
    <w:rsid w:val="00AA7698"/>
    <w:rsid w:val="00AA7B73"/>
    <w:rsid w:val="00AB288D"/>
    <w:rsid w:val="00AB29A9"/>
    <w:rsid w:val="00AB5414"/>
    <w:rsid w:val="00AC0262"/>
    <w:rsid w:val="00AC4297"/>
    <w:rsid w:val="00AC43F6"/>
    <w:rsid w:val="00AC4AD1"/>
    <w:rsid w:val="00AC605A"/>
    <w:rsid w:val="00AC7AED"/>
    <w:rsid w:val="00AD0755"/>
    <w:rsid w:val="00AE1E12"/>
    <w:rsid w:val="00AE23C1"/>
    <w:rsid w:val="00AE2753"/>
    <w:rsid w:val="00AE5234"/>
    <w:rsid w:val="00AF0468"/>
    <w:rsid w:val="00AF16D0"/>
    <w:rsid w:val="00AF4431"/>
    <w:rsid w:val="00AF4F11"/>
    <w:rsid w:val="00B03197"/>
    <w:rsid w:val="00B046C8"/>
    <w:rsid w:val="00B04AB7"/>
    <w:rsid w:val="00B12208"/>
    <w:rsid w:val="00B130B2"/>
    <w:rsid w:val="00B146BA"/>
    <w:rsid w:val="00B1644F"/>
    <w:rsid w:val="00B21D8A"/>
    <w:rsid w:val="00B23C52"/>
    <w:rsid w:val="00B36352"/>
    <w:rsid w:val="00B372A0"/>
    <w:rsid w:val="00B51DF0"/>
    <w:rsid w:val="00B527C2"/>
    <w:rsid w:val="00B5307D"/>
    <w:rsid w:val="00B53C5F"/>
    <w:rsid w:val="00B5433B"/>
    <w:rsid w:val="00B5452E"/>
    <w:rsid w:val="00B56BF5"/>
    <w:rsid w:val="00B61262"/>
    <w:rsid w:val="00B612DD"/>
    <w:rsid w:val="00B6364C"/>
    <w:rsid w:val="00B71767"/>
    <w:rsid w:val="00B74851"/>
    <w:rsid w:val="00B74A14"/>
    <w:rsid w:val="00B80807"/>
    <w:rsid w:val="00B8551A"/>
    <w:rsid w:val="00B94F90"/>
    <w:rsid w:val="00B96CE0"/>
    <w:rsid w:val="00B97449"/>
    <w:rsid w:val="00BA0A2B"/>
    <w:rsid w:val="00BA59B8"/>
    <w:rsid w:val="00BB0289"/>
    <w:rsid w:val="00BC106A"/>
    <w:rsid w:val="00BC112D"/>
    <w:rsid w:val="00BC1C09"/>
    <w:rsid w:val="00BC358E"/>
    <w:rsid w:val="00BC4C25"/>
    <w:rsid w:val="00BD1CAB"/>
    <w:rsid w:val="00BD548A"/>
    <w:rsid w:val="00BD7987"/>
    <w:rsid w:val="00BE1E75"/>
    <w:rsid w:val="00BE38F5"/>
    <w:rsid w:val="00BE41A4"/>
    <w:rsid w:val="00BE4539"/>
    <w:rsid w:val="00BE539F"/>
    <w:rsid w:val="00BE5FFA"/>
    <w:rsid w:val="00BF0A2E"/>
    <w:rsid w:val="00BF1078"/>
    <w:rsid w:val="00BF17E8"/>
    <w:rsid w:val="00BF3646"/>
    <w:rsid w:val="00BF40C5"/>
    <w:rsid w:val="00BF4549"/>
    <w:rsid w:val="00BF5B72"/>
    <w:rsid w:val="00C168E2"/>
    <w:rsid w:val="00C25AF9"/>
    <w:rsid w:val="00C27630"/>
    <w:rsid w:val="00C32B3A"/>
    <w:rsid w:val="00C33354"/>
    <w:rsid w:val="00C348A2"/>
    <w:rsid w:val="00C37A2C"/>
    <w:rsid w:val="00C401B2"/>
    <w:rsid w:val="00C479BB"/>
    <w:rsid w:val="00C512F1"/>
    <w:rsid w:val="00C51C58"/>
    <w:rsid w:val="00C56C61"/>
    <w:rsid w:val="00C61271"/>
    <w:rsid w:val="00C66CA0"/>
    <w:rsid w:val="00C67AC3"/>
    <w:rsid w:val="00C73F5C"/>
    <w:rsid w:val="00C759DF"/>
    <w:rsid w:val="00C7798D"/>
    <w:rsid w:val="00C90EBD"/>
    <w:rsid w:val="00C95B40"/>
    <w:rsid w:val="00C97D5F"/>
    <w:rsid w:val="00CA1586"/>
    <w:rsid w:val="00CA4B9C"/>
    <w:rsid w:val="00CB2489"/>
    <w:rsid w:val="00CB6057"/>
    <w:rsid w:val="00CB62F3"/>
    <w:rsid w:val="00CC74C7"/>
    <w:rsid w:val="00CD0D6E"/>
    <w:rsid w:val="00CD6544"/>
    <w:rsid w:val="00CE04C8"/>
    <w:rsid w:val="00CE1625"/>
    <w:rsid w:val="00CE200F"/>
    <w:rsid w:val="00CE476C"/>
    <w:rsid w:val="00CE4C7E"/>
    <w:rsid w:val="00CE516F"/>
    <w:rsid w:val="00CF3DB4"/>
    <w:rsid w:val="00CF5E8E"/>
    <w:rsid w:val="00CF65B8"/>
    <w:rsid w:val="00D00269"/>
    <w:rsid w:val="00D01561"/>
    <w:rsid w:val="00D02B10"/>
    <w:rsid w:val="00D04BF5"/>
    <w:rsid w:val="00D04D45"/>
    <w:rsid w:val="00D12B98"/>
    <w:rsid w:val="00D22B72"/>
    <w:rsid w:val="00D23BF8"/>
    <w:rsid w:val="00D245DF"/>
    <w:rsid w:val="00D25024"/>
    <w:rsid w:val="00D36624"/>
    <w:rsid w:val="00D4182D"/>
    <w:rsid w:val="00D51A9C"/>
    <w:rsid w:val="00D52587"/>
    <w:rsid w:val="00D54858"/>
    <w:rsid w:val="00D56855"/>
    <w:rsid w:val="00D571CC"/>
    <w:rsid w:val="00D57BEC"/>
    <w:rsid w:val="00D63B4D"/>
    <w:rsid w:val="00D65C0E"/>
    <w:rsid w:val="00D6779B"/>
    <w:rsid w:val="00D67A32"/>
    <w:rsid w:val="00D739BB"/>
    <w:rsid w:val="00D73AFE"/>
    <w:rsid w:val="00D73FE1"/>
    <w:rsid w:val="00D76987"/>
    <w:rsid w:val="00D837D0"/>
    <w:rsid w:val="00D8402B"/>
    <w:rsid w:val="00D87119"/>
    <w:rsid w:val="00D87610"/>
    <w:rsid w:val="00D93B95"/>
    <w:rsid w:val="00D9691C"/>
    <w:rsid w:val="00D97BD5"/>
    <w:rsid w:val="00DA2352"/>
    <w:rsid w:val="00DA3CC0"/>
    <w:rsid w:val="00DA44EA"/>
    <w:rsid w:val="00DA621B"/>
    <w:rsid w:val="00DA6FA8"/>
    <w:rsid w:val="00DB05AE"/>
    <w:rsid w:val="00DB17C3"/>
    <w:rsid w:val="00DB368C"/>
    <w:rsid w:val="00DB4C62"/>
    <w:rsid w:val="00DB5D63"/>
    <w:rsid w:val="00DB64BF"/>
    <w:rsid w:val="00DB64E1"/>
    <w:rsid w:val="00DC3B6F"/>
    <w:rsid w:val="00DC4518"/>
    <w:rsid w:val="00DC5A1B"/>
    <w:rsid w:val="00DC5C23"/>
    <w:rsid w:val="00DC6207"/>
    <w:rsid w:val="00DD02C0"/>
    <w:rsid w:val="00DD384B"/>
    <w:rsid w:val="00DD3EF5"/>
    <w:rsid w:val="00DD6C95"/>
    <w:rsid w:val="00DE6E6A"/>
    <w:rsid w:val="00DF08D5"/>
    <w:rsid w:val="00DF4DF8"/>
    <w:rsid w:val="00DF52E2"/>
    <w:rsid w:val="00E00E86"/>
    <w:rsid w:val="00E03170"/>
    <w:rsid w:val="00E07039"/>
    <w:rsid w:val="00E11841"/>
    <w:rsid w:val="00E1325E"/>
    <w:rsid w:val="00E201D4"/>
    <w:rsid w:val="00E2584A"/>
    <w:rsid w:val="00E27F79"/>
    <w:rsid w:val="00E3190A"/>
    <w:rsid w:val="00E31944"/>
    <w:rsid w:val="00E32DD0"/>
    <w:rsid w:val="00E3489A"/>
    <w:rsid w:val="00E37947"/>
    <w:rsid w:val="00E42B25"/>
    <w:rsid w:val="00E522E1"/>
    <w:rsid w:val="00E54020"/>
    <w:rsid w:val="00E56590"/>
    <w:rsid w:val="00E621F8"/>
    <w:rsid w:val="00E67DA2"/>
    <w:rsid w:val="00E72164"/>
    <w:rsid w:val="00E72BF1"/>
    <w:rsid w:val="00E73E70"/>
    <w:rsid w:val="00E7452F"/>
    <w:rsid w:val="00E75C21"/>
    <w:rsid w:val="00E770EE"/>
    <w:rsid w:val="00E8093A"/>
    <w:rsid w:val="00E82948"/>
    <w:rsid w:val="00E83002"/>
    <w:rsid w:val="00E84776"/>
    <w:rsid w:val="00E85618"/>
    <w:rsid w:val="00E862F8"/>
    <w:rsid w:val="00E878C9"/>
    <w:rsid w:val="00E90C3C"/>
    <w:rsid w:val="00E92AA8"/>
    <w:rsid w:val="00E95520"/>
    <w:rsid w:val="00E95689"/>
    <w:rsid w:val="00EA1639"/>
    <w:rsid w:val="00EA3622"/>
    <w:rsid w:val="00EB5F05"/>
    <w:rsid w:val="00EC65ED"/>
    <w:rsid w:val="00ED0058"/>
    <w:rsid w:val="00ED0210"/>
    <w:rsid w:val="00ED2A28"/>
    <w:rsid w:val="00ED348B"/>
    <w:rsid w:val="00EE2EF2"/>
    <w:rsid w:val="00EE7919"/>
    <w:rsid w:val="00EE7CDC"/>
    <w:rsid w:val="00EF0104"/>
    <w:rsid w:val="00EF26DB"/>
    <w:rsid w:val="00EF3D97"/>
    <w:rsid w:val="00EF7950"/>
    <w:rsid w:val="00F0215B"/>
    <w:rsid w:val="00F029FB"/>
    <w:rsid w:val="00F04D15"/>
    <w:rsid w:val="00F10E93"/>
    <w:rsid w:val="00F206D8"/>
    <w:rsid w:val="00F21979"/>
    <w:rsid w:val="00F244CB"/>
    <w:rsid w:val="00F27810"/>
    <w:rsid w:val="00F3153B"/>
    <w:rsid w:val="00F31BA5"/>
    <w:rsid w:val="00F3384C"/>
    <w:rsid w:val="00F33C89"/>
    <w:rsid w:val="00F36769"/>
    <w:rsid w:val="00F417F2"/>
    <w:rsid w:val="00F420B0"/>
    <w:rsid w:val="00F445A7"/>
    <w:rsid w:val="00F466EE"/>
    <w:rsid w:val="00F46A19"/>
    <w:rsid w:val="00F53357"/>
    <w:rsid w:val="00F57CAE"/>
    <w:rsid w:val="00F6035B"/>
    <w:rsid w:val="00F70715"/>
    <w:rsid w:val="00F740B8"/>
    <w:rsid w:val="00F81C0B"/>
    <w:rsid w:val="00F83EE7"/>
    <w:rsid w:val="00F84E16"/>
    <w:rsid w:val="00F85217"/>
    <w:rsid w:val="00F94722"/>
    <w:rsid w:val="00F94FD1"/>
    <w:rsid w:val="00F95BEE"/>
    <w:rsid w:val="00F96A9D"/>
    <w:rsid w:val="00FA3B02"/>
    <w:rsid w:val="00FB0295"/>
    <w:rsid w:val="00FB0E6F"/>
    <w:rsid w:val="00FB2081"/>
    <w:rsid w:val="00FB2B01"/>
    <w:rsid w:val="00FC079F"/>
    <w:rsid w:val="00FC0A0B"/>
    <w:rsid w:val="00FC1706"/>
    <w:rsid w:val="00FD20BD"/>
    <w:rsid w:val="00FE56A5"/>
    <w:rsid w:val="00FF05CB"/>
    <w:rsid w:val="00FF1397"/>
    <w:rsid w:val="00FF2CA1"/>
    <w:rsid w:val="02092C94"/>
    <w:rsid w:val="0284231A"/>
    <w:rsid w:val="02D74B40"/>
    <w:rsid w:val="0341645D"/>
    <w:rsid w:val="03FF3CD8"/>
    <w:rsid w:val="04AB5160"/>
    <w:rsid w:val="050275B9"/>
    <w:rsid w:val="05C226AB"/>
    <w:rsid w:val="070677A2"/>
    <w:rsid w:val="07E1193E"/>
    <w:rsid w:val="08F00413"/>
    <w:rsid w:val="0AF73FD1"/>
    <w:rsid w:val="0B120FCA"/>
    <w:rsid w:val="0BCB4B16"/>
    <w:rsid w:val="0BE11023"/>
    <w:rsid w:val="0CE95B9C"/>
    <w:rsid w:val="0D2766C4"/>
    <w:rsid w:val="0D447276"/>
    <w:rsid w:val="0D481E28"/>
    <w:rsid w:val="0D6D057B"/>
    <w:rsid w:val="0E1E1875"/>
    <w:rsid w:val="0E7E54C5"/>
    <w:rsid w:val="0FB064CC"/>
    <w:rsid w:val="10C45D0D"/>
    <w:rsid w:val="13C46A1B"/>
    <w:rsid w:val="13CC6F97"/>
    <w:rsid w:val="144C0DAC"/>
    <w:rsid w:val="14AD65CB"/>
    <w:rsid w:val="163836F0"/>
    <w:rsid w:val="168D3A3C"/>
    <w:rsid w:val="1706559C"/>
    <w:rsid w:val="18B2778A"/>
    <w:rsid w:val="1A02029D"/>
    <w:rsid w:val="1ABD41C4"/>
    <w:rsid w:val="1B100797"/>
    <w:rsid w:val="1B4A1EFB"/>
    <w:rsid w:val="1BF87A11"/>
    <w:rsid w:val="1C454471"/>
    <w:rsid w:val="1D8B05A9"/>
    <w:rsid w:val="1E783E94"/>
    <w:rsid w:val="1E934E45"/>
    <w:rsid w:val="1F881244"/>
    <w:rsid w:val="1F925C1F"/>
    <w:rsid w:val="204A40E1"/>
    <w:rsid w:val="22B56F9B"/>
    <w:rsid w:val="24294678"/>
    <w:rsid w:val="2435126F"/>
    <w:rsid w:val="244563C3"/>
    <w:rsid w:val="24912949"/>
    <w:rsid w:val="255B2F57"/>
    <w:rsid w:val="26E36D60"/>
    <w:rsid w:val="291144F8"/>
    <w:rsid w:val="29F23E8A"/>
    <w:rsid w:val="2BC8338B"/>
    <w:rsid w:val="30050B03"/>
    <w:rsid w:val="30D550F9"/>
    <w:rsid w:val="30E468C3"/>
    <w:rsid w:val="30F85E32"/>
    <w:rsid w:val="33C1667B"/>
    <w:rsid w:val="34E66C44"/>
    <w:rsid w:val="35C366DA"/>
    <w:rsid w:val="360B38BB"/>
    <w:rsid w:val="360E6D18"/>
    <w:rsid w:val="379912F1"/>
    <w:rsid w:val="38AE5DAA"/>
    <w:rsid w:val="38FB262F"/>
    <w:rsid w:val="3ADE5D64"/>
    <w:rsid w:val="3B2E2848"/>
    <w:rsid w:val="3CC16A51"/>
    <w:rsid w:val="3D144A80"/>
    <w:rsid w:val="40566DA2"/>
    <w:rsid w:val="40F00575"/>
    <w:rsid w:val="41041441"/>
    <w:rsid w:val="41703E6D"/>
    <w:rsid w:val="42FA5706"/>
    <w:rsid w:val="443D3AFC"/>
    <w:rsid w:val="44564BBE"/>
    <w:rsid w:val="447C0AC8"/>
    <w:rsid w:val="451C5E07"/>
    <w:rsid w:val="456E3B9B"/>
    <w:rsid w:val="45C64140"/>
    <w:rsid w:val="46BC2D24"/>
    <w:rsid w:val="46F102F3"/>
    <w:rsid w:val="47256537"/>
    <w:rsid w:val="48804725"/>
    <w:rsid w:val="494616A5"/>
    <w:rsid w:val="49470B5C"/>
    <w:rsid w:val="4A1B48DF"/>
    <w:rsid w:val="4C5C2A4D"/>
    <w:rsid w:val="4CCC0113"/>
    <w:rsid w:val="4CE20586"/>
    <w:rsid w:val="4D8B4139"/>
    <w:rsid w:val="4DF25957"/>
    <w:rsid w:val="4E0B2A9E"/>
    <w:rsid w:val="4E577EB0"/>
    <w:rsid w:val="4E772448"/>
    <w:rsid w:val="4FBA4253"/>
    <w:rsid w:val="4FC21A00"/>
    <w:rsid w:val="515F3303"/>
    <w:rsid w:val="51A928E4"/>
    <w:rsid w:val="53177C0E"/>
    <w:rsid w:val="54B4145C"/>
    <w:rsid w:val="55DB3175"/>
    <w:rsid w:val="56486A5C"/>
    <w:rsid w:val="579D3454"/>
    <w:rsid w:val="58244A84"/>
    <w:rsid w:val="58BC1E12"/>
    <w:rsid w:val="591A2206"/>
    <w:rsid w:val="5AA31EC3"/>
    <w:rsid w:val="5AAE70AA"/>
    <w:rsid w:val="5ABB7A38"/>
    <w:rsid w:val="5C67646B"/>
    <w:rsid w:val="5CF2268C"/>
    <w:rsid w:val="5D283143"/>
    <w:rsid w:val="5E0038E4"/>
    <w:rsid w:val="5EA04F5B"/>
    <w:rsid w:val="5F186EE0"/>
    <w:rsid w:val="605D3104"/>
    <w:rsid w:val="63246C62"/>
    <w:rsid w:val="64835103"/>
    <w:rsid w:val="64D82D4E"/>
    <w:rsid w:val="66962DA9"/>
    <w:rsid w:val="682B5BDE"/>
    <w:rsid w:val="699B2EEF"/>
    <w:rsid w:val="69E14DA6"/>
    <w:rsid w:val="6A794FDE"/>
    <w:rsid w:val="6AF82EED"/>
    <w:rsid w:val="6B9A2861"/>
    <w:rsid w:val="6DFF1C9E"/>
    <w:rsid w:val="6E5E705D"/>
    <w:rsid w:val="6FE23626"/>
    <w:rsid w:val="70F92034"/>
    <w:rsid w:val="738F7621"/>
    <w:rsid w:val="74AC5FB0"/>
    <w:rsid w:val="750E293B"/>
    <w:rsid w:val="76E2215D"/>
    <w:rsid w:val="773A3D47"/>
    <w:rsid w:val="77AD405F"/>
    <w:rsid w:val="792475D5"/>
    <w:rsid w:val="79257C48"/>
    <w:rsid w:val="79FB64CC"/>
    <w:rsid w:val="7A431165"/>
    <w:rsid w:val="7A872C09"/>
    <w:rsid w:val="7A8C39ED"/>
    <w:rsid w:val="7BC167E5"/>
    <w:rsid w:val="7C80044E"/>
    <w:rsid w:val="7D0F61C3"/>
    <w:rsid w:val="7D596B9B"/>
    <w:rsid w:val="7DA912DF"/>
    <w:rsid w:val="7EC65E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0CD847"/>
  <w15:docId w15:val="{FC2EE8E9-0A85-424D-81A1-B64EF05EB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iPriority="0" w:unhideWhenUsed="1" w:qFormat="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39" w:unhideWhenUsed="1"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napToGrid w:val="0"/>
      <w:ind w:firstLineChars="200" w:firstLine="200"/>
      <w:jc w:val="both"/>
    </w:pPr>
    <w:rPr>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ind w:firstLineChars="0" w:firstLine="0"/>
      <w:outlineLvl w:val="1"/>
    </w:pPr>
    <w:rPr>
      <w:rFonts w:asciiTheme="majorHAnsi" w:eastAsia="黑体" w:hAnsiTheme="majorHAnsi" w:cstheme="majorBidi"/>
      <w:b/>
      <w:bCs/>
      <w:sz w:val="24"/>
      <w:szCs w:val="32"/>
    </w:rPr>
  </w:style>
  <w:style w:type="paragraph" w:styleId="3">
    <w:name w:val="heading 3"/>
    <w:basedOn w:val="a"/>
    <w:next w:val="a"/>
    <w:link w:val="30"/>
    <w:uiPriority w:val="9"/>
    <w:unhideWhenUsed/>
    <w:qFormat/>
    <w:pPr>
      <w:keepNext/>
      <w:keepLines/>
      <w:ind w:firstLineChars="0" w:firstLine="0"/>
      <w:outlineLvl w:val="2"/>
    </w:pPr>
    <w:rPr>
      <w:rFonts w:eastAsia="黑体"/>
      <w:b/>
      <w:bCs/>
      <w:szCs w:val="32"/>
    </w:rPr>
  </w:style>
  <w:style w:type="paragraph" w:styleId="4">
    <w:name w:val="heading 4"/>
    <w:basedOn w:val="a"/>
    <w:next w:val="a"/>
    <w:link w:val="40"/>
    <w:uiPriority w:val="9"/>
    <w:unhideWhenUsed/>
    <w:qFormat/>
    <w:pPr>
      <w:keepNext/>
      <w:keepLines/>
      <w:ind w:firstLineChars="0" w:firstLine="0"/>
      <w:outlineLvl w:val="3"/>
    </w:pPr>
    <w:rPr>
      <w:rFonts w:asciiTheme="majorHAnsi" w:eastAsia="黑体" w:hAnsiTheme="majorHAnsi"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rPr>
      <w:b/>
      <w:sz w:val="15"/>
    </w:rPr>
  </w:style>
  <w:style w:type="paragraph" w:styleId="a4">
    <w:name w:val="annotation text"/>
    <w:basedOn w:val="a"/>
    <w:link w:val="a5"/>
    <w:uiPriority w:val="99"/>
    <w:unhideWhenUsed/>
    <w:qFormat/>
    <w:pPr>
      <w:jc w:val="left"/>
    </w:pPr>
  </w:style>
  <w:style w:type="paragraph" w:styleId="a6">
    <w:name w:val="Balloon Text"/>
    <w:basedOn w:val="a"/>
    <w:link w:val="a7"/>
    <w:uiPriority w:val="99"/>
    <w:unhideWhenUsed/>
    <w:qFormat/>
    <w:rPr>
      <w:sz w:val="18"/>
      <w:szCs w:val="18"/>
    </w:rPr>
  </w:style>
  <w:style w:type="paragraph" w:styleId="a8">
    <w:name w:val="footer"/>
    <w:basedOn w:val="a"/>
    <w:link w:val="a9"/>
    <w:unhideWhenUsed/>
    <w:qFormat/>
    <w:pPr>
      <w:tabs>
        <w:tab w:val="center" w:pos="4153"/>
        <w:tab w:val="right" w:pos="8306"/>
      </w:tabs>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jc w:val="center"/>
    </w:pPr>
    <w:rPr>
      <w:sz w:val="18"/>
      <w:szCs w:val="18"/>
    </w:rPr>
  </w:style>
  <w:style w:type="paragraph" w:styleId="ac">
    <w:name w:val="Normal (Web)"/>
    <w:basedOn w:val="a"/>
    <w:uiPriority w:val="99"/>
    <w:semiHidden/>
    <w:unhideWhenUsed/>
    <w:qFormat/>
    <w:pPr>
      <w:snapToGrid/>
      <w:spacing w:before="100" w:beforeAutospacing="1" w:after="100" w:afterAutospacing="1"/>
      <w:ind w:firstLineChars="0" w:firstLine="0"/>
      <w:jc w:val="left"/>
    </w:pPr>
    <w:rPr>
      <w:rFonts w:ascii="宋体" w:hAnsi="宋体" w:cs="宋体"/>
      <w:sz w:val="24"/>
      <w:szCs w:val="24"/>
    </w:rPr>
  </w:style>
  <w:style w:type="paragraph" w:styleId="ad">
    <w:name w:val="annotation subject"/>
    <w:basedOn w:val="a4"/>
    <w:next w:val="a4"/>
    <w:link w:val="ae"/>
    <w:uiPriority w:val="99"/>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uiPriority w:val="22"/>
    <w:qFormat/>
    <w:rPr>
      <w:b/>
      <w:bCs/>
    </w:rPr>
  </w:style>
  <w:style w:type="character" w:styleId="af1">
    <w:name w:val="Emphasis"/>
    <w:uiPriority w:val="20"/>
    <w:qFormat/>
    <w:rPr>
      <w:i/>
      <w:iCs/>
    </w:rPr>
  </w:style>
  <w:style w:type="character" w:styleId="af2">
    <w:name w:val="Hyperlink"/>
    <w:uiPriority w:val="99"/>
    <w:unhideWhenUsed/>
    <w:qFormat/>
    <w:rPr>
      <w:color w:val="0563C1"/>
      <w:u w:val="single"/>
    </w:rPr>
  </w:style>
  <w:style w:type="character" w:styleId="af3">
    <w:name w:val="annotation reference"/>
    <w:uiPriority w:val="99"/>
    <w:unhideWhenUsed/>
    <w:qFormat/>
    <w:rPr>
      <w:sz w:val="21"/>
      <w:szCs w:val="21"/>
    </w:rPr>
  </w:style>
  <w:style w:type="character" w:customStyle="1" w:styleId="a5">
    <w:name w:val="批注文字 字符"/>
    <w:link w:val="a4"/>
    <w:uiPriority w:val="99"/>
    <w:qFormat/>
    <w:rPr>
      <w:kern w:val="2"/>
      <w:sz w:val="21"/>
      <w:szCs w:val="22"/>
    </w:rPr>
  </w:style>
  <w:style w:type="character" w:customStyle="1" w:styleId="a7">
    <w:name w:val="批注框文本 字符"/>
    <w:link w:val="a6"/>
    <w:uiPriority w:val="99"/>
    <w:semiHidden/>
    <w:qFormat/>
    <w:rPr>
      <w:kern w:val="2"/>
      <w:sz w:val="18"/>
      <w:szCs w:val="18"/>
    </w:rPr>
  </w:style>
  <w:style w:type="character" w:customStyle="1" w:styleId="a9">
    <w:name w:val="页脚 字符"/>
    <w:link w:val="a8"/>
    <w:uiPriority w:val="99"/>
    <w:qFormat/>
    <w:rPr>
      <w:sz w:val="18"/>
      <w:szCs w:val="18"/>
    </w:rPr>
  </w:style>
  <w:style w:type="character" w:customStyle="1" w:styleId="ab">
    <w:name w:val="页眉 字符"/>
    <w:link w:val="aa"/>
    <w:uiPriority w:val="99"/>
    <w:qFormat/>
    <w:rPr>
      <w:sz w:val="18"/>
      <w:szCs w:val="18"/>
    </w:rPr>
  </w:style>
  <w:style w:type="character" w:customStyle="1" w:styleId="ae">
    <w:name w:val="批注主题 字符"/>
    <w:link w:val="ad"/>
    <w:uiPriority w:val="99"/>
    <w:semiHidden/>
    <w:qFormat/>
    <w:rPr>
      <w:b/>
      <w:bCs/>
      <w:kern w:val="2"/>
      <w:sz w:val="21"/>
      <w:szCs w:val="22"/>
    </w:rPr>
  </w:style>
  <w:style w:type="paragraph" w:styleId="af4">
    <w:name w:val="List Paragraph"/>
    <w:basedOn w:val="a"/>
    <w:uiPriority w:val="34"/>
    <w:qFormat/>
    <w:pPr>
      <w:ind w:firstLine="420"/>
    </w:pPr>
  </w:style>
  <w:style w:type="character" w:customStyle="1" w:styleId="intbody1">
    <w:name w:val="intbody1"/>
    <w:qFormat/>
    <w:rPr>
      <w:rFonts w:ascii="Arial" w:hAnsi="Arial" w:cs="Arial" w:hint="default"/>
      <w:color w:val="000000"/>
      <w:sz w:val="18"/>
      <w:szCs w:val="18"/>
    </w:rPr>
  </w:style>
  <w:style w:type="paragraph" w:customStyle="1" w:styleId="af5">
    <w:name w:val="图注"/>
    <w:basedOn w:val="a"/>
    <w:qFormat/>
    <w:pPr>
      <w:jc w:val="center"/>
      <w:outlineLvl w:val="1"/>
    </w:pPr>
    <w:rPr>
      <w:b/>
      <w:sz w:val="15"/>
      <w:szCs w:val="15"/>
    </w:rPr>
  </w:style>
  <w:style w:type="paragraph" w:customStyle="1" w:styleId="71e7dc79-1ff7-45e8-997d-0ebda3762b91">
    <w:name w:val="71e7dc79-1ff7-45e8-997d-0ebda3762b91"/>
    <w:basedOn w:val="2"/>
    <w:next w:val="a"/>
    <w:link w:val="71e7dc79-1ff7-45e8-997d-0ebda3762b910"/>
    <w:qFormat/>
    <w:pPr>
      <w:adjustRightInd w:val="0"/>
      <w:spacing w:line="288" w:lineRule="auto"/>
      <w:jc w:val="left"/>
    </w:pPr>
    <w:rPr>
      <w:rFonts w:ascii="微软雅黑" w:eastAsia="微软雅黑" w:hAnsi="微软雅黑"/>
      <w:color w:val="000000"/>
      <w:sz w:val="28"/>
      <w:szCs w:val="24"/>
    </w:rPr>
  </w:style>
  <w:style w:type="character" w:customStyle="1" w:styleId="71e7dc79-1ff7-45e8-997d-0ebda3762b910">
    <w:name w:val="71e7dc79-1ff7-45e8-997d-0ebda3762b91 字符"/>
    <w:basedOn w:val="a0"/>
    <w:link w:val="71e7dc79-1ff7-45e8-997d-0ebda3762b91"/>
    <w:qFormat/>
    <w:rPr>
      <w:rFonts w:ascii="微软雅黑" w:eastAsia="微软雅黑" w:hAnsi="微软雅黑" w:cstheme="majorBidi"/>
      <w:b/>
      <w:bCs/>
      <w:color w:val="000000"/>
      <w:kern w:val="2"/>
      <w:sz w:val="28"/>
      <w:szCs w:val="24"/>
    </w:rPr>
  </w:style>
  <w:style w:type="character" w:customStyle="1" w:styleId="20">
    <w:name w:val="标题 2 字符"/>
    <w:basedOn w:val="a0"/>
    <w:link w:val="2"/>
    <w:uiPriority w:val="9"/>
    <w:qFormat/>
    <w:rPr>
      <w:rFonts w:asciiTheme="majorHAnsi" w:eastAsia="黑体" w:hAnsiTheme="majorHAnsi" w:cstheme="majorBidi"/>
      <w:b/>
      <w:bCs/>
      <w:sz w:val="24"/>
      <w:szCs w:val="32"/>
    </w:rPr>
  </w:style>
  <w:style w:type="character" w:customStyle="1" w:styleId="30">
    <w:name w:val="标题 3 字符"/>
    <w:basedOn w:val="a0"/>
    <w:link w:val="3"/>
    <w:uiPriority w:val="9"/>
    <w:qFormat/>
    <w:rPr>
      <w:rFonts w:ascii="Times" w:eastAsia="黑体" w:hAnsi="Times"/>
      <w:b/>
      <w:bCs/>
      <w:sz w:val="21"/>
      <w:szCs w:val="32"/>
    </w:rPr>
  </w:style>
  <w:style w:type="character" w:customStyle="1" w:styleId="40">
    <w:name w:val="标题 4 字符"/>
    <w:basedOn w:val="a0"/>
    <w:link w:val="4"/>
    <w:uiPriority w:val="9"/>
    <w:qFormat/>
    <w:rPr>
      <w:rFonts w:asciiTheme="majorHAnsi" w:eastAsia="黑体" w:hAnsiTheme="majorHAnsi" w:cstheme="majorBidi"/>
      <w:b/>
      <w:bCs/>
      <w:sz w:val="22"/>
      <w:szCs w:val="28"/>
    </w:rPr>
  </w:style>
  <w:style w:type="character" w:customStyle="1" w:styleId="11">
    <w:name w:val="未处理的提及1"/>
    <w:basedOn w:val="a0"/>
    <w:uiPriority w:val="99"/>
    <w:semiHidden/>
    <w:unhideWhenUsed/>
    <w:qFormat/>
    <w:rPr>
      <w:color w:val="605E5C"/>
      <w:shd w:val="clear" w:color="auto" w:fill="E1DFDD"/>
    </w:rPr>
  </w:style>
  <w:style w:type="character" w:styleId="af6">
    <w:name w:val="Placeholder Text"/>
    <w:basedOn w:val="a0"/>
    <w:uiPriority w:val="99"/>
    <w:semiHidden/>
    <w:qFormat/>
    <w:rPr>
      <w:color w:val="808080"/>
    </w:rPr>
  </w:style>
  <w:style w:type="character" w:customStyle="1" w:styleId="10">
    <w:name w:val="标题 1 字符"/>
    <w:basedOn w:val="a0"/>
    <w:link w:val="1"/>
    <w:uiPriority w:val="9"/>
    <w:qFormat/>
    <w:rPr>
      <w:b/>
      <w:bCs/>
      <w:kern w:val="44"/>
      <w:sz w:val="44"/>
      <w:szCs w:val="44"/>
    </w:rPr>
  </w:style>
  <w:style w:type="character" w:customStyle="1" w:styleId="UnresolvedMention">
    <w:name w:val="Unresolved Mention"/>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e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package" Target="embeddings/Microsoft_Visio___3.vsdx"/><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3.xml"/><Relationship Id="rId10" Type="http://schemas.openxmlformats.org/officeDocument/2006/relationships/image" Target="media/image2.em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package" Target="embeddings/Microsoft_Visio___2.vsdx"/><Relationship Id="rId22"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CC827-34CE-44BA-A02C-A3DBEA62D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4749</Words>
  <Characters>27073</Characters>
  <Application>Microsoft Office Word</Application>
  <DocSecurity>0</DocSecurity>
  <Lines>225</Lines>
  <Paragraphs>63</Paragraphs>
  <ScaleCrop>false</ScaleCrop>
  <Company>微软中国</Company>
  <LinksUpToDate>false</LinksUpToDate>
  <CharactersWithSpaces>31759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huahua</dc:creator>
  <cp:lastModifiedBy>微软用户</cp:lastModifiedBy>
  <cp:revision>2</cp:revision>
  <dcterms:created xsi:type="dcterms:W3CDTF">2026-07-20T01:57:00Z</dcterms:created>
  <dcterms:modified xsi:type="dcterms:W3CDTF">2026-07-20T01:57:00Z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eyJoZGlkIjoiZGY3ZDg4M2RhODI5OTNmZWIyYTcxNzJiNjM3MWM2MmQiLCJ1c2VySWQiOiIxODI1NzcyNTI3In0=</vt:lpwstr>
  </property>
  <property fmtid="{D5CDD505-2E9C-101B-9397-08002B2CF9AE}" pid="3" name="KSOProductBuildVer">
    <vt:lpwstr>2052-12.1.0.20305</vt:lpwstr>
  </property>
  <property fmtid="{D5CDD505-2E9C-101B-9397-08002B2CF9AE}" pid="4" name="ICV">
    <vt:lpwstr>DB4DE71F8D2A4089ADDADB838454E3EE_13</vt:lpwstr>
  </property>
</Properties>
</file>