
<file path=[Content_Types].xml><?xml version="1.0" encoding="utf-8"?>
<Types xmlns="http://schemas.openxmlformats.org/package/2006/content-types">
  <Default Extension="bin" ContentType="application/vnd.openxmlformats-officedocument.oleObject"/>
  <Default Extension="wmf" ContentType="image/x-w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jc w:val="center"/>
        <w:rPr>
          <w:rFonts w:eastAsia="黑体"/>
          <w:b/>
          <w:sz w:val="32"/>
          <w:szCs w:val="32"/>
        </w:rPr>
      </w:pPr>
      <w:r>
        <w:rPr>
          <w:rFonts w:hint="eastAsia" w:eastAsia="黑体"/>
          <w:b/>
          <w:sz w:val="32"/>
          <w:szCs w:val="32"/>
        </w:rPr>
        <w:t>模场直径可调的光纤微准直器</w:t>
      </w:r>
    </w:p>
    <w:p>
      <w:pPr>
        <w:ind w:firstLine="482"/>
        <w:jc w:val="center"/>
        <w:rPr>
          <w:b/>
          <w:sz w:val="24"/>
          <w:szCs w:val="24"/>
        </w:rPr>
      </w:pPr>
      <w:r>
        <w:rPr>
          <w:rFonts w:hint="eastAsia"/>
          <w:b/>
          <w:sz w:val="24"/>
          <w:szCs w:val="24"/>
        </w:rPr>
        <w:t>陈书玉</w:t>
      </w:r>
      <w:r>
        <w:rPr>
          <w:rFonts w:hint="eastAsia"/>
          <w:b/>
          <w:sz w:val="24"/>
          <w:szCs w:val="24"/>
          <w:vertAlign w:val="superscript"/>
        </w:rPr>
        <w:t>1</w:t>
      </w:r>
      <w:r>
        <w:rPr>
          <w:b/>
          <w:sz w:val="24"/>
          <w:szCs w:val="24"/>
        </w:rPr>
        <w:t>，</w:t>
      </w:r>
      <w:r>
        <w:rPr>
          <w:rFonts w:hint="eastAsia"/>
          <w:b/>
          <w:sz w:val="24"/>
          <w:szCs w:val="24"/>
        </w:rPr>
        <w:t>杨世泰</w:t>
      </w:r>
      <w:r>
        <w:rPr>
          <w:rFonts w:hint="eastAsia"/>
          <w:b/>
          <w:sz w:val="24"/>
          <w:szCs w:val="24"/>
          <w:vertAlign w:val="superscript"/>
        </w:rPr>
        <w:t>2,3</w:t>
      </w:r>
      <w:r>
        <w:rPr>
          <w:b/>
          <w:sz w:val="24"/>
          <w:szCs w:val="24"/>
        </w:rPr>
        <w:t>，</w:t>
      </w:r>
      <w:r>
        <w:rPr>
          <w:rFonts w:hint="eastAsia"/>
          <w:b/>
          <w:sz w:val="24"/>
          <w:szCs w:val="24"/>
        </w:rPr>
        <w:t>汪杰君</w:t>
      </w:r>
      <w:r>
        <w:rPr>
          <w:rFonts w:hint="eastAsia"/>
          <w:b/>
          <w:sz w:val="24"/>
          <w:szCs w:val="24"/>
          <w:vertAlign w:val="superscript"/>
        </w:rPr>
        <w:t>1</w:t>
      </w:r>
      <w:r>
        <w:rPr>
          <w:rFonts w:hint="eastAsia"/>
          <w:b/>
          <w:sz w:val="24"/>
          <w:szCs w:val="24"/>
        </w:rPr>
        <w:t>*，苑立波</w:t>
      </w:r>
      <w:r>
        <w:rPr>
          <w:rFonts w:hint="eastAsia"/>
          <w:b/>
          <w:sz w:val="24"/>
          <w:szCs w:val="24"/>
          <w:vertAlign w:val="superscript"/>
        </w:rPr>
        <w:t>2</w:t>
      </w:r>
      <w:r>
        <w:rPr>
          <w:rFonts w:hint="eastAsia"/>
          <w:b/>
          <w:sz w:val="24"/>
          <w:szCs w:val="24"/>
        </w:rPr>
        <w:t>*</w:t>
      </w:r>
    </w:p>
    <w:p>
      <w:pPr>
        <w:ind w:firstLine="300"/>
        <w:jc w:val="center"/>
        <w:rPr>
          <w:sz w:val="15"/>
          <w:szCs w:val="15"/>
        </w:rPr>
      </w:pPr>
      <w:r>
        <w:rPr>
          <w:sz w:val="15"/>
          <w:szCs w:val="15"/>
        </w:rPr>
        <w:t>（</w:t>
      </w:r>
      <w:r>
        <w:rPr>
          <w:rFonts w:hint="eastAsia"/>
          <w:sz w:val="15"/>
          <w:szCs w:val="15"/>
        </w:rPr>
        <w:t>1.桂林</w:t>
      </w:r>
      <w:r>
        <w:rPr>
          <w:sz w:val="15"/>
          <w:szCs w:val="15"/>
        </w:rPr>
        <w:t>电子科技大学</w:t>
      </w:r>
      <w:r>
        <w:rPr>
          <w:rFonts w:hint="eastAsia"/>
          <w:sz w:val="15"/>
          <w:szCs w:val="15"/>
        </w:rPr>
        <w:t xml:space="preserve"> 北海校区 海洋</w:t>
      </w:r>
      <w:r>
        <w:rPr>
          <w:sz w:val="15"/>
          <w:szCs w:val="15"/>
        </w:rPr>
        <w:t>工程学院，</w:t>
      </w:r>
      <w:r>
        <w:rPr>
          <w:rFonts w:hint="eastAsia"/>
          <w:sz w:val="15"/>
          <w:szCs w:val="15"/>
        </w:rPr>
        <w:t>广西 北海</w:t>
      </w:r>
      <w:r>
        <w:rPr>
          <w:sz w:val="15"/>
          <w:szCs w:val="15"/>
        </w:rPr>
        <w:t xml:space="preserve"> </w:t>
      </w:r>
      <w:r>
        <w:rPr>
          <w:rFonts w:hint="eastAsia"/>
          <w:sz w:val="15"/>
          <w:szCs w:val="15"/>
        </w:rPr>
        <w:t>536000；2.桂林</w:t>
      </w:r>
      <w:r>
        <w:rPr>
          <w:sz w:val="15"/>
          <w:szCs w:val="15"/>
        </w:rPr>
        <w:t>电子科技大学</w:t>
      </w:r>
      <w:r>
        <w:rPr>
          <w:rFonts w:hint="eastAsia"/>
          <w:sz w:val="15"/>
          <w:szCs w:val="15"/>
        </w:rPr>
        <w:t xml:space="preserve"> 光学工程学院，广西 桂林 541000；3.桂林</w:t>
      </w:r>
      <w:r>
        <w:rPr>
          <w:sz w:val="15"/>
          <w:szCs w:val="15"/>
        </w:rPr>
        <w:t>电子科技大学</w:t>
      </w:r>
      <w:r>
        <w:rPr>
          <w:rFonts w:hint="eastAsia"/>
          <w:sz w:val="15"/>
          <w:szCs w:val="15"/>
        </w:rPr>
        <w:t xml:space="preserve"> 机械工程博士后流动站，广西 桂林 541000）</w:t>
      </w:r>
    </w:p>
    <w:p>
      <w:pPr>
        <w:ind w:firstLine="422"/>
        <w:rPr>
          <w:b/>
          <w:szCs w:val="21"/>
        </w:rPr>
      </w:pPr>
    </w:p>
    <w:p>
      <w:pPr>
        <w:ind w:firstLine="361"/>
        <w:rPr>
          <w:sz w:val="18"/>
          <w:szCs w:val="18"/>
        </w:rPr>
      </w:pPr>
      <w:r>
        <w:rPr>
          <w:b/>
          <w:sz w:val="18"/>
          <w:szCs w:val="18"/>
        </w:rPr>
        <w:t>摘要：</w:t>
      </w:r>
      <w:r>
        <w:rPr>
          <w:rFonts w:hint="eastAsia" w:ascii="楷体_GB2312" w:eastAsia="楷体_GB2312"/>
          <w:kern w:val="0"/>
          <w:sz w:val="18"/>
          <w:szCs w:val="18"/>
        </w:rPr>
        <w:t>本文提出了一种模场直径可调的光纤微准直器，将单模光纤与不同的两段多模光纤组合，形成“三明治”结构，通过调整中间段光纤的长度，能够实现模场直径的任意可调。构建了仿真实验模型，制备了多个尺寸不同的光纤微准直器样品，理论计算结果和实验测试结果均验证了该方法的有效性。该光纤准直器制备方法相对简单、结构紧凑，可根据需求调整光场模场适应不同的应用场景。</w:t>
      </w:r>
    </w:p>
    <w:p>
      <w:pPr>
        <w:ind w:firstLine="361"/>
        <w:rPr>
          <w:rFonts w:eastAsia="楷体_GB2312"/>
          <w:sz w:val="18"/>
          <w:szCs w:val="18"/>
        </w:rPr>
      </w:pPr>
      <w:r>
        <w:rPr>
          <w:b/>
          <w:sz w:val="18"/>
          <w:szCs w:val="18"/>
        </w:rPr>
        <w:t>关键词：</w:t>
      </w:r>
      <w:r>
        <w:rPr>
          <w:rFonts w:hint="eastAsia" w:ascii="楷体_GB2312" w:eastAsia="楷体_GB2312"/>
          <w:sz w:val="18"/>
          <w:szCs w:val="18"/>
        </w:rPr>
        <w:t>光纤准直器；光纤器件；模场直径</w:t>
      </w:r>
    </w:p>
    <w:p>
      <w:pPr>
        <w:ind w:firstLine="361"/>
        <w:rPr>
          <w:sz w:val="18"/>
          <w:szCs w:val="18"/>
        </w:rPr>
      </w:pPr>
      <w:r>
        <w:rPr>
          <w:rFonts w:hint="eastAsia"/>
          <w:b/>
          <w:color w:val="000000"/>
          <w:sz w:val="18"/>
          <w:szCs w:val="18"/>
        </w:rPr>
        <w:t>中图分类号：</w:t>
      </w:r>
      <w:r>
        <w:rPr>
          <w:color w:val="000000"/>
          <w:sz w:val="18"/>
          <w:szCs w:val="18"/>
        </w:rPr>
        <w:t>TN25</w:t>
      </w:r>
      <w:r>
        <w:rPr>
          <w:rFonts w:hint="eastAsia"/>
          <w:color w:val="000000"/>
          <w:sz w:val="18"/>
          <w:szCs w:val="18"/>
        </w:rPr>
        <w:t>3</w:t>
      </w:r>
      <w:r>
        <w:rPr>
          <w:color w:val="000000"/>
          <w:sz w:val="18"/>
          <w:szCs w:val="18"/>
        </w:rPr>
        <w:t xml:space="preserve"> </w:t>
      </w:r>
      <w:r>
        <w:rPr>
          <w:rFonts w:hint="eastAsia"/>
          <w:color w:val="000000"/>
          <w:sz w:val="18"/>
          <w:szCs w:val="18"/>
        </w:rPr>
        <w:t xml:space="preserve">   文献标识码</w:t>
      </w:r>
      <w:r>
        <w:rPr>
          <w:color w:val="000000"/>
          <w:sz w:val="18"/>
          <w:szCs w:val="18"/>
        </w:rPr>
        <w:t>: A</w:t>
      </w:r>
    </w:p>
    <w:p>
      <w:pPr>
        <w:adjustRightInd w:val="0"/>
        <w:snapToGrid w:val="0"/>
        <w:ind w:firstLine="422"/>
        <w:contextualSpacing/>
        <w:jc w:val="center"/>
        <w:rPr>
          <w:b/>
          <w:szCs w:val="21"/>
        </w:rPr>
      </w:pPr>
    </w:p>
    <w:p>
      <w:pPr>
        <w:adjustRightInd w:val="0"/>
        <w:snapToGrid w:val="0"/>
        <w:ind w:firstLine="643"/>
        <w:contextualSpacing/>
        <w:jc w:val="center"/>
        <w:rPr>
          <w:b/>
          <w:szCs w:val="21"/>
        </w:rPr>
      </w:pPr>
      <w:r>
        <w:rPr>
          <w:b/>
          <w:sz w:val="32"/>
          <w:szCs w:val="32"/>
        </w:rPr>
        <w:t>Optical fiber micro</w:t>
      </w:r>
      <w:r>
        <w:rPr>
          <w:rFonts w:hint="eastAsia"/>
          <w:b/>
          <w:sz w:val="32"/>
          <w:szCs w:val="32"/>
        </w:rPr>
        <w:t>-</w:t>
      </w:r>
      <w:r>
        <w:rPr>
          <w:b/>
          <w:sz w:val="32"/>
          <w:szCs w:val="32"/>
        </w:rPr>
        <w:t>collimator with adjustable mode field diameter</w:t>
      </w:r>
    </w:p>
    <w:p>
      <w:pPr>
        <w:adjustRightInd w:val="0"/>
        <w:snapToGrid w:val="0"/>
        <w:ind w:left="525" w:leftChars="250" w:right="525" w:rightChars="250" w:firstLine="422"/>
        <w:jc w:val="center"/>
        <w:rPr>
          <w:szCs w:val="21"/>
          <w:vertAlign w:val="superscript"/>
        </w:rPr>
      </w:pPr>
      <w:bookmarkStart w:id="0" w:name="OLE_LINK5"/>
      <w:r>
        <w:rPr>
          <w:rFonts w:hint="eastAsia"/>
          <w:b/>
          <w:szCs w:val="21"/>
        </w:rPr>
        <w:t>CHENG</w:t>
      </w:r>
      <w:r>
        <w:rPr>
          <w:b/>
          <w:szCs w:val="21"/>
        </w:rPr>
        <w:t xml:space="preserve"> </w:t>
      </w:r>
      <w:r>
        <w:rPr>
          <w:rFonts w:hint="eastAsia"/>
          <w:b/>
          <w:szCs w:val="21"/>
        </w:rPr>
        <w:t>Shuyu</w:t>
      </w:r>
      <w:r>
        <w:rPr>
          <w:rFonts w:hint="eastAsia"/>
          <w:b/>
          <w:szCs w:val="21"/>
          <w:vertAlign w:val="superscript"/>
        </w:rPr>
        <w:t>1</w:t>
      </w:r>
      <w:r>
        <w:rPr>
          <w:b/>
          <w:szCs w:val="21"/>
        </w:rPr>
        <w:t xml:space="preserve">, </w:t>
      </w:r>
      <w:r>
        <w:rPr>
          <w:rFonts w:hint="eastAsia"/>
          <w:b/>
          <w:szCs w:val="21"/>
        </w:rPr>
        <w:t>YANG</w:t>
      </w:r>
      <w:r>
        <w:rPr>
          <w:b/>
          <w:szCs w:val="21"/>
        </w:rPr>
        <w:t xml:space="preserve"> </w:t>
      </w:r>
      <w:r>
        <w:rPr>
          <w:rFonts w:hint="eastAsia"/>
          <w:b/>
          <w:szCs w:val="21"/>
        </w:rPr>
        <w:t>Shitai</w:t>
      </w:r>
      <w:r>
        <w:rPr>
          <w:rFonts w:hint="eastAsia"/>
          <w:b/>
          <w:szCs w:val="21"/>
          <w:vertAlign w:val="superscript"/>
        </w:rPr>
        <w:t>2,3</w:t>
      </w:r>
      <w:r>
        <w:rPr>
          <w:b/>
          <w:szCs w:val="21"/>
        </w:rPr>
        <w:t xml:space="preserve">, </w:t>
      </w:r>
      <w:r>
        <w:rPr>
          <w:rFonts w:hint="eastAsia"/>
          <w:b/>
          <w:szCs w:val="21"/>
        </w:rPr>
        <w:t>WANG Jiejun</w:t>
      </w:r>
      <w:r>
        <w:rPr>
          <w:rFonts w:hint="eastAsia"/>
          <w:b/>
          <w:szCs w:val="21"/>
          <w:vertAlign w:val="superscript"/>
        </w:rPr>
        <w:t>1</w:t>
      </w:r>
      <w:r>
        <w:rPr>
          <w:b/>
          <w:szCs w:val="21"/>
        </w:rPr>
        <w:t>*</w:t>
      </w:r>
      <w:r>
        <w:rPr>
          <w:rFonts w:hint="eastAsia"/>
          <w:b/>
          <w:szCs w:val="21"/>
        </w:rPr>
        <w:t>,</w:t>
      </w:r>
      <w:r>
        <w:rPr>
          <w:b/>
          <w:szCs w:val="21"/>
        </w:rPr>
        <w:t xml:space="preserve"> </w:t>
      </w:r>
      <w:r>
        <w:rPr>
          <w:rFonts w:hint="eastAsia"/>
          <w:b/>
          <w:szCs w:val="21"/>
        </w:rPr>
        <w:t>YUAN Libo</w:t>
      </w:r>
      <w:r>
        <w:rPr>
          <w:rFonts w:hint="eastAsia"/>
          <w:b/>
          <w:szCs w:val="21"/>
          <w:vertAlign w:val="superscript"/>
        </w:rPr>
        <w:t>2</w:t>
      </w:r>
      <w:r>
        <w:rPr>
          <w:b/>
          <w:szCs w:val="21"/>
        </w:rPr>
        <w:t>*</w:t>
      </w:r>
    </w:p>
    <w:p>
      <w:pPr>
        <w:adjustRightInd w:val="0"/>
        <w:snapToGrid w:val="0"/>
        <w:ind w:left="525" w:leftChars="250" w:right="525" w:rightChars="250" w:firstLine="301"/>
        <w:jc w:val="center"/>
        <w:rPr>
          <w:b/>
          <w:sz w:val="15"/>
          <w:szCs w:val="15"/>
        </w:rPr>
      </w:pPr>
      <w:r>
        <w:rPr>
          <w:b/>
          <w:sz w:val="15"/>
          <w:szCs w:val="15"/>
        </w:rPr>
        <w:t>（</w:t>
      </w:r>
      <w:r>
        <w:rPr>
          <w:rFonts w:hint="eastAsia"/>
          <w:b/>
          <w:sz w:val="15"/>
          <w:szCs w:val="15"/>
        </w:rPr>
        <w:t xml:space="preserve">1.School of Marine Engineering, Guilin University of Electronic Science and Technology Beihai Campus, Beihai </w:t>
      </w:r>
      <w:r>
        <w:rPr>
          <w:b/>
          <w:sz w:val="15"/>
          <w:szCs w:val="15"/>
        </w:rPr>
        <w:t>Guangxi</w:t>
      </w:r>
      <w:r>
        <w:rPr>
          <w:rFonts w:hint="eastAsia"/>
          <w:b/>
          <w:sz w:val="15"/>
          <w:szCs w:val="15"/>
        </w:rPr>
        <w:t xml:space="preserve"> 536000, China; 2.School of Optical Engineering, Guilin University of Electronic Science and Technology, Guilin </w:t>
      </w:r>
      <w:r>
        <w:rPr>
          <w:b/>
          <w:sz w:val="15"/>
          <w:szCs w:val="15"/>
        </w:rPr>
        <w:t>Guangxi</w:t>
      </w:r>
      <w:r>
        <w:rPr>
          <w:rFonts w:hint="eastAsia"/>
          <w:b/>
          <w:sz w:val="15"/>
          <w:szCs w:val="15"/>
        </w:rPr>
        <w:t xml:space="preserve"> 541000, China; 3. Postdoctoral Research Center of Mechanical Engineering, Guilin University of Electronic Science and Technology, Guilin </w:t>
      </w:r>
      <w:r>
        <w:rPr>
          <w:b/>
          <w:sz w:val="15"/>
          <w:szCs w:val="15"/>
        </w:rPr>
        <w:t xml:space="preserve">Guangxi </w:t>
      </w:r>
      <w:r>
        <w:rPr>
          <w:rFonts w:hint="eastAsia"/>
          <w:b/>
          <w:sz w:val="15"/>
          <w:szCs w:val="15"/>
        </w:rPr>
        <w:t>541000, China</w:t>
      </w:r>
      <w:r>
        <w:rPr>
          <w:b/>
          <w:sz w:val="15"/>
          <w:szCs w:val="15"/>
        </w:rPr>
        <w:t xml:space="preserve">） </w:t>
      </w:r>
    </w:p>
    <w:p>
      <w:pPr>
        <w:adjustRightInd w:val="0"/>
        <w:snapToGrid w:val="0"/>
        <w:ind w:left="525" w:leftChars="250" w:right="525" w:rightChars="250" w:firstLine="422"/>
        <w:jc w:val="center"/>
        <w:rPr>
          <w:b/>
          <w:strike/>
          <w:szCs w:val="21"/>
        </w:rPr>
      </w:pPr>
    </w:p>
    <w:bookmarkEnd w:id="0"/>
    <w:p>
      <w:pPr>
        <w:rPr>
          <w:sz w:val="18"/>
          <w:szCs w:val="18"/>
        </w:rPr>
      </w:pPr>
      <w:bookmarkStart w:id="1" w:name="OLE_LINK1"/>
      <w:r>
        <w:rPr>
          <w:b/>
          <w:sz w:val="18"/>
          <w:szCs w:val="18"/>
        </w:rPr>
        <w:t>Abstract:</w:t>
      </w:r>
      <w:bookmarkEnd w:id="1"/>
      <w:r>
        <w:rPr>
          <w:b/>
          <w:sz w:val="18"/>
          <w:szCs w:val="18"/>
        </w:rPr>
        <w:t xml:space="preserve"> </w:t>
      </w:r>
      <w:r>
        <w:rPr>
          <w:sz w:val="18"/>
          <w:szCs w:val="18"/>
        </w:rPr>
        <w:t>In this paper, an integrated optical fiber micro-collimator with adjustable mode field diameter is proposed. The single-mode fiber is combined with two different multi-mode fibers to form a "sandwich" structure. By adjusting the length of the middle section of the fiber, the diameter of the mode field can be arbitrarily adjusted. A simulation model was constructed and several fiber micro</w:t>
      </w:r>
      <w:r>
        <w:rPr>
          <w:rFonts w:hint="eastAsia"/>
          <w:sz w:val="18"/>
          <w:szCs w:val="18"/>
        </w:rPr>
        <w:t>-</w:t>
      </w:r>
      <w:r>
        <w:rPr>
          <w:sz w:val="18"/>
          <w:szCs w:val="18"/>
        </w:rPr>
        <w:t>collimator samples with different sizes were prepared. The effectiveness of the method was verified by theoretical calculation and experimental results. The preparation method of the optical fiber collimator is relatively simple and compact, and the optical field mode field can be adjusted according to the requirements to adapt to different application scenarios.</w:t>
      </w:r>
    </w:p>
    <w:p>
      <w:pPr>
        <w:rPr>
          <w:sz w:val="18"/>
          <w:szCs w:val="18"/>
        </w:rPr>
      </w:pPr>
      <w:r>
        <w:rPr>
          <w:b/>
          <w:sz w:val="18"/>
          <w:szCs w:val="18"/>
        </w:rPr>
        <w:t xml:space="preserve">Key words: </w:t>
      </w:r>
      <w:r>
        <w:rPr>
          <w:rFonts w:hint="eastAsia"/>
          <w:sz w:val="18"/>
          <w:szCs w:val="18"/>
        </w:rPr>
        <w:t>Fiber optic collimator</w:t>
      </w:r>
      <w:r>
        <w:rPr>
          <w:sz w:val="18"/>
          <w:szCs w:val="18"/>
        </w:rPr>
        <w:t xml:space="preserve">; </w:t>
      </w:r>
      <w:r>
        <w:rPr>
          <w:rFonts w:hint="eastAsia"/>
          <w:sz w:val="18"/>
          <w:szCs w:val="18"/>
        </w:rPr>
        <w:t>Fiber optic device; Mold field diameter</w:t>
      </w:r>
    </w:p>
    <w:p>
      <w:pPr>
        <w:ind w:firstLine="422"/>
        <w:jc w:val="center"/>
        <w:rPr>
          <w:b/>
          <w:szCs w:val="21"/>
        </w:rPr>
      </w:pPr>
      <w:r>
        <w:rPr>
          <w:b/>
          <w:szCs w:val="21"/>
        </w:rPr>
        <w:t xml:space="preserve"> </w:t>
      </w:r>
    </w:p>
    <w:p>
      <w:pPr>
        <w:rPr>
          <w:b/>
          <w:sz w:val="24"/>
          <w:szCs w:val="24"/>
        </w:rPr>
      </w:pPr>
      <w:r>
        <w:rPr>
          <w:b/>
          <w:sz w:val="24"/>
          <w:szCs w:val="24"/>
        </w:rPr>
        <w:t>0引言</w:t>
      </w:r>
    </w:p>
    <w:p>
      <w:pPr>
        <w:ind w:firstLine="420" w:firstLineChars="200"/>
        <w:rPr>
          <w:szCs w:val="21"/>
        </w:rPr>
      </w:pPr>
      <w:r>
        <w:rPr>
          <w:rFonts w:hint="eastAsia"/>
          <w:szCs w:val="21"/>
        </w:rPr>
        <w:t>在光通信领域，光纤准直器是一种常用的光无源器件，可用于光环形器、光开关、光纤旋转连接器、波分复用器等光学器件中，常规的光无源器件是由一个或一对准直器加上其它器件组成的，对输入进器件的光束进行准直，或对输出的光束进行聚焦接收，以提高耦合效率</w:t>
      </w:r>
      <w:r>
        <w:rPr>
          <w:rFonts w:hint="eastAsia"/>
          <w:szCs w:val="21"/>
          <w:vertAlign w:val="superscript"/>
        </w:rPr>
        <w:t>[1]</w:t>
      </w:r>
      <w:r>
        <w:rPr>
          <w:rFonts w:hint="eastAsia"/>
          <w:szCs w:val="21"/>
        </w:rPr>
        <w:t>。传统的光纤准直器一般为单模尾纤和准直透镜（C-Lens或G-Lens）的结构，C-Lens结构的光纤准直器由于其最大工作距离与曲率半径成正比，因此可以选用大的曲率半径的C-Lens获得较大的工作距离</w:t>
      </w:r>
      <w:r>
        <w:rPr>
          <w:rFonts w:hint="eastAsia"/>
          <w:szCs w:val="21"/>
          <w:vertAlign w:val="superscript"/>
        </w:rPr>
        <w:t>[2]</w:t>
      </w:r>
      <w:r>
        <w:rPr>
          <w:rFonts w:hint="eastAsia"/>
          <w:szCs w:val="21"/>
        </w:rPr>
        <w:t>；相比之下G-Lens结构的光纤准直器的工作距离取决于轴心折射率、透镜长度和透镜聚焦系数，适用于较短的工作距离</w:t>
      </w:r>
      <w:r>
        <w:rPr>
          <w:rFonts w:hint="eastAsia"/>
          <w:szCs w:val="21"/>
          <w:vertAlign w:val="superscript"/>
        </w:rPr>
        <w:t>[3]</w:t>
      </w:r>
      <w:r>
        <w:rPr>
          <w:rFonts w:hint="eastAsia"/>
          <w:szCs w:val="21"/>
        </w:rPr>
        <w:t>，故通常微结构的集成系统常用G-Lens作为准直透镜</w:t>
      </w:r>
      <w:r>
        <w:rPr>
          <w:rFonts w:hint="eastAsia"/>
          <w:szCs w:val="21"/>
          <w:vertAlign w:val="superscript"/>
        </w:rPr>
        <w:t>[4-9]</w:t>
      </w:r>
      <w:r>
        <w:rPr>
          <w:rFonts w:hint="eastAsia"/>
          <w:szCs w:val="21"/>
        </w:rPr>
        <w:t>。传统的连接准直透镜所能达到的扩束效果有限，输出模场直径单一，且器件体积较大。为克服上述不足，本文提出一</w:t>
      </w:r>
      <w:r>
        <w:rPr>
          <w:szCs w:val="21"/>
        </w:rPr>
        <w:t>种模</w:t>
      </w:r>
      <w:r>
        <w:rPr>
          <w:rFonts w:hint="eastAsia"/>
          <w:szCs w:val="21"/>
        </w:rPr>
        <w:t>场</w:t>
      </w:r>
      <w:r>
        <w:rPr>
          <w:szCs w:val="21"/>
        </w:rPr>
        <w:t>直径可调的光纤微</w:t>
      </w:r>
      <w:r>
        <w:rPr>
          <w:rFonts w:hint="eastAsia"/>
          <w:szCs w:val="21"/>
        </w:rPr>
        <w:t>准</w:t>
      </w:r>
      <w:r>
        <w:rPr>
          <w:szCs w:val="21"/>
        </w:rPr>
        <w:t>直器</w:t>
      </w:r>
      <w:r>
        <w:rPr>
          <w:rFonts w:hint="eastAsia"/>
          <w:szCs w:val="21"/>
        </w:rPr>
        <w:t>。</w:t>
      </w:r>
    </w:p>
    <w:p>
      <w:pPr>
        <w:ind w:firstLine="420" w:firstLineChars="200"/>
        <w:rPr>
          <w:rFonts w:hint="eastAsia"/>
          <w:szCs w:val="21"/>
        </w:rPr>
      </w:pPr>
    </w:p>
    <w:p>
      <w:pPr>
        <w:spacing w:before="156" w:beforeLines="50" w:after="156" w:afterLines="50"/>
        <w:rPr>
          <w:b/>
          <w:sz w:val="24"/>
          <w:szCs w:val="24"/>
        </w:rPr>
      </w:pPr>
      <w:r>
        <w:rPr>
          <w:b/>
          <w:sz w:val="24"/>
          <w:szCs w:val="24"/>
        </w:rPr>
        <w:t xml:space="preserve">1  </w:t>
      </w:r>
      <w:r>
        <w:rPr>
          <w:rFonts w:hint="eastAsia"/>
          <w:b/>
          <w:sz w:val="24"/>
          <w:szCs w:val="24"/>
        </w:rPr>
        <w:t>光纤准直器的结构与仿真</w:t>
      </w:r>
    </w:p>
    <w:p>
      <w:pPr>
        <w:ind w:firstLine="420" w:firstLineChars="200"/>
        <w:rPr>
          <w:szCs w:val="21"/>
        </w:rPr>
      </w:pPr>
      <w:r>
        <w:rPr>
          <w:rFonts w:hint="eastAsia"/>
          <w:szCs w:val="21"/>
        </w:rPr>
        <w:t>本文</w:t>
      </w:r>
      <w:r>
        <w:rPr>
          <w:szCs w:val="21"/>
        </w:rPr>
        <w:t>提出的模</w:t>
      </w:r>
      <w:r>
        <w:rPr>
          <w:rFonts w:hint="eastAsia"/>
          <w:szCs w:val="21"/>
        </w:rPr>
        <w:t>场</w:t>
      </w:r>
      <w:r>
        <w:rPr>
          <w:szCs w:val="21"/>
        </w:rPr>
        <w:t>直径可调的光纤微</w:t>
      </w:r>
      <w:r>
        <w:rPr>
          <w:rFonts w:hint="eastAsia"/>
          <w:szCs w:val="21"/>
        </w:rPr>
        <w:t>准</w:t>
      </w:r>
      <w:r>
        <w:rPr>
          <w:szCs w:val="21"/>
        </w:rPr>
        <w:t>直器</w:t>
      </w:r>
      <w:r>
        <w:rPr>
          <w:rFonts w:hint="eastAsia"/>
          <w:szCs w:val="21"/>
        </w:rPr>
        <w:t>的设计结构主要有单模光纤（SMF）、阶跃折射率多模光纤（SIF）和渐变折射率多模光纤（GIF），分别从左至右依次连接，形成“三明治”结构，如图1所示。GIF纤芯的折射率分布遵循平方分布律</w:t>
      </w:r>
      <w:r>
        <w:rPr>
          <w:rFonts w:hint="eastAsia"/>
          <w:szCs w:val="21"/>
          <w:vertAlign w:val="superscript"/>
        </w:rPr>
        <w:t>[10]</w:t>
      </w:r>
      <w:r>
        <w:rPr>
          <w:rFonts w:hint="eastAsia"/>
          <w:szCs w:val="21"/>
        </w:rPr>
        <w:t>，</w:t>
      </w:r>
      <w:r>
        <w:rPr>
          <w:szCs w:val="21"/>
        </w:rPr>
        <w:t>其</w:t>
      </w:r>
      <w:r>
        <w:rPr>
          <w:rFonts w:hint="eastAsia"/>
          <w:szCs w:val="21"/>
        </w:rPr>
        <w:t>表达式为</w:t>
      </w:r>
    </w:p>
    <w:p>
      <w:pPr>
        <w:wordWrap w:val="0"/>
        <w:jc w:val="right"/>
        <w:rPr>
          <w:rFonts w:hAnsi="Cambria Math"/>
          <w:color w:val="000000"/>
          <w:kern w:val="0"/>
          <w:szCs w:val="21"/>
        </w:rPr>
      </w:pPr>
      <w:r>
        <w:rPr>
          <w:rFonts w:hAnsi="Cambria Math" w:cstheme="minorBidi"/>
          <w:position w:val="-24"/>
          <w:szCs w:val="21"/>
        </w:rPr>
        <w:object>
          <v:shape id="_x0000_i1025" o:spt="75" type="#_x0000_t75" style="height:28.3pt;width:87.4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r>
        <w:rPr>
          <w:rFonts w:hint="eastAsia" w:hAnsi="Cambria Math" w:cstheme="minorBidi"/>
          <w:position w:val="-24"/>
          <w:szCs w:val="21"/>
        </w:rPr>
        <w:t xml:space="preserve">                             (1)</w:t>
      </w:r>
    </w:p>
    <w:p>
      <w:pPr>
        <w:rPr>
          <w:szCs w:val="21"/>
        </w:rPr>
      </w:pPr>
      <w:r>
        <w:rPr>
          <w:rFonts w:hint="eastAsia"/>
          <w:szCs w:val="21"/>
        </w:rPr>
        <w:t>其中，</w:t>
      </w:r>
      <w:r>
        <w:rPr>
          <w:rFonts w:hint="eastAsia"/>
          <w:i/>
          <w:iCs/>
          <w:szCs w:val="21"/>
        </w:rPr>
        <w:t>r</w:t>
      </w:r>
      <w:r>
        <w:rPr>
          <w:rFonts w:hint="eastAsia"/>
          <w:szCs w:val="21"/>
        </w:rPr>
        <w:t>为光线离径向中心轴的距离，</w:t>
      </w:r>
      <w:r>
        <w:rPr>
          <w:rFonts w:hint="eastAsia"/>
          <w:i/>
          <w:iCs/>
          <w:szCs w:val="21"/>
        </w:rPr>
        <w:t>n</w:t>
      </w:r>
      <w:r>
        <w:rPr>
          <w:rFonts w:hint="eastAsia"/>
          <w:szCs w:val="21"/>
          <w:vertAlign w:val="subscript"/>
        </w:rPr>
        <w:t>0</w:t>
      </w:r>
      <w:r>
        <w:rPr>
          <w:rFonts w:hint="eastAsia"/>
          <w:szCs w:val="21"/>
        </w:rPr>
        <w:t>为纤芯中心轴的折射率，</w:t>
      </w:r>
      <w:r>
        <w:rPr>
          <w:rFonts w:hint="eastAsia"/>
          <w:i/>
          <w:iCs/>
          <w:szCs w:val="21"/>
        </w:rPr>
        <w:t>g</w:t>
      </w:r>
      <w:r>
        <w:rPr>
          <w:rFonts w:hint="eastAsia"/>
          <w:szCs w:val="21"/>
        </w:rPr>
        <w:t>为聚焦系数。</w:t>
      </w:r>
    </w:p>
    <w:p>
      <w:pPr>
        <w:jc w:val="center"/>
        <w:rPr>
          <w:szCs w:val="21"/>
        </w:rPr>
      </w:pPr>
      <w:r>
        <w:drawing>
          <wp:inline distT="0" distB="0" distL="114300" distR="114300">
            <wp:extent cx="2520315" cy="2359660"/>
            <wp:effectExtent l="0" t="0" r="13335" b="254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8"/>
                    <a:stretch>
                      <a:fillRect/>
                    </a:stretch>
                  </pic:blipFill>
                  <pic:spPr>
                    <a:xfrm>
                      <a:off x="0" y="0"/>
                      <a:ext cx="2520315" cy="2359660"/>
                    </a:xfrm>
                    <a:prstGeom prst="rect">
                      <a:avLst/>
                    </a:prstGeom>
                    <a:noFill/>
                    <a:ln>
                      <a:noFill/>
                    </a:ln>
                  </pic:spPr>
                </pic:pic>
              </a:graphicData>
            </a:graphic>
          </wp:inline>
        </w:drawing>
      </w:r>
    </w:p>
    <w:p>
      <w:pPr>
        <w:ind w:firstLine="301"/>
        <w:jc w:val="center"/>
        <w:rPr>
          <w:szCs w:val="21"/>
        </w:rPr>
      </w:pPr>
      <w:r>
        <w:rPr>
          <w:b/>
          <w:sz w:val="15"/>
          <w:szCs w:val="15"/>
        </w:rPr>
        <w:t xml:space="preserve">图1  </w:t>
      </w:r>
      <w:r>
        <w:rPr>
          <w:rFonts w:hint="eastAsia"/>
          <w:b/>
          <w:sz w:val="15"/>
          <w:szCs w:val="15"/>
        </w:rPr>
        <w:t>光纤准直器结构示意图</w:t>
      </w:r>
    </w:p>
    <w:p>
      <w:pPr>
        <w:ind w:firstLine="420" w:firstLineChars="200"/>
        <w:rPr>
          <w:szCs w:val="21"/>
        </w:rPr>
      </w:pPr>
      <w:r>
        <w:rPr>
          <w:rFonts w:hint="eastAsia" w:hAnsi="Cambria Math"/>
          <w:szCs w:val="21"/>
        </w:rPr>
        <w:t>在</w:t>
      </w:r>
      <w:r>
        <w:rPr>
          <w:rFonts w:hint="eastAsia"/>
          <w:szCs w:val="21"/>
        </w:rPr>
        <w:t>GIF</w:t>
      </w:r>
      <w:r>
        <w:rPr>
          <w:rFonts w:hint="eastAsia" w:hAnsi="Cambria Math"/>
          <w:szCs w:val="21"/>
        </w:rPr>
        <w:t>参数不变的情况下，准直器最终输出光束的模场直径，与</w:t>
      </w:r>
      <w:r>
        <w:rPr>
          <w:rFonts w:hint="eastAsia"/>
          <w:szCs w:val="21"/>
        </w:rPr>
        <w:t>SIF</w:t>
      </w:r>
      <w:r>
        <w:rPr>
          <w:rFonts w:hint="eastAsia" w:hAnsi="Cambria Math"/>
          <w:szCs w:val="21"/>
        </w:rPr>
        <w:t>输入进</w:t>
      </w:r>
      <w:r>
        <w:rPr>
          <w:rFonts w:hint="eastAsia"/>
          <w:szCs w:val="21"/>
        </w:rPr>
        <w:t>GIF的模场有关，改变SIF</w:t>
      </w:r>
      <w:r>
        <w:rPr>
          <w:rFonts w:hint="eastAsia" w:hAnsi="Cambria Math"/>
          <w:szCs w:val="21"/>
        </w:rPr>
        <w:t>的长度</w:t>
      </w:r>
      <w:r>
        <w:rPr>
          <w:rFonts w:hint="eastAsia" w:hAnsi="Cambria Math"/>
          <w:i/>
          <w:iCs/>
          <w:szCs w:val="21"/>
        </w:rPr>
        <w:t>L</w:t>
      </w:r>
      <w:r>
        <w:rPr>
          <w:rFonts w:hint="eastAsia" w:hAnsi="Cambria Math"/>
          <w:szCs w:val="21"/>
        </w:rPr>
        <w:t>，就可以得到不同的输出模场直径</w:t>
      </w:r>
      <w:r>
        <w:rPr>
          <w:rFonts w:hint="eastAsia"/>
          <w:szCs w:val="21"/>
        </w:rPr>
        <w:t>。</w:t>
      </w:r>
    </w:p>
    <w:p>
      <w:pPr>
        <w:ind w:firstLine="420"/>
        <w:jc w:val="left"/>
        <w:rPr>
          <w:rFonts w:hint="eastAsia" w:hAnsi="Cambria Math" w:cstheme="minorBidi"/>
          <w:position w:val="-24"/>
          <w:szCs w:val="21"/>
        </w:rPr>
      </w:pPr>
      <w:r>
        <w:rPr>
          <w:rFonts w:ascii="Segoe UI" w:hAnsi="Segoe UI" w:cs="Segoe UI"/>
          <w:color w:val="1E1F24"/>
          <w:shd w:val="clear" w:color="auto" w:fill="FFFFFF"/>
        </w:rPr>
        <w:t>本文根据光纤准直器的设计结构，使用</w:t>
      </w:r>
      <w:r>
        <w:rPr>
          <w:rFonts w:hint="eastAsia"/>
          <w:szCs w:val="21"/>
        </w:rPr>
        <w:t>SMF</w:t>
      </w:r>
      <w:r>
        <w:rPr>
          <w:rFonts w:ascii="Segoe UI" w:hAnsi="Segoe UI" w:cs="Segoe UI"/>
          <w:color w:val="1E1F24"/>
          <w:shd w:val="clear" w:color="auto" w:fill="FFFFFF"/>
        </w:rPr>
        <w:t>构建光学仿真模型，并利用光束传播法仿真</w:t>
      </w:r>
      <w:r>
        <w:rPr>
          <w:rFonts w:hint="eastAsia"/>
          <w:szCs w:val="21"/>
        </w:rPr>
        <w:t>SMF</w:t>
      </w:r>
      <w:r>
        <w:rPr>
          <w:rFonts w:ascii="Segoe UI" w:hAnsi="Segoe UI" w:cs="Segoe UI"/>
          <w:color w:val="1E1F24"/>
          <w:shd w:val="clear" w:color="auto" w:fill="FFFFFF"/>
        </w:rPr>
        <w:t>在各种不同多模光纤中的传输光路，从而更直观地看到光束在光纤中的传播路径，并对不同情况下的传播特性进行对比分析</w:t>
      </w:r>
      <w:r>
        <w:rPr>
          <w:rFonts w:hint="eastAsia" w:ascii="Segoe UI" w:hAnsi="Segoe UI" w:cs="Segoe UI"/>
          <w:color w:val="1E1F24"/>
          <w:shd w:val="clear" w:color="auto" w:fill="FFFFFF"/>
        </w:rPr>
        <w:t>。仿真</w:t>
      </w:r>
      <w:r>
        <w:rPr>
          <w:rFonts w:ascii="Segoe UI" w:hAnsi="Segoe UI" w:cs="Segoe UI"/>
          <w:color w:val="1E1F24"/>
          <w:shd w:val="clear" w:color="auto" w:fill="FFFFFF"/>
        </w:rPr>
        <w:t>模型的</w:t>
      </w:r>
      <w:r>
        <w:rPr>
          <w:rFonts w:hint="eastAsia" w:ascii="Segoe UI" w:hAnsi="Segoe UI" w:cs="Segoe UI"/>
          <w:color w:val="1E1F24"/>
          <w:shd w:val="clear" w:color="auto" w:fill="FFFFFF"/>
        </w:rPr>
        <w:t>光纤</w:t>
      </w:r>
      <w:r>
        <w:rPr>
          <w:rFonts w:ascii="Segoe UI" w:hAnsi="Segoe UI" w:cs="Segoe UI"/>
          <w:color w:val="1E1F24"/>
          <w:shd w:val="clear" w:color="auto" w:fill="FFFFFF"/>
        </w:rPr>
        <w:t>折射率分布</w:t>
      </w:r>
      <w:r>
        <w:rPr>
          <w:rFonts w:hint="eastAsia" w:ascii="Segoe UI" w:hAnsi="Segoe UI" w:cs="Segoe UI"/>
          <w:color w:val="1E1F24"/>
          <w:shd w:val="clear" w:color="auto" w:fill="FFFFFF"/>
        </w:rPr>
        <w:t>如</w:t>
      </w:r>
      <w:r>
        <w:rPr>
          <w:rFonts w:ascii="Segoe UI" w:hAnsi="Segoe UI" w:cs="Segoe UI"/>
          <w:color w:val="1E1F24"/>
          <w:shd w:val="clear" w:color="auto" w:fill="FFFFFF"/>
        </w:rPr>
        <w:t>图</w:t>
      </w:r>
      <w:r>
        <w:rPr>
          <w:rFonts w:hint="eastAsia"/>
          <w:szCs w:val="21"/>
        </w:rPr>
        <w:t>2</w:t>
      </w:r>
      <w:r>
        <w:rPr>
          <w:rFonts w:hint="eastAsia" w:ascii="Segoe UI" w:hAnsi="Segoe UI" w:cs="Segoe UI"/>
          <w:color w:val="1E1F24"/>
          <w:shd w:val="clear" w:color="auto" w:fill="FFFFFF"/>
        </w:rPr>
        <w:t>所</w:t>
      </w:r>
      <w:r>
        <w:rPr>
          <w:rFonts w:ascii="Segoe UI" w:hAnsi="Segoe UI" w:cs="Segoe UI"/>
          <w:color w:val="1E1F24"/>
          <w:shd w:val="clear" w:color="auto" w:fill="FFFFFF"/>
        </w:rPr>
        <w:t>示。</w:t>
      </w:r>
    </w:p>
    <w:p>
      <w:pPr>
        <w:jc w:val="center"/>
      </w:pPr>
      <w:r>
        <w:drawing>
          <wp:inline distT="0" distB="0" distL="114300" distR="114300">
            <wp:extent cx="2520315" cy="2187575"/>
            <wp:effectExtent l="0" t="0" r="13335" b="3175"/>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9"/>
                    <a:stretch>
                      <a:fillRect/>
                    </a:stretch>
                  </pic:blipFill>
                  <pic:spPr>
                    <a:xfrm>
                      <a:off x="0" y="0"/>
                      <a:ext cx="2520315" cy="2187575"/>
                    </a:xfrm>
                    <a:prstGeom prst="rect">
                      <a:avLst/>
                    </a:prstGeom>
                    <a:noFill/>
                    <a:ln>
                      <a:noFill/>
                    </a:ln>
                  </pic:spPr>
                </pic:pic>
              </a:graphicData>
            </a:graphic>
          </wp:inline>
        </w:drawing>
      </w:r>
    </w:p>
    <w:p>
      <w:pPr>
        <w:ind w:firstLine="301"/>
        <w:jc w:val="center"/>
        <w:rPr>
          <w:szCs w:val="21"/>
        </w:rPr>
      </w:pPr>
      <w:r>
        <w:rPr>
          <w:b/>
          <w:sz w:val="15"/>
          <w:szCs w:val="15"/>
        </w:rPr>
        <w:t>图</w:t>
      </w:r>
      <w:r>
        <w:rPr>
          <w:rFonts w:hint="eastAsia"/>
          <w:b/>
          <w:sz w:val="15"/>
          <w:szCs w:val="15"/>
        </w:rPr>
        <w:t>2</w:t>
      </w:r>
      <w:r>
        <w:rPr>
          <w:b/>
          <w:sz w:val="15"/>
          <w:szCs w:val="15"/>
        </w:rPr>
        <w:t xml:space="preserve"> </w:t>
      </w:r>
      <w:r>
        <w:rPr>
          <w:rFonts w:hint="eastAsia"/>
          <w:b/>
          <w:sz w:val="15"/>
          <w:szCs w:val="15"/>
        </w:rPr>
        <w:t>仿真模型</w:t>
      </w:r>
      <w:r>
        <w:rPr>
          <w:b/>
          <w:sz w:val="15"/>
          <w:szCs w:val="15"/>
        </w:rPr>
        <w:t>的</w:t>
      </w:r>
      <w:r>
        <w:rPr>
          <w:rFonts w:hint="eastAsia"/>
          <w:b/>
          <w:sz w:val="15"/>
          <w:szCs w:val="15"/>
        </w:rPr>
        <w:t>光纤折射率分布</w:t>
      </w:r>
    </w:p>
    <w:p>
      <w:pPr>
        <w:ind w:firstLine="420" w:firstLineChars="200"/>
        <w:rPr>
          <w:bCs/>
          <w:szCs w:val="21"/>
        </w:rPr>
      </w:pPr>
      <w:r>
        <w:rPr>
          <w:rFonts w:hint="eastAsia"/>
          <w:szCs w:val="21"/>
        </w:rPr>
        <w:t>在仿真实验中，SMF</w:t>
      </w:r>
      <w:r>
        <w:rPr>
          <w:rFonts w:ascii="Segoe UI" w:hAnsi="Segoe UI" w:cs="Segoe UI"/>
          <w:color w:val="1E1F24"/>
          <w:shd w:val="clear" w:color="auto" w:fill="FFFFFF"/>
        </w:rPr>
        <w:t>的</w:t>
      </w:r>
      <w:r>
        <w:rPr>
          <w:rFonts w:hint="eastAsia"/>
          <w:szCs w:val="21"/>
        </w:rPr>
        <w:t xml:space="preserve">包层直径为125 </w:t>
      </w:r>
      <w:r>
        <w:rPr>
          <w:i/>
          <w:iCs/>
          <w:szCs w:val="21"/>
        </w:rPr>
        <w:t>μ</w:t>
      </w:r>
      <w:r>
        <w:rPr>
          <w:szCs w:val="21"/>
        </w:rPr>
        <w:t>m</w:t>
      </w:r>
      <w:r>
        <w:rPr>
          <w:rFonts w:hint="eastAsia"/>
          <w:szCs w:val="21"/>
        </w:rPr>
        <w:t xml:space="preserve">，纤芯直径为9 </w:t>
      </w:r>
      <w:r>
        <w:rPr>
          <w:i/>
          <w:iCs/>
          <w:szCs w:val="21"/>
        </w:rPr>
        <w:t>μ</w:t>
      </w:r>
      <w:r>
        <w:rPr>
          <w:szCs w:val="21"/>
        </w:rPr>
        <w:t>m</w:t>
      </w:r>
      <w:r>
        <w:rPr>
          <w:rFonts w:hint="eastAsia"/>
          <w:szCs w:val="21"/>
        </w:rPr>
        <w:t>，光纤包层折射率</w:t>
      </w:r>
      <w:r>
        <w:rPr>
          <w:rFonts w:hint="eastAsia"/>
          <w:i/>
          <w:iCs/>
          <w:szCs w:val="21"/>
        </w:rPr>
        <w:t>n</w:t>
      </w:r>
      <w:r>
        <w:rPr>
          <w:rFonts w:hint="eastAsia"/>
          <w:szCs w:val="21"/>
          <w:vertAlign w:val="subscript"/>
        </w:rPr>
        <w:t>0</w:t>
      </w:r>
      <w:r>
        <w:rPr>
          <w:rFonts w:hint="eastAsia"/>
          <w:szCs w:val="21"/>
        </w:rPr>
        <w:t>=1.457，纤芯折射率</w:t>
      </w:r>
      <w:r>
        <w:rPr>
          <w:rFonts w:hint="eastAsia"/>
          <w:i/>
          <w:iCs/>
          <w:szCs w:val="21"/>
        </w:rPr>
        <w:t>n</w:t>
      </w:r>
      <w:r>
        <w:rPr>
          <w:rFonts w:hint="eastAsia"/>
          <w:szCs w:val="21"/>
          <w:vertAlign w:val="subscript"/>
        </w:rPr>
        <w:t>1</w:t>
      </w:r>
      <w:r>
        <w:rPr>
          <w:rFonts w:hint="eastAsia"/>
          <w:szCs w:val="21"/>
        </w:rPr>
        <w:t>=1.462；此</w:t>
      </w:r>
      <w:r>
        <w:rPr>
          <w:szCs w:val="21"/>
        </w:rPr>
        <w:t>外，该</w:t>
      </w:r>
      <w:r>
        <w:rPr>
          <w:rFonts w:hint="eastAsia"/>
          <w:szCs w:val="21"/>
        </w:rPr>
        <w:t>SMF</w:t>
      </w:r>
      <w:r>
        <w:rPr>
          <w:rFonts w:hint="eastAsia" w:ascii="Segoe UI" w:hAnsi="Segoe UI" w:cs="Segoe UI"/>
          <w:color w:val="1E1F24"/>
          <w:shd w:val="clear" w:color="auto" w:fill="FFFFFF"/>
        </w:rPr>
        <w:t>主</w:t>
      </w:r>
      <w:r>
        <w:rPr>
          <w:rFonts w:ascii="Segoe UI" w:hAnsi="Segoe UI" w:cs="Segoe UI"/>
          <w:color w:val="1E1F24"/>
          <w:shd w:val="clear" w:color="auto" w:fill="FFFFFF"/>
        </w:rPr>
        <w:t>要</w:t>
      </w:r>
      <w:r>
        <w:rPr>
          <w:rFonts w:hint="eastAsia"/>
          <w:szCs w:val="21"/>
        </w:rPr>
        <w:t>用于提供高斯光束及基模模场。SIF</w:t>
      </w:r>
      <w:r>
        <w:rPr>
          <w:bCs/>
          <w:szCs w:val="21"/>
        </w:rPr>
        <w:t>包层直径为125</w:t>
      </w:r>
      <w:r>
        <w:rPr>
          <w:rFonts w:hint="eastAsia"/>
          <w:bCs/>
          <w:szCs w:val="21"/>
        </w:rPr>
        <w:t xml:space="preserve"> </w:t>
      </w:r>
      <w:r>
        <w:rPr>
          <w:i/>
          <w:iCs/>
          <w:szCs w:val="21"/>
        </w:rPr>
        <w:t>μ</w:t>
      </w:r>
      <w:r>
        <w:rPr>
          <w:bCs/>
          <w:szCs w:val="21"/>
        </w:rPr>
        <w:t>m，纤芯直径为</w:t>
      </w:r>
      <w:r>
        <w:rPr>
          <w:rFonts w:hint="eastAsia"/>
          <w:bCs/>
          <w:szCs w:val="21"/>
        </w:rPr>
        <w:t xml:space="preserve">105 </w:t>
      </w:r>
      <w:r>
        <w:rPr>
          <w:i/>
          <w:iCs/>
          <w:szCs w:val="21"/>
        </w:rPr>
        <w:t>μ</w:t>
      </w:r>
      <w:r>
        <w:rPr>
          <w:bCs/>
          <w:szCs w:val="21"/>
        </w:rPr>
        <w:t>m，光纤包层折射率</w:t>
      </w:r>
      <w:r>
        <w:rPr>
          <w:bCs/>
          <w:i/>
          <w:iCs/>
          <w:szCs w:val="21"/>
        </w:rPr>
        <w:t>n</w:t>
      </w:r>
      <w:r>
        <w:rPr>
          <w:bCs/>
          <w:szCs w:val="21"/>
          <w:vertAlign w:val="subscript"/>
        </w:rPr>
        <w:t>0</w:t>
      </w:r>
      <w:r>
        <w:rPr>
          <w:bCs/>
          <w:szCs w:val="21"/>
        </w:rPr>
        <w:t>=1.457，纤芯折射率</w:t>
      </w:r>
      <w:r>
        <w:rPr>
          <w:bCs/>
          <w:i/>
          <w:iCs/>
          <w:szCs w:val="21"/>
        </w:rPr>
        <w:t>n</w:t>
      </w:r>
      <w:r>
        <w:rPr>
          <w:bCs/>
          <w:szCs w:val="21"/>
          <w:vertAlign w:val="subscript"/>
        </w:rPr>
        <w:t>2</w:t>
      </w:r>
      <w:r>
        <w:rPr>
          <w:bCs/>
          <w:szCs w:val="21"/>
        </w:rPr>
        <w:t>=1.</w:t>
      </w:r>
      <w:r>
        <w:rPr>
          <w:rFonts w:hint="eastAsia"/>
          <w:bCs/>
          <w:szCs w:val="21"/>
        </w:rPr>
        <w:t>5</w:t>
      </w:r>
      <w:r>
        <w:rPr>
          <w:bCs/>
          <w:szCs w:val="21"/>
        </w:rPr>
        <w:t>；</w:t>
      </w:r>
      <w:r>
        <w:rPr>
          <w:rFonts w:hint="eastAsia"/>
          <w:szCs w:val="21"/>
        </w:rPr>
        <w:t>GIF</w:t>
      </w:r>
      <w:r>
        <w:rPr>
          <w:bCs/>
          <w:szCs w:val="21"/>
        </w:rPr>
        <w:t>包层直径为125</w:t>
      </w:r>
      <w:r>
        <w:rPr>
          <w:rFonts w:hint="eastAsia"/>
          <w:bCs/>
          <w:szCs w:val="21"/>
        </w:rPr>
        <w:t xml:space="preserve"> </w:t>
      </w:r>
      <w:r>
        <w:rPr>
          <w:i/>
          <w:iCs/>
          <w:szCs w:val="21"/>
        </w:rPr>
        <w:t>μ</w:t>
      </w:r>
      <w:r>
        <w:rPr>
          <w:bCs/>
          <w:szCs w:val="21"/>
        </w:rPr>
        <w:t>m，纤芯直径为105</w:t>
      </w:r>
      <w:r>
        <w:rPr>
          <w:rFonts w:hint="eastAsia"/>
          <w:bCs/>
          <w:szCs w:val="21"/>
        </w:rPr>
        <w:t xml:space="preserve"> </w:t>
      </w:r>
      <w:r>
        <w:rPr>
          <w:i/>
          <w:iCs/>
          <w:szCs w:val="21"/>
        </w:rPr>
        <w:t>μ</w:t>
      </w:r>
      <w:r>
        <w:rPr>
          <w:bCs/>
          <w:szCs w:val="21"/>
        </w:rPr>
        <w:t>m，纤芯中心折射率</w:t>
      </w:r>
      <w:r>
        <w:rPr>
          <w:bCs/>
          <w:i/>
          <w:iCs/>
          <w:szCs w:val="21"/>
        </w:rPr>
        <w:t>n</w:t>
      </w:r>
      <w:r>
        <w:rPr>
          <w:bCs/>
          <w:szCs w:val="21"/>
          <w:vertAlign w:val="subscript"/>
        </w:rPr>
        <w:t>3</w:t>
      </w:r>
      <w:r>
        <w:rPr>
          <w:bCs/>
          <w:szCs w:val="21"/>
        </w:rPr>
        <w:t>=1.4</w:t>
      </w:r>
      <w:r>
        <w:rPr>
          <w:rFonts w:hint="eastAsia"/>
          <w:bCs/>
          <w:szCs w:val="21"/>
        </w:rPr>
        <w:t>9</w:t>
      </w:r>
      <w:r>
        <w:rPr>
          <w:bCs/>
          <w:szCs w:val="21"/>
        </w:rPr>
        <w:t>2，</w:t>
      </w:r>
      <w:r>
        <w:rPr>
          <w:rFonts w:hint="eastAsia"/>
          <w:bCs/>
          <w:szCs w:val="21"/>
        </w:rPr>
        <w:t>其纤芯折射率分布为：</w:t>
      </w:r>
    </w:p>
    <w:p>
      <w:pPr>
        <w:ind w:firstLine="2940" w:firstLineChars="1400"/>
        <w:rPr>
          <w:bCs/>
          <w:szCs w:val="21"/>
        </w:rPr>
      </w:pPr>
      <w:r>
        <w:rPr>
          <w:rFonts w:hAnsi="Cambria Math" w:cstheme="minorBidi"/>
          <w:position w:val="-10"/>
          <w:szCs w:val="21"/>
        </w:rPr>
        <w:object>
          <v:shape id="_x0000_i1026" o:spt="75" type="#_x0000_t75" style="height:17.5pt;width:139.4pt;" o:ole="t" filled="f" o:preferrelative="t" stroked="f" coordsize="21600,21600">
            <v:path/>
            <v:fill on="f" focussize="0,0"/>
            <v:stroke on="f" joinstyle="miter"/>
            <v:imagedata r:id="rId11" o:title=""/>
            <o:lock v:ext="edit" aspectratio="t"/>
            <w10:wrap type="none"/>
            <w10:anchorlock/>
          </v:shape>
          <o:OLEObject Type="Embed" ProgID="Equation.3" ShapeID="_x0000_i1026" DrawAspect="Content" ObjectID="_1468075726" r:id="rId10">
            <o:LockedField>false</o:LockedField>
          </o:OLEObject>
        </w:object>
      </w:r>
      <w:r>
        <w:rPr>
          <w:rFonts w:hint="eastAsia" w:hAnsi="Cambria Math" w:cstheme="minorBidi"/>
          <w:position w:val="-24"/>
          <w:szCs w:val="21"/>
        </w:rPr>
        <w:t xml:space="preserve"> </w:t>
      </w:r>
      <w:r>
        <w:rPr>
          <w:rFonts w:hAnsi="Cambria Math" w:cstheme="minorBidi"/>
          <w:position w:val="-24"/>
          <w:szCs w:val="21"/>
        </w:rPr>
        <w:t xml:space="preserve">                    </w:t>
      </w:r>
      <w:r>
        <w:rPr>
          <w:rFonts w:hint="eastAsia" w:hAnsi="Cambria Math" w:cstheme="minorBidi"/>
          <w:position w:val="-24"/>
          <w:szCs w:val="21"/>
        </w:rPr>
        <w:t>(2)</w:t>
      </w:r>
      <w:r>
        <w:rPr>
          <w:rFonts w:hAnsi="Cambria Math" w:cstheme="minorBidi"/>
          <w:position w:val="-24"/>
          <w:szCs w:val="21"/>
        </w:rPr>
        <w:t xml:space="preserve">           </w:t>
      </w:r>
    </w:p>
    <w:p>
      <w:pPr>
        <w:jc w:val="left"/>
        <w:rPr>
          <w:b/>
          <w:szCs w:val="21"/>
        </w:rPr>
      </w:pPr>
      <w:r>
        <w:rPr>
          <w:rFonts w:hint="eastAsia"/>
          <w:b/>
          <w:szCs w:val="21"/>
        </w:rPr>
        <w:t>1.1准直效果</w:t>
      </w:r>
    </w:p>
    <w:p>
      <w:pPr>
        <w:ind w:firstLine="420" w:firstLineChars="200"/>
        <w:rPr>
          <w:bCs/>
          <w:szCs w:val="21"/>
        </w:rPr>
      </w:pPr>
      <w:r>
        <w:rPr>
          <w:rFonts w:hint="eastAsia"/>
          <w:bCs/>
          <w:szCs w:val="21"/>
        </w:rPr>
        <w:t>本</w:t>
      </w:r>
      <w:r>
        <w:rPr>
          <w:bCs/>
          <w:szCs w:val="21"/>
        </w:rPr>
        <w:t>文首先对</w:t>
      </w:r>
      <w:r>
        <w:rPr>
          <w:rFonts w:hint="eastAsia"/>
          <w:bCs/>
          <w:szCs w:val="21"/>
        </w:rPr>
        <w:t>光纤准直器的准直效果进</w:t>
      </w:r>
      <w:r>
        <w:rPr>
          <w:bCs/>
          <w:szCs w:val="21"/>
        </w:rPr>
        <w:t>行分析</w:t>
      </w:r>
      <w:r>
        <w:rPr>
          <w:rFonts w:hint="eastAsia"/>
          <w:bCs/>
          <w:szCs w:val="21"/>
        </w:rPr>
        <w:t>，归一化</w:t>
      </w:r>
      <w:r>
        <w:rPr>
          <w:rFonts w:hint="eastAsia"/>
          <w:szCs w:val="21"/>
        </w:rPr>
        <w:t>SMF</w:t>
      </w:r>
      <w:r>
        <w:rPr>
          <w:rFonts w:hint="eastAsia"/>
          <w:bCs/>
          <w:szCs w:val="21"/>
        </w:rPr>
        <w:t>、</w:t>
      </w:r>
      <w:r>
        <w:rPr>
          <w:rFonts w:hint="eastAsia"/>
          <w:szCs w:val="21"/>
        </w:rPr>
        <w:t>SIF</w:t>
      </w:r>
      <w:r>
        <w:rPr>
          <w:rFonts w:hint="eastAsia"/>
          <w:bCs/>
          <w:szCs w:val="21"/>
        </w:rPr>
        <w:t>和</w:t>
      </w:r>
      <w:r>
        <w:rPr>
          <w:rFonts w:hint="eastAsia"/>
          <w:szCs w:val="21"/>
        </w:rPr>
        <w:t>GIF</w:t>
      </w:r>
      <w:r>
        <w:rPr>
          <w:rFonts w:hint="eastAsia"/>
          <w:bCs/>
          <w:szCs w:val="21"/>
        </w:rPr>
        <w:t>组成的准直器</w:t>
      </w:r>
      <w:r>
        <w:rPr>
          <w:rFonts w:hint="eastAsia"/>
          <w:bCs/>
          <w:szCs w:val="21"/>
          <w:lang w:val="en-US" w:eastAsia="zh-CN"/>
        </w:rPr>
        <w:t>仿真结果</w:t>
      </w:r>
      <w:r>
        <w:rPr>
          <w:rFonts w:hint="eastAsia"/>
          <w:bCs/>
          <w:szCs w:val="21"/>
        </w:rPr>
        <w:t>及截面出射光场对比如图3所示。</w:t>
      </w:r>
      <w:r>
        <w:rPr>
          <w:rFonts w:ascii="Segoe UI" w:hAnsi="Segoe UI" w:cs="Segoe UI"/>
          <w:color w:val="1E1F24"/>
          <w:shd w:val="clear" w:color="auto" w:fill="FFFFFF"/>
        </w:rPr>
        <w:t>图</w:t>
      </w:r>
      <w:r>
        <w:rPr>
          <w:rFonts w:hint="eastAsia"/>
          <w:szCs w:val="21"/>
        </w:rPr>
        <w:t>3(a)</w:t>
      </w:r>
      <w:r>
        <w:rPr>
          <w:rFonts w:hint="eastAsia" w:ascii="Segoe UI" w:hAnsi="Segoe UI" w:cs="Segoe UI"/>
          <w:color w:val="1E1F24"/>
          <w:shd w:val="clear" w:color="auto" w:fill="FFFFFF"/>
        </w:rPr>
        <w:t>为</w:t>
      </w:r>
      <w:r>
        <w:rPr>
          <w:rFonts w:hint="eastAsia"/>
          <w:szCs w:val="21"/>
        </w:rPr>
        <w:t>SMF</w:t>
      </w:r>
      <w:r>
        <w:rPr>
          <w:rFonts w:ascii="Segoe UI" w:hAnsi="Segoe UI" w:cs="Segoe UI"/>
          <w:color w:val="1E1F24"/>
          <w:shd w:val="clear" w:color="auto" w:fill="FFFFFF"/>
        </w:rPr>
        <w:t>在空气中传播时形态，即发散的高斯光束</w:t>
      </w:r>
      <w:r>
        <w:rPr>
          <w:rFonts w:hint="eastAsia"/>
          <w:bCs/>
          <w:szCs w:val="21"/>
        </w:rPr>
        <w:t>；</w:t>
      </w:r>
      <w:commentRangeStart w:id="0"/>
      <w:commentRangeStart w:id="1"/>
      <w:r>
        <w:rPr>
          <w:bCs/>
          <w:szCs w:val="21"/>
        </w:rPr>
        <w:t>在</w:t>
      </w:r>
      <w:r>
        <w:rPr>
          <w:rFonts w:hint="eastAsia"/>
          <w:szCs w:val="21"/>
        </w:rPr>
        <w:t>SMF</w:t>
      </w:r>
      <w:r>
        <w:rPr>
          <w:rFonts w:hint="eastAsia"/>
          <w:bCs/>
          <w:szCs w:val="21"/>
        </w:rPr>
        <w:t>连接</w:t>
      </w:r>
      <w:r>
        <w:rPr>
          <w:rFonts w:hint="eastAsia"/>
          <w:szCs w:val="21"/>
        </w:rPr>
        <w:t>SIF</w:t>
      </w:r>
      <w:r>
        <w:rPr>
          <w:rFonts w:hint="eastAsia"/>
          <w:bCs/>
          <w:szCs w:val="21"/>
        </w:rPr>
        <w:t>后，将较小的高斯基模扩束成较大的高斯光束，光束仍为发散的出射光场如图3(b)所示</w:t>
      </w:r>
      <w:r>
        <w:rPr>
          <w:rFonts w:hint="eastAsia"/>
          <w:bCs/>
          <w:szCs w:val="21"/>
          <w:lang w:eastAsia="zh-CN"/>
        </w:rPr>
        <w:t>；</w:t>
      </w:r>
      <w:r>
        <w:rPr>
          <w:rFonts w:hint="eastAsia"/>
          <w:bCs/>
          <w:szCs w:val="21"/>
        </w:rPr>
        <w:t>在连接</w:t>
      </w:r>
      <w:r>
        <w:rPr>
          <w:rFonts w:hint="eastAsia"/>
          <w:bCs/>
          <w:szCs w:val="21"/>
          <w:lang w:val="en-US" w:eastAsia="zh-CN"/>
        </w:rPr>
        <w:t>GIF</w:t>
      </w:r>
      <w:r>
        <w:rPr>
          <w:rFonts w:hint="eastAsia"/>
          <w:bCs/>
          <w:szCs w:val="21"/>
        </w:rPr>
        <w:t>后，原本发散的出射光束变为准直的平行光束，在空气中准直传播了一段距离如图3(c)</w:t>
      </w:r>
      <w:r>
        <w:rPr>
          <w:rFonts w:hint="eastAsia"/>
          <w:bCs/>
          <w:szCs w:val="21"/>
          <w:lang w:val="en-US" w:eastAsia="zh-CN"/>
        </w:rPr>
        <w:t>所示</w:t>
      </w:r>
      <w:r>
        <w:rPr>
          <w:rFonts w:hint="eastAsia"/>
          <w:bCs/>
          <w:szCs w:val="21"/>
          <w:lang w:eastAsia="zh-CN"/>
        </w:rPr>
        <w:t>。</w:t>
      </w:r>
      <w:r>
        <w:rPr>
          <w:rFonts w:hint="eastAsia"/>
          <w:bCs/>
          <w:szCs w:val="21"/>
        </w:rPr>
        <w:t>其</w:t>
      </w:r>
      <w:r>
        <w:rPr>
          <w:rFonts w:hint="eastAsia"/>
          <w:bCs/>
          <w:szCs w:val="21"/>
          <w:lang w:val="en-US" w:eastAsia="zh-CN"/>
        </w:rPr>
        <w:t>中不同光纤连接前后的</w:t>
      </w:r>
      <w:r>
        <w:rPr>
          <w:bCs/>
          <w:szCs w:val="21"/>
        </w:rPr>
        <w:t>截面出</w:t>
      </w:r>
      <w:r>
        <w:rPr>
          <w:rFonts w:hint="eastAsia"/>
          <w:bCs/>
          <w:szCs w:val="21"/>
        </w:rPr>
        <w:t>射光</w:t>
      </w:r>
      <w:r>
        <w:rPr>
          <w:bCs/>
          <w:szCs w:val="21"/>
        </w:rPr>
        <w:t>场</w:t>
      </w:r>
      <w:r>
        <w:rPr>
          <w:rFonts w:hint="eastAsia"/>
          <w:bCs/>
          <w:szCs w:val="21"/>
          <w:lang w:val="en-US" w:eastAsia="zh-CN"/>
        </w:rPr>
        <w:t>对比</w:t>
      </w:r>
      <w:r>
        <w:rPr>
          <w:rFonts w:hint="eastAsia"/>
          <w:bCs/>
          <w:szCs w:val="21"/>
        </w:rPr>
        <w:t>如图3(d)、(e)</w:t>
      </w:r>
      <w:r>
        <w:rPr>
          <w:rFonts w:hint="eastAsia"/>
          <w:bCs/>
          <w:szCs w:val="21"/>
          <w:lang w:eastAsia="zh-CN"/>
        </w:rPr>
        <w:t>、</w:t>
      </w:r>
      <w:r>
        <w:rPr>
          <w:rFonts w:hint="eastAsia"/>
          <w:bCs/>
          <w:szCs w:val="21"/>
        </w:rPr>
        <w:t>(f)所示；</w:t>
      </w:r>
      <w:r>
        <w:rPr>
          <w:rFonts w:hint="eastAsia"/>
          <w:bCs/>
          <w:szCs w:val="21"/>
          <w:lang w:val="en-US" w:eastAsia="zh-CN"/>
        </w:rPr>
        <w:t>在空气中传播一段距离后，</w:t>
      </w:r>
      <w:r>
        <w:rPr>
          <w:rFonts w:hint="eastAsia"/>
          <w:bCs/>
          <w:szCs w:val="21"/>
        </w:rPr>
        <w:t>光束仍保持高斯模场分布，如图3(</w:t>
      </w:r>
      <w:r>
        <w:rPr>
          <w:rFonts w:hint="eastAsia"/>
          <w:bCs/>
          <w:szCs w:val="21"/>
          <w:lang w:val="en-US" w:eastAsia="zh-CN"/>
        </w:rPr>
        <w:t>g</w:t>
      </w:r>
      <w:r>
        <w:rPr>
          <w:rFonts w:hint="eastAsia"/>
          <w:bCs/>
          <w:szCs w:val="21"/>
        </w:rPr>
        <w:t>)所示。</w:t>
      </w:r>
      <w:commentRangeEnd w:id="0"/>
      <w:r>
        <w:rPr>
          <w:rStyle w:val="13"/>
        </w:rPr>
        <w:commentReference w:id="0"/>
      </w:r>
      <w:commentRangeEnd w:id="1"/>
      <w:r>
        <w:commentReference w:id="1"/>
      </w:r>
    </w:p>
    <w:p>
      <w:pPr>
        <w:jc w:val="center"/>
      </w:pPr>
      <w:r>
        <w:drawing>
          <wp:inline distT="0" distB="0" distL="114300" distR="114300">
            <wp:extent cx="2879725" cy="1917065"/>
            <wp:effectExtent l="0" t="0" r="15875" b="698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2"/>
                    <a:stretch>
                      <a:fillRect/>
                    </a:stretch>
                  </pic:blipFill>
                  <pic:spPr>
                    <a:xfrm>
                      <a:off x="0" y="0"/>
                      <a:ext cx="2879725" cy="1917065"/>
                    </a:xfrm>
                    <a:prstGeom prst="rect">
                      <a:avLst/>
                    </a:prstGeom>
                    <a:noFill/>
                    <a:ln>
                      <a:noFill/>
                    </a:ln>
                  </pic:spPr>
                </pic:pic>
              </a:graphicData>
            </a:graphic>
          </wp:inline>
        </w:drawing>
      </w:r>
    </w:p>
    <w:p>
      <w:pPr>
        <w:ind w:firstLine="301"/>
        <w:jc w:val="center"/>
        <w:rPr>
          <w:b/>
          <w:sz w:val="15"/>
          <w:szCs w:val="15"/>
        </w:rPr>
      </w:pPr>
      <w:r>
        <w:rPr>
          <w:b/>
          <w:sz w:val="15"/>
          <w:szCs w:val="15"/>
        </w:rPr>
        <w:t>图</w:t>
      </w:r>
      <w:r>
        <w:rPr>
          <w:rFonts w:hint="eastAsia"/>
          <w:b/>
          <w:sz w:val="15"/>
          <w:szCs w:val="15"/>
        </w:rPr>
        <w:t>3</w:t>
      </w:r>
      <w:r>
        <w:rPr>
          <w:b/>
          <w:sz w:val="15"/>
          <w:szCs w:val="15"/>
        </w:rPr>
        <w:t xml:space="preserve">  </w:t>
      </w:r>
      <w:r>
        <w:rPr>
          <w:rFonts w:hint="eastAsia"/>
          <w:b/>
          <w:sz w:val="15"/>
          <w:szCs w:val="15"/>
        </w:rPr>
        <w:t>归一化SMF、SIF和GIF组成的准直器</w:t>
      </w:r>
      <w:r>
        <w:rPr>
          <w:rFonts w:hint="eastAsia"/>
          <w:b/>
          <w:sz w:val="15"/>
          <w:szCs w:val="15"/>
          <w:lang w:val="en-US" w:eastAsia="zh-CN"/>
        </w:rPr>
        <w:t>仿真结果</w:t>
      </w:r>
      <w:r>
        <w:rPr>
          <w:rFonts w:hint="eastAsia"/>
          <w:b/>
          <w:sz w:val="15"/>
          <w:szCs w:val="15"/>
        </w:rPr>
        <w:t>及截面出射光场对比</w:t>
      </w:r>
    </w:p>
    <w:p>
      <w:pPr>
        <w:ind w:firstLine="420" w:firstLineChars="200"/>
        <w:rPr>
          <w:rFonts w:hint="default" w:ascii="Times New Roman" w:hAnsi="Times New Roman"/>
          <w:sz w:val="21"/>
          <w:lang w:val="en-US"/>
        </w:rPr>
      </w:pPr>
      <w:r>
        <w:drawing>
          <wp:anchor distT="0" distB="0" distL="114300" distR="114300" simplePos="0" relativeHeight="251659264" behindDoc="0" locked="0" layoutInCell="1" allowOverlap="1">
            <wp:simplePos x="0" y="0"/>
            <wp:positionH relativeFrom="margin">
              <wp:posOffset>1379855</wp:posOffset>
            </wp:positionH>
            <wp:positionV relativeFrom="paragraph">
              <wp:posOffset>856615</wp:posOffset>
            </wp:positionV>
            <wp:extent cx="2663825" cy="1580515"/>
            <wp:effectExtent l="0" t="0" r="3175" b="635"/>
            <wp:wrapTopAndBottom/>
            <wp:docPr id="2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663825" cy="1580515"/>
                    </a:xfrm>
                    <a:prstGeom prst="rect">
                      <a:avLst/>
                    </a:prstGeom>
                    <a:noFill/>
                    <a:ln>
                      <a:noFill/>
                    </a:ln>
                  </pic:spPr>
                </pic:pic>
              </a:graphicData>
            </a:graphic>
          </wp:anchor>
        </w:drawing>
      </w:r>
      <w:r>
        <w:rPr>
          <w:rFonts w:ascii="Segoe UI" w:hAnsi="Segoe UI" w:cs="Segoe UI"/>
          <w:color w:val="1E1F24"/>
          <w:shd w:val="clear" w:color="auto" w:fill="FFFFFF"/>
        </w:rPr>
        <w:t>在</w:t>
      </w:r>
      <w:r>
        <w:rPr>
          <w:rFonts w:hint="eastAsia"/>
          <w:szCs w:val="21"/>
        </w:rPr>
        <w:t>1550 nm</w:t>
      </w:r>
      <w:r>
        <w:rPr>
          <w:rFonts w:ascii="Segoe UI" w:hAnsi="Segoe UI" w:cs="Segoe UI"/>
          <w:color w:val="1E1F24"/>
          <w:shd w:val="clear" w:color="auto" w:fill="FFFFFF"/>
        </w:rPr>
        <w:t>的波长下，不同长度组合的准直器的光束进入空气中的光场分布略有不同，不同长度的</w:t>
      </w:r>
      <w:r>
        <w:rPr>
          <w:szCs w:val="21"/>
        </w:rPr>
        <w:t>S</w:t>
      </w:r>
      <w:r>
        <w:rPr>
          <w:rFonts w:hint="eastAsia"/>
          <w:szCs w:val="21"/>
        </w:rPr>
        <w:t>IF</w:t>
      </w:r>
      <w:r>
        <w:rPr>
          <w:rFonts w:ascii="Segoe UI" w:hAnsi="Segoe UI" w:cs="Segoe UI"/>
          <w:color w:val="1E1F24"/>
          <w:shd w:val="clear" w:color="auto" w:fill="FFFFFF"/>
        </w:rPr>
        <w:t>与不同长度的</w:t>
      </w:r>
      <w:r>
        <w:rPr>
          <w:rFonts w:hint="eastAsia"/>
          <w:szCs w:val="21"/>
        </w:rPr>
        <w:t>GIF</w:t>
      </w:r>
      <w:r>
        <w:rPr>
          <w:rFonts w:ascii="Segoe UI" w:hAnsi="Segoe UI" w:cs="Segoe UI"/>
          <w:color w:val="1E1F24"/>
          <w:shd w:val="clear" w:color="auto" w:fill="FFFFFF"/>
        </w:rPr>
        <w:t>组合，展现出准直器的最优准直效果如图</w:t>
      </w:r>
      <w:r>
        <w:rPr>
          <w:rFonts w:hint="eastAsia"/>
          <w:szCs w:val="21"/>
        </w:rPr>
        <w:t>4</w:t>
      </w:r>
      <w:r>
        <w:rPr>
          <w:rFonts w:ascii="Segoe UI" w:hAnsi="Segoe UI" w:cs="Segoe UI"/>
          <w:color w:val="1E1F24"/>
          <w:shd w:val="clear" w:color="auto" w:fill="FFFFFF"/>
        </w:rPr>
        <w:t>所示。</w:t>
      </w:r>
      <w:commentRangeStart w:id="2"/>
      <w:commentRangeStart w:id="3"/>
      <w:r>
        <w:rPr>
          <w:rStyle w:val="13"/>
        </w:rPr>
        <w:commentReference w:id="2"/>
      </w:r>
      <w:commentRangeEnd w:id="2"/>
      <w:commentRangeEnd w:id="3"/>
      <w:r>
        <w:commentReference w:id="3"/>
      </w:r>
      <w:r>
        <w:rPr>
          <w:rFonts w:hint="eastAsia" w:ascii="Segoe UI" w:hAnsi="Segoe UI" w:cs="Segoe UI"/>
          <w:color w:val="1E1F24"/>
          <w:shd w:val="clear" w:color="auto" w:fill="FFFFFF"/>
          <w:lang w:val="en-US" w:eastAsia="zh-CN"/>
        </w:rPr>
        <w:t>通过设置固定</w:t>
      </w:r>
      <w:r>
        <w:rPr>
          <w:rFonts w:hint="eastAsia"/>
          <w:szCs w:val="21"/>
          <w:lang w:val="en-US" w:eastAsia="zh-CN"/>
        </w:rPr>
        <w:t>SIF</w:t>
      </w:r>
      <w:r>
        <w:rPr>
          <w:rFonts w:hint="eastAsia" w:ascii="Segoe UI" w:hAnsi="Segoe UI" w:cs="Segoe UI"/>
          <w:color w:val="1E1F24"/>
          <w:shd w:val="clear" w:color="auto" w:fill="FFFFFF"/>
          <w:lang w:val="en-US" w:eastAsia="zh-CN"/>
        </w:rPr>
        <w:t>长度</w:t>
      </w:r>
      <w:r>
        <w:rPr>
          <w:rFonts w:hint="eastAsia"/>
          <w:szCs w:val="21"/>
          <w:lang w:val="en-US" w:eastAsia="zh-CN"/>
        </w:rPr>
        <w:t>为0、100、200、300</w:t>
      </w:r>
      <w:r>
        <w:rPr>
          <w:rFonts w:hint="eastAsia"/>
          <w:bCs/>
          <w:szCs w:val="21"/>
        </w:rPr>
        <w:t xml:space="preserve"> </w:t>
      </w:r>
      <w:r>
        <w:rPr>
          <w:i/>
          <w:iCs/>
          <w:szCs w:val="21"/>
        </w:rPr>
        <w:t>μ</w:t>
      </w:r>
      <w:r>
        <w:rPr>
          <w:szCs w:val="21"/>
        </w:rPr>
        <w:t>m</w:t>
      </w:r>
      <w:r>
        <w:rPr>
          <w:rFonts w:hint="eastAsia"/>
          <w:szCs w:val="21"/>
          <w:lang w:val="en-US" w:eastAsia="zh-CN"/>
        </w:rPr>
        <w:t>，调整GIF长度观察光束在空气中传播是否准直来判断准直效果。</w:t>
      </w:r>
      <w:bookmarkStart w:id="2" w:name="_GoBack"/>
      <w:bookmarkEnd w:id="2"/>
    </w:p>
    <w:p>
      <w:pPr>
        <w:ind w:firstLine="301"/>
        <w:jc w:val="center"/>
        <w:rPr>
          <w:b/>
          <w:szCs w:val="21"/>
        </w:rPr>
      </w:pPr>
      <w:r>
        <w:rPr>
          <w:b/>
          <w:sz w:val="15"/>
          <w:szCs w:val="15"/>
        </w:rPr>
        <w:t>图</w:t>
      </w:r>
      <w:r>
        <w:rPr>
          <w:rFonts w:hint="eastAsia"/>
          <w:b/>
          <w:sz w:val="15"/>
          <w:szCs w:val="15"/>
        </w:rPr>
        <w:t>4</w:t>
      </w:r>
      <w:r>
        <w:rPr>
          <w:b/>
          <w:sz w:val="15"/>
          <w:szCs w:val="15"/>
        </w:rPr>
        <w:t xml:space="preserve"> </w:t>
      </w:r>
      <w:r>
        <w:rPr>
          <w:rFonts w:hint="eastAsia"/>
          <w:b/>
          <w:sz w:val="15"/>
          <w:szCs w:val="15"/>
        </w:rPr>
        <w:t>不同长度光纤准直器仿真结果图</w:t>
      </w:r>
    </w:p>
    <w:p>
      <w:pPr>
        <w:jc w:val="left"/>
        <w:rPr>
          <w:b/>
          <w:sz w:val="15"/>
          <w:szCs w:val="15"/>
        </w:rPr>
      </w:pPr>
      <w:r>
        <w:rPr>
          <w:rFonts w:hint="eastAsia"/>
          <w:b/>
          <w:szCs w:val="21"/>
        </w:rPr>
        <w:t>1.2</w:t>
      </w:r>
      <w:r>
        <w:rPr>
          <w:b/>
          <w:szCs w:val="21"/>
        </w:rPr>
        <w:t xml:space="preserve"> </w:t>
      </w:r>
      <w:r>
        <w:rPr>
          <w:rFonts w:hint="eastAsia"/>
          <w:b/>
          <w:szCs w:val="21"/>
        </w:rPr>
        <w:t>模场直径可调</w:t>
      </w:r>
    </w:p>
    <w:p>
      <w:pPr>
        <w:ind w:firstLine="420" w:firstLineChars="200"/>
        <w:jc w:val="left"/>
        <w:rPr>
          <w:bCs/>
          <w:szCs w:val="21"/>
        </w:rPr>
      </w:pPr>
      <w:r>
        <w:rPr>
          <w:rFonts w:hint="eastAsia"/>
          <w:bCs/>
          <w:szCs w:val="21"/>
        </w:rPr>
        <w:t>在调整合适的</w:t>
      </w:r>
      <w:r>
        <w:rPr>
          <w:rFonts w:hint="eastAsia"/>
          <w:szCs w:val="21"/>
        </w:rPr>
        <w:t>GIF</w:t>
      </w:r>
      <w:r>
        <w:rPr>
          <w:rFonts w:hint="eastAsia"/>
          <w:bCs/>
          <w:szCs w:val="21"/>
        </w:rPr>
        <w:t>长度后，</w:t>
      </w:r>
      <w:r>
        <w:rPr>
          <w:bCs/>
          <w:szCs w:val="21"/>
        </w:rPr>
        <w:t>通过设置</w:t>
      </w:r>
      <w:r>
        <w:rPr>
          <w:szCs w:val="21"/>
        </w:rPr>
        <w:t>S</w:t>
      </w:r>
      <w:r>
        <w:rPr>
          <w:rFonts w:hint="eastAsia"/>
          <w:szCs w:val="21"/>
        </w:rPr>
        <w:t>IF</w:t>
      </w:r>
      <w:r>
        <w:rPr>
          <w:bCs/>
          <w:szCs w:val="21"/>
        </w:rPr>
        <w:t>长度扫描</w:t>
      </w:r>
      <w:r>
        <w:rPr>
          <w:rFonts w:hint="eastAsia"/>
          <w:bCs/>
          <w:szCs w:val="21"/>
        </w:rPr>
        <w:t>发现</w:t>
      </w:r>
      <w:r>
        <w:rPr>
          <w:bCs/>
          <w:szCs w:val="21"/>
        </w:rPr>
        <w:t>，</w:t>
      </w:r>
      <w:r>
        <w:rPr>
          <w:rFonts w:hint="eastAsia"/>
          <w:bCs/>
          <w:szCs w:val="21"/>
        </w:rPr>
        <w:t>不同长度的</w:t>
      </w:r>
      <w:r>
        <w:rPr>
          <w:szCs w:val="21"/>
        </w:rPr>
        <w:t>S</w:t>
      </w:r>
      <w:r>
        <w:rPr>
          <w:rFonts w:hint="eastAsia"/>
          <w:szCs w:val="21"/>
        </w:rPr>
        <w:t>IF</w:t>
      </w:r>
      <w:r>
        <w:rPr>
          <w:rFonts w:hint="eastAsia"/>
          <w:bCs/>
          <w:szCs w:val="21"/>
        </w:rPr>
        <w:t>的出射光场模场直径不同。截取图4的</w:t>
      </w:r>
      <w:r>
        <w:rPr>
          <w:rFonts w:hint="eastAsia"/>
          <w:bCs/>
          <w:i/>
          <w:iCs/>
          <w:szCs w:val="21"/>
        </w:rPr>
        <w:t>Z</w:t>
      </w:r>
      <w:r>
        <w:rPr>
          <w:rFonts w:hint="eastAsia"/>
          <w:bCs/>
          <w:szCs w:val="21"/>
        </w:rPr>
        <w:t xml:space="preserve">轴正方向1000 </w:t>
      </w:r>
      <w:r>
        <w:rPr>
          <w:i/>
          <w:iCs/>
          <w:szCs w:val="21"/>
        </w:rPr>
        <w:t>μ</w:t>
      </w:r>
      <w:r>
        <w:rPr>
          <w:szCs w:val="21"/>
        </w:rPr>
        <w:t>m</w:t>
      </w:r>
      <w:r>
        <w:rPr>
          <w:rFonts w:hint="eastAsia"/>
          <w:bCs/>
          <w:szCs w:val="21"/>
        </w:rPr>
        <w:t>时的光场截面归一化处理，可以得出不同光纤长度时模场直径的变化如图5所示。</w:t>
      </w:r>
    </w:p>
    <w:p>
      <w:pPr>
        <w:jc w:val="center"/>
        <w:rPr>
          <w:b/>
          <w:sz w:val="15"/>
          <w:szCs w:val="15"/>
        </w:rPr>
      </w:pPr>
      <w:r>
        <w:drawing>
          <wp:inline distT="0" distB="0" distL="114300" distR="114300">
            <wp:extent cx="2339975" cy="1520190"/>
            <wp:effectExtent l="0" t="0" r="3175" b="3810"/>
            <wp:docPr id="3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2"/>
                    <pic:cNvPicPr>
                      <a:picLocks noChangeAspect="1"/>
                    </pic:cNvPicPr>
                  </pic:nvPicPr>
                  <pic:blipFill>
                    <a:blip r:embed="rId14"/>
                    <a:stretch>
                      <a:fillRect/>
                    </a:stretch>
                  </pic:blipFill>
                  <pic:spPr>
                    <a:xfrm>
                      <a:off x="0" y="0"/>
                      <a:ext cx="2339975" cy="1520190"/>
                    </a:xfrm>
                    <a:prstGeom prst="rect">
                      <a:avLst/>
                    </a:prstGeom>
                    <a:noFill/>
                    <a:ln>
                      <a:noFill/>
                    </a:ln>
                  </pic:spPr>
                </pic:pic>
              </a:graphicData>
            </a:graphic>
          </wp:inline>
        </w:drawing>
      </w:r>
    </w:p>
    <w:p>
      <w:pPr>
        <w:ind w:firstLine="301"/>
        <w:jc w:val="center"/>
        <w:rPr>
          <w:b/>
          <w:sz w:val="15"/>
          <w:szCs w:val="15"/>
        </w:rPr>
      </w:pPr>
      <w:r>
        <w:rPr>
          <w:b/>
          <w:sz w:val="15"/>
          <w:szCs w:val="15"/>
        </w:rPr>
        <w:t>图</w:t>
      </w:r>
      <w:r>
        <w:rPr>
          <w:rFonts w:hint="eastAsia"/>
          <w:b/>
          <w:sz w:val="15"/>
          <w:szCs w:val="15"/>
        </w:rPr>
        <w:t>5</w:t>
      </w:r>
      <w:r>
        <w:rPr>
          <w:b/>
          <w:sz w:val="15"/>
          <w:szCs w:val="15"/>
        </w:rPr>
        <w:t xml:space="preserve"> </w:t>
      </w:r>
      <w:r>
        <w:rPr>
          <w:rFonts w:hint="eastAsia"/>
          <w:b/>
          <w:sz w:val="15"/>
          <w:szCs w:val="15"/>
        </w:rPr>
        <w:t>不同长度阶跃折射率多模光纤的光场分布</w:t>
      </w:r>
    </w:p>
    <w:p>
      <w:pPr>
        <w:ind w:firstLine="420" w:firstLineChars="200"/>
      </w:pPr>
      <w:r>
        <w:rPr>
          <w:rFonts w:hint="eastAsia"/>
          <w:bCs/>
          <w:szCs w:val="21"/>
        </w:rPr>
        <w:t>在</w:t>
      </w:r>
      <w:r>
        <w:rPr>
          <w:rFonts w:hint="eastAsia"/>
          <w:szCs w:val="21"/>
        </w:rPr>
        <w:t>GIF</w:t>
      </w:r>
      <w:r>
        <w:rPr>
          <w:rFonts w:hint="eastAsia"/>
          <w:bCs/>
          <w:szCs w:val="21"/>
        </w:rPr>
        <w:t xml:space="preserve">的长度与折射率分布不变的情况下，以10 </w:t>
      </w:r>
      <w:r>
        <w:rPr>
          <w:bCs/>
          <w:i/>
          <w:iCs/>
          <w:szCs w:val="21"/>
        </w:rPr>
        <w:t>μ</w:t>
      </w:r>
      <w:r>
        <w:rPr>
          <w:bCs/>
          <w:szCs w:val="21"/>
        </w:rPr>
        <w:t>m</w:t>
      </w:r>
      <w:r>
        <w:rPr>
          <w:rFonts w:hint="eastAsia"/>
          <w:bCs/>
          <w:szCs w:val="21"/>
        </w:rPr>
        <w:t>长度步进扫描</w:t>
      </w:r>
      <w:r>
        <w:rPr>
          <w:szCs w:val="21"/>
        </w:rPr>
        <w:t>S</w:t>
      </w:r>
      <w:r>
        <w:rPr>
          <w:rFonts w:hint="eastAsia"/>
          <w:szCs w:val="21"/>
        </w:rPr>
        <w:t>IF</w:t>
      </w:r>
      <w:r>
        <w:rPr>
          <w:rFonts w:hint="eastAsia"/>
          <w:bCs/>
          <w:szCs w:val="21"/>
        </w:rPr>
        <w:t>的长度，</w:t>
      </w:r>
      <w:r>
        <w:rPr>
          <w:rFonts w:hint="eastAsia"/>
        </w:rPr>
        <w:t>取输出光场最大强度的1/</w:t>
      </w:r>
      <w:r>
        <w:rPr>
          <w:rFonts w:hint="eastAsia"/>
          <w:i/>
          <w:iCs/>
        </w:rPr>
        <w:t>e</w:t>
      </w:r>
      <w:r>
        <w:rPr>
          <w:rFonts w:hint="eastAsia"/>
          <w:vertAlign w:val="superscript"/>
        </w:rPr>
        <w:t>2</w:t>
      </w:r>
      <w:r>
        <w:rPr>
          <w:rFonts w:hint="eastAsia"/>
        </w:rPr>
        <w:t>为模场直径，</w:t>
      </w:r>
      <w:r>
        <w:rPr>
          <w:rFonts w:hint="eastAsia"/>
          <w:bCs/>
          <w:szCs w:val="21"/>
        </w:rPr>
        <w:t>最终得到出射光模场直径与</w:t>
      </w:r>
      <w:r>
        <w:rPr>
          <w:szCs w:val="21"/>
        </w:rPr>
        <w:t>S</w:t>
      </w:r>
      <w:r>
        <w:rPr>
          <w:rFonts w:hint="eastAsia"/>
          <w:szCs w:val="21"/>
        </w:rPr>
        <w:t>IF</w:t>
      </w:r>
      <w:r>
        <w:rPr>
          <w:rFonts w:hint="eastAsia"/>
          <w:bCs/>
          <w:szCs w:val="21"/>
        </w:rPr>
        <w:t>的长度的关系如图6所示。可</w:t>
      </w:r>
      <w:r>
        <w:rPr>
          <w:bCs/>
          <w:szCs w:val="21"/>
        </w:rPr>
        <w:t>以看出，</w:t>
      </w:r>
      <w:r>
        <w:rPr>
          <w:rFonts w:hint="eastAsia"/>
          <w:bCs/>
          <w:szCs w:val="21"/>
        </w:rPr>
        <w:t>随着</w:t>
      </w:r>
      <w:r>
        <w:rPr>
          <w:szCs w:val="21"/>
        </w:rPr>
        <w:t>S</w:t>
      </w:r>
      <w:r>
        <w:rPr>
          <w:rFonts w:hint="eastAsia"/>
          <w:szCs w:val="21"/>
        </w:rPr>
        <w:t>IF</w:t>
      </w:r>
      <w:r>
        <w:rPr>
          <w:rFonts w:hint="eastAsia"/>
          <w:bCs/>
          <w:szCs w:val="21"/>
        </w:rPr>
        <w:t>的长度增加，输出光束的模场直径逐渐增大，可以通过调整光纤长度达到调控模场直径的目的。</w:t>
      </w:r>
    </w:p>
    <w:p>
      <w:pPr>
        <w:jc w:val="center"/>
      </w:pPr>
      <w:r>
        <w:drawing>
          <wp:inline distT="0" distB="0" distL="114300" distR="114300">
            <wp:extent cx="2339975" cy="1838325"/>
            <wp:effectExtent l="0" t="0" r="3175" b="9525"/>
            <wp:docPr id="3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1"/>
                    <pic:cNvPicPr>
                      <a:picLocks noChangeAspect="1"/>
                    </pic:cNvPicPr>
                  </pic:nvPicPr>
                  <pic:blipFill>
                    <a:blip r:embed="rId15"/>
                    <a:stretch>
                      <a:fillRect/>
                    </a:stretch>
                  </pic:blipFill>
                  <pic:spPr>
                    <a:xfrm>
                      <a:off x="0" y="0"/>
                      <a:ext cx="2339975" cy="1838325"/>
                    </a:xfrm>
                    <a:prstGeom prst="rect">
                      <a:avLst/>
                    </a:prstGeom>
                    <a:noFill/>
                    <a:ln>
                      <a:noFill/>
                    </a:ln>
                  </pic:spPr>
                </pic:pic>
              </a:graphicData>
            </a:graphic>
          </wp:inline>
        </w:drawing>
      </w:r>
    </w:p>
    <w:p>
      <w:pPr>
        <w:ind w:firstLine="301"/>
        <w:jc w:val="center"/>
        <w:rPr>
          <w:b/>
          <w:sz w:val="15"/>
          <w:szCs w:val="15"/>
        </w:rPr>
      </w:pPr>
      <w:r>
        <w:rPr>
          <w:b/>
          <w:sz w:val="15"/>
          <w:szCs w:val="15"/>
        </w:rPr>
        <w:t>图</w:t>
      </w:r>
      <w:r>
        <w:rPr>
          <w:rFonts w:hint="eastAsia"/>
          <w:b/>
          <w:sz w:val="15"/>
          <w:szCs w:val="15"/>
        </w:rPr>
        <w:t>6</w:t>
      </w:r>
      <w:r>
        <w:rPr>
          <w:b/>
          <w:sz w:val="15"/>
          <w:szCs w:val="15"/>
        </w:rPr>
        <w:t xml:space="preserve">  </w:t>
      </w:r>
      <w:r>
        <w:rPr>
          <w:rFonts w:hint="eastAsia"/>
          <w:b/>
          <w:sz w:val="15"/>
          <w:szCs w:val="15"/>
        </w:rPr>
        <w:t>S</w:t>
      </w:r>
      <w:r>
        <w:rPr>
          <w:b/>
          <w:sz w:val="15"/>
          <w:szCs w:val="15"/>
        </w:rPr>
        <w:t>IF</w:t>
      </w:r>
      <w:r>
        <w:rPr>
          <w:rFonts w:hint="eastAsia"/>
          <w:b/>
          <w:sz w:val="15"/>
          <w:szCs w:val="15"/>
        </w:rPr>
        <w:t>长度与模场直径的关系</w:t>
      </w:r>
    </w:p>
    <w:p>
      <w:pPr>
        <w:ind w:firstLine="482"/>
        <w:rPr>
          <w:b/>
          <w:sz w:val="24"/>
          <w:szCs w:val="24"/>
        </w:rPr>
      </w:pPr>
    </w:p>
    <w:p>
      <w:pPr>
        <w:spacing w:after="156" w:afterLines="50"/>
        <w:rPr>
          <w:b/>
          <w:sz w:val="24"/>
          <w:szCs w:val="24"/>
        </w:rPr>
      </w:pPr>
      <w:r>
        <w:rPr>
          <w:rFonts w:hint="eastAsia"/>
          <w:b/>
          <w:sz w:val="24"/>
          <w:szCs w:val="24"/>
        </w:rPr>
        <w:t xml:space="preserve">2  器件制备及测试 </w:t>
      </w:r>
    </w:p>
    <w:p>
      <w:pPr>
        <w:rPr>
          <w:b/>
          <w:szCs w:val="21"/>
        </w:rPr>
      </w:pPr>
      <w:r>
        <w:rPr>
          <w:rFonts w:hint="eastAsia"/>
          <w:b/>
          <w:szCs w:val="21"/>
        </w:rPr>
        <w:t>2</w:t>
      </w:r>
      <w:r>
        <w:rPr>
          <w:b/>
          <w:szCs w:val="21"/>
        </w:rPr>
        <w:t>.1</w:t>
      </w:r>
      <w:r>
        <w:rPr>
          <w:rFonts w:hint="eastAsia"/>
          <w:b/>
          <w:szCs w:val="21"/>
        </w:rPr>
        <w:t>制备方法</w:t>
      </w:r>
    </w:p>
    <w:p>
      <w:pPr>
        <w:ind w:firstLine="420" w:firstLineChars="200"/>
        <w:rPr>
          <w:bCs/>
          <w:szCs w:val="21"/>
        </w:rPr>
      </w:pPr>
      <w:r>
        <w:rPr>
          <w:rFonts w:hint="eastAsia"/>
          <w:bCs/>
          <w:szCs w:val="21"/>
        </w:rPr>
        <w:t>本</w:t>
      </w:r>
      <w:r>
        <w:rPr>
          <w:bCs/>
          <w:szCs w:val="21"/>
        </w:rPr>
        <w:t>文</w:t>
      </w:r>
      <w:r>
        <w:rPr>
          <w:rFonts w:hint="eastAsia"/>
          <w:bCs/>
          <w:szCs w:val="21"/>
        </w:rPr>
        <w:t xml:space="preserve">以制作的285 </w:t>
      </w:r>
      <w:r>
        <w:rPr>
          <w:bCs/>
          <w:i/>
          <w:iCs/>
          <w:szCs w:val="21"/>
        </w:rPr>
        <w:t>μ</w:t>
      </w:r>
      <w:r>
        <w:rPr>
          <w:rFonts w:hint="eastAsia"/>
          <w:bCs/>
          <w:szCs w:val="21"/>
        </w:rPr>
        <w:t xml:space="preserve">m </w:t>
      </w:r>
      <w:r>
        <w:rPr>
          <w:bCs/>
          <w:szCs w:val="21"/>
        </w:rPr>
        <w:t>SIF</w:t>
      </w:r>
      <w:r>
        <w:rPr>
          <w:rFonts w:hint="eastAsia"/>
          <w:bCs/>
          <w:szCs w:val="21"/>
        </w:rPr>
        <w:t xml:space="preserve">、548 </w:t>
      </w:r>
      <w:r>
        <w:rPr>
          <w:bCs/>
          <w:i/>
          <w:iCs/>
          <w:szCs w:val="21"/>
        </w:rPr>
        <w:t>μ</w:t>
      </w:r>
      <w:r>
        <w:rPr>
          <w:rFonts w:hint="eastAsia"/>
          <w:bCs/>
          <w:szCs w:val="21"/>
        </w:rPr>
        <w:t>m GIF与S</w:t>
      </w:r>
      <w:r>
        <w:rPr>
          <w:bCs/>
          <w:szCs w:val="21"/>
        </w:rPr>
        <w:t>MF</w:t>
      </w:r>
      <w:r>
        <w:rPr>
          <w:rFonts w:hint="eastAsia"/>
          <w:bCs/>
          <w:szCs w:val="21"/>
        </w:rPr>
        <w:t>连接为例，简述光纤准直器的制备过程，具体制备步骤如下：</w:t>
      </w:r>
    </w:p>
    <w:p>
      <w:pPr>
        <w:ind w:firstLine="420" w:firstLineChars="200"/>
        <w:rPr>
          <w:bCs/>
          <w:szCs w:val="21"/>
        </w:rPr>
      </w:pPr>
      <w:r>
        <w:rPr>
          <w:rFonts w:hint="eastAsia"/>
          <w:bCs/>
          <w:szCs w:val="21"/>
        </w:rPr>
        <w:t>步骤一：准备光纤。准备S</w:t>
      </w:r>
      <w:r>
        <w:rPr>
          <w:bCs/>
          <w:szCs w:val="21"/>
        </w:rPr>
        <w:t>MF</w:t>
      </w:r>
      <w:r>
        <w:rPr>
          <w:rFonts w:hint="eastAsia"/>
          <w:bCs/>
          <w:szCs w:val="21"/>
        </w:rPr>
        <w:t>、</w:t>
      </w:r>
      <w:r>
        <w:rPr>
          <w:bCs/>
          <w:szCs w:val="21"/>
        </w:rPr>
        <w:t>SIF</w:t>
      </w:r>
      <w:r>
        <w:rPr>
          <w:rFonts w:hint="eastAsia"/>
          <w:bCs/>
          <w:szCs w:val="21"/>
        </w:rPr>
        <w:t>、GIF各1 m左右，剥除2~3 cm涂覆层。</w:t>
      </w:r>
    </w:p>
    <w:p>
      <w:pPr>
        <w:jc w:val="center"/>
      </w:pPr>
      <w:r>
        <w:drawing>
          <wp:inline distT="0" distB="0" distL="114300" distR="114300">
            <wp:extent cx="2729230" cy="972185"/>
            <wp:effectExtent l="0" t="0" r="13970" b="18415"/>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0"/>
                    <pic:cNvPicPr>
                      <a:picLocks noChangeAspect="1"/>
                    </pic:cNvPicPr>
                  </pic:nvPicPr>
                  <pic:blipFill>
                    <a:blip r:embed="rId16"/>
                    <a:stretch>
                      <a:fillRect/>
                    </a:stretch>
                  </pic:blipFill>
                  <pic:spPr>
                    <a:xfrm>
                      <a:off x="0" y="0"/>
                      <a:ext cx="2729230" cy="972185"/>
                    </a:xfrm>
                    <a:prstGeom prst="rect">
                      <a:avLst/>
                    </a:prstGeom>
                    <a:noFill/>
                    <a:ln>
                      <a:noFill/>
                    </a:ln>
                  </pic:spPr>
                </pic:pic>
              </a:graphicData>
            </a:graphic>
          </wp:inline>
        </w:drawing>
      </w:r>
    </w:p>
    <w:p>
      <w:pPr>
        <w:jc w:val="center"/>
        <w:rPr>
          <w:b/>
          <w:sz w:val="15"/>
          <w:szCs w:val="15"/>
        </w:rPr>
      </w:pPr>
      <w:r>
        <w:rPr>
          <w:b/>
          <w:sz w:val="15"/>
          <w:szCs w:val="15"/>
        </w:rPr>
        <w:t>图</w:t>
      </w:r>
      <w:r>
        <w:rPr>
          <w:rFonts w:hint="eastAsia"/>
          <w:b/>
          <w:sz w:val="15"/>
          <w:szCs w:val="15"/>
        </w:rPr>
        <w:t>7</w:t>
      </w:r>
      <w:r>
        <w:rPr>
          <w:b/>
          <w:sz w:val="15"/>
          <w:szCs w:val="15"/>
        </w:rPr>
        <w:t xml:space="preserve">  </w:t>
      </w:r>
      <w:r>
        <w:rPr>
          <w:rFonts w:hint="eastAsia"/>
          <w:b/>
          <w:sz w:val="15"/>
          <w:szCs w:val="15"/>
        </w:rPr>
        <w:t>定长度切割后的准直器结构显微图</w:t>
      </w:r>
    </w:p>
    <w:p>
      <w:pPr>
        <w:ind w:firstLine="420" w:firstLineChars="200"/>
        <w:rPr>
          <w:bCs/>
          <w:szCs w:val="21"/>
        </w:rPr>
      </w:pPr>
      <w:r>
        <w:rPr>
          <w:rFonts w:hint="eastAsia"/>
          <w:bCs/>
          <w:szCs w:val="21"/>
        </w:rPr>
        <w:t>步骤二：光纤熔接及切割。先将S</w:t>
      </w:r>
      <w:r>
        <w:rPr>
          <w:bCs/>
          <w:szCs w:val="21"/>
        </w:rPr>
        <w:t>MF</w:t>
      </w:r>
      <w:r>
        <w:rPr>
          <w:rFonts w:hint="eastAsia"/>
          <w:bCs/>
          <w:szCs w:val="21"/>
        </w:rPr>
        <w:t>与</w:t>
      </w:r>
      <w:r>
        <w:rPr>
          <w:bCs/>
          <w:szCs w:val="21"/>
        </w:rPr>
        <w:t>SIF</w:t>
      </w:r>
      <w:r>
        <w:rPr>
          <w:rFonts w:hint="eastAsia"/>
          <w:bCs/>
          <w:szCs w:val="21"/>
        </w:rPr>
        <w:t>熔接，随后定长度切割</w:t>
      </w:r>
      <w:r>
        <w:rPr>
          <w:bCs/>
          <w:szCs w:val="21"/>
        </w:rPr>
        <w:t>SIF</w:t>
      </w:r>
      <w:r>
        <w:rPr>
          <w:rFonts w:hint="eastAsia"/>
          <w:bCs/>
          <w:szCs w:val="21"/>
        </w:rPr>
        <w:t xml:space="preserve">至285 </w:t>
      </w:r>
      <w:r>
        <w:rPr>
          <w:bCs/>
          <w:i/>
          <w:iCs/>
          <w:szCs w:val="21"/>
        </w:rPr>
        <w:t>μ</w:t>
      </w:r>
      <w:r>
        <w:rPr>
          <w:rFonts w:hint="eastAsia"/>
          <w:bCs/>
          <w:szCs w:val="21"/>
        </w:rPr>
        <w:t>m；将切割完的</w:t>
      </w:r>
      <w:r>
        <w:rPr>
          <w:bCs/>
          <w:szCs w:val="21"/>
        </w:rPr>
        <w:t>SIF</w:t>
      </w:r>
      <w:r>
        <w:rPr>
          <w:rFonts w:hint="eastAsia"/>
          <w:bCs/>
          <w:szCs w:val="21"/>
        </w:rPr>
        <w:t>端与GIF熔接，接</w:t>
      </w:r>
      <w:r>
        <w:rPr>
          <w:bCs/>
          <w:szCs w:val="21"/>
        </w:rPr>
        <w:t>着采用</w:t>
      </w:r>
      <w:r>
        <w:rPr>
          <w:rFonts w:hint="eastAsia"/>
          <w:bCs/>
          <w:szCs w:val="21"/>
        </w:rPr>
        <w:t>定长度切割法</w:t>
      </w:r>
      <w:r>
        <w:rPr>
          <w:bCs/>
          <w:szCs w:val="21"/>
        </w:rPr>
        <w:t>将</w:t>
      </w:r>
      <w:r>
        <w:rPr>
          <w:rFonts w:hint="eastAsia"/>
          <w:bCs/>
          <w:szCs w:val="21"/>
        </w:rPr>
        <w:t xml:space="preserve">GIF切割至548 </w:t>
      </w:r>
      <w:r>
        <w:rPr>
          <w:bCs/>
          <w:i/>
          <w:iCs/>
          <w:szCs w:val="21"/>
        </w:rPr>
        <w:t>μ</w:t>
      </w:r>
      <w:r>
        <w:rPr>
          <w:rFonts w:hint="eastAsia"/>
          <w:bCs/>
          <w:szCs w:val="21"/>
        </w:rPr>
        <w:t>m。定长度切割方法为在显微镜下观察光纤熔接点位置，将光纤切割刀刀头移动至熔接点，在显微镜下通过软件测量标注需要切割的长度，移动刀头至标注位置，推动刀头切割，直</w:t>
      </w:r>
      <w:r>
        <w:rPr>
          <w:bCs/>
          <w:szCs w:val="21"/>
        </w:rPr>
        <w:t>至</w:t>
      </w:r>
      <w:r>
        <w:rPr>
          <w:rFonts w:hint="eastAsia"/>
          <w:bCs/>
          <w:szCs w:val="21"/>
        </w:rPr>
        <w:t>完成器件的制备。图7所示为定长度切割后的</w:t>
      </w:r>
      <w:commentRangeStart w:id="4"/>
      <w:commentRangeStart w:id="5"/>
      <w:r>
        <w:rPr>
          <w:rFonts w:hint="eastAsia"/>
          <w:bCs/>
          <w:szCs w:val="21"/>
        </w:rPr>
        <w:t>准直器</w:t>
      </w:r>
      <w:r>
        <w:rPr>
          <w:rFonts w:hint="eastAsia"/>
          <w:bCs/>
          <w:szCs w:val="21"/>
          <w:lang w:val="en-US" w:eastAsia="zh-CN"/>
        </w:rPr>
        <w:t>结构</w:t>
      </w:r>
      <w:r>
        <w:rPr>
          <w:rFonts w:hint="eastAsia"/>
          <w:bCs/>
          <w:szCs w:val="21"/>
        </w:rPr>
        <w:t>显微图</w:t>
      </w:r>
      <w:commentRangeEnd w:id="4"/>
      <w:r>
        <w:rPr>
          <w:rStyle w:val="13"/>
        </w:rPr>
        <w:commentReference w:id="4"/>
      </w:r>
      <w:commentRangeEnd w:id="5"/>
      <w:r>
        <w:commentReference w:id="5"/>
      </w:r>
      <w:r>
        <w:rPr>
          <w:rFonts w:hint="eastAsia"/>
          <w:bCs/>
          <w:szCs w:val="21"/>
        </w:rPr>
        <w:t>。</w:t>
      </w:r>
    </w:p>
    <w:p>
      <w:pPr>
        <w:spacing w:before="156" w:beforeLines="50" w:after="156" w:afterLines="50"/>
        <w:rPr>
          <w:b/>
          <w:szCs w:val="21"/>
        </w:rPr>
      </w:pPr>
      <w:r>
        <w:rPr>
          <w:rFonts w:hint="eastAsia"/>
          <w:b/>
          <w:szCs w:val="21"/>
        </w:rPr>
        <w:t>2.2器件性能测试</w:t>
      </w:r>
    </w:p>
    <w:p>
      <w:pPr>
        <w:ind w:firstLine="420" w:firstLineChars="200"/>
      </w:pPr>
      <w:r>
        <w:rPr>
          <w:rFonts w:hint="eastAsia"/>
        </w:rPr>
        <w:t>在1550nm波长下，实验所用的康宁SMF-28的</w:t>
      </w:r>
      <w:r>
        <w:rPr>
          <w:rFonts w:hint="eastAsia"/>
          <w:bCs/>
          <w:szCs w:val="21"/>
        </w:rPr>
        <w:t>S</w:t>
      </w:r>
      <w:r>
        <w:rPr>
          <w:bCs/>
          <w:szCs w:val="21"/>
        </w:rPr>
        <w:t>MF</w:t>
      </w:r>
      <w:r>
        <w:rPr>
          <w:rFonts w:hint="eastAsia"/>
        </w:rPr>
        <w:t>、</w:t>
      </w:r>
      <w:r>
        <w:rPr>
          <w:bCs/>
          <w:szCs w:val="21"/>
        </w:rPr>
        <w:t>SIF</w:t>
      </w:r>
      <w:r>
        <w:rPr>
          <w:rFonts w:hint="eastAsia"/>
        </w:rPr>
        <w:t>及</w:t>
      </w:r>
      <w:r>
        <w:rPr>
          <w:rFonts w:hint="eastAsia"/>
          <w:bCs/>
          <w:szCs w:val="21"/>
        </w:rPr>
        <w:t>GIF</w:t>
      </w:r>
      <w:r>
        <w:rPr>
          <w:rFonts w:hint="eastAsia"/>
        </w:rPr>
        <w:t>的参数指标如表1所</w:t>
      </w:r>
      <w:r>
        <w:t>示</w:t>
      </w:r>
      <w:r>
        <w:rPr>
          <w:rFonts w:hint="eastAsia"/>
        </w:rPr>
        <w:t>。</w:t>
      </w:r>
    </w:p>
    <w:p>
      <w:pPr>
        <w:ind w:firstLine="301"/>
        <w:jc w:val="center"/>
        <w:rPr>
          <w:b/>
          <w:bCs/>
          <w:sz w:val="15"/>
          <w:szCs w:val="16"/>
        </w:rPr>
      </w:pPr>
      <w:r>
        <w:rPr>
          <w:rFonts w:hint="eastAsia"/>
          <w:b/>
          <w:bCs/>
          <w:sz w:val="15"/>
          <w:szCs w:val="16"/>
        </w:rPr>
        <w:t>表1 实验光纤部分参数</w:t>
      </w:r>
    </w:p>
    <w:tbl>
      <w:tblPr>
        <w:tblStyle w:val="8"/>
        <w:tblW w:w="8522"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tcBorders>
              <w:bottom w:val="single" w:color="000000" w:sz="12" w:space="0"/>
              <w:tl2br w:val="nil"/>
              <w:tr2bl w:val="nil"/>
            </w:tcBorders>
            <w:vAlign w:val="center"/>
          </w:tcPr>
          <w:p>
            <w:pPr>
              <w:jc w:val="center"/>
            </w:pPr>
            <w:r>
              <w:rPr>
                <w:rFonts w:hint="eastAsia"/>
              </w:rPr>
              <w:t>光纤类型</w:t>
            </w:r>
          </w:p>
        </w:tc>
        <w:tc>
          <w:tcPr>
            <w:tcW w:w="2130" w:type="dxa"/>
            <w:tcBorders>
              <w:bottom w:val="single" w:color="000000" w:sz="12" w:space="0"/>
              <w:tl2br w:val="nil"/>
              <w:tr2bl w:val="nil"/>
            </w:tcBorders>
            <w:vAlign w:val="center"/>
          </w:tcPr>
          <w:p>
            <w:pPr>
              <w:jc w:val="center"/>
            </w:pPr>
            <w:r>
              <w:rPr>
                <w:rFonts w:hint="eastAsia"/>
              </w:rPr>
              <w:t>SMF</w:t>
            </w:r>
          </w:p>
        </w:tc>
        <w:tc>
          <w:tcPr>
            <w:tcW w:w="2131" w:type="dxa"/>
            <w:tcBorders>
              <w:bottom w:val="single" w:color="000000" w:sz="12" w:space="0"/>
              <w:tl2br w:val="nil"/>
              <w:tr2bl w:val="nil"/>
            </w:tcBorders>
            <w:vAlign w:val="center"/>
          </w:tcPr>
          <w:p>
            <w:pPr>
              <w:jc w:val="center"/>
            </w:pPr>
            <w:r>
              <w:rPr>
                <w:rFonts w:hint="eastAsia"/>
              </w:rPr>
              <w:t>SIF</w:t>
            </w:r>
          </w:p>
        </w:tc>
        <w:tc>
          <w:tcPr>
            <w:tcW w:w="2131" w:type="dxa"/>
            <w:tcBorders>
              <w:bottom w:val="single" w:color="000000" w:sz="12" w:space="0"/>
              <w:tl2br w:val="nil"/>
              <w:tr2bl w:val="nil"/>
            </w:tcBorders>
            <w:vAlign w:val="center"/>
          </w:tcPr>
          <w:p>
            <w:pPr>
              <w:jc w:val="center"/>
            </w:pPr>
            <w:r>
              <w:rPr>
                <w:rFonts w:hint="eastAsia"/>
              </w:rPr>
              <w:t>GIF</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tcBorders>
              <w:top w:val="single" w:color="000000" w:sz="12" w:space="0"/>
              <w:tl2br w:val="nil"/>
              <w:tr2bl w:val="nil"/>
            </w:tcBorders>
            <w:vAlign w:val="center"/>
          </w:tcPr>
          <w:p>
            <w:pPr>
              <w:jc w:val="center"/>
            </w:pPr>
            <w:r>
              <w:rPr>
                <w:rFonts w:hint="eastAsia"/>
              </w:rPr>
              <w:t>纤芯直径</w:t>
            </w:r>
          </w:p>
        </w:tc>
        <w:tc>
          <w:tcPr>
            <w:tcW w:w="2130" w:type="dxa"/>
            <w:tcBorders>
              <w:top w:val="single" w:color="000000" w:sz="12" w:space="0"/>
              <w:tl2br w:val="nil"/>
              <w:tr2bl w:val="nil"/>
            </w:tcBorders>
            <w:vAlign w:val="center"/>
          </w:tcPr>
          <w:p>
            <w:pPr>
              <w:jc w:val="center"/>
            </w:pPr>
            <w:r>
              <w:rPr>
                <w:rFonts w:hint="eastAsia"/>
              </w:rPr>
              <w:t xml:space="preserve">8.2 </w:t>
            </w:r>
            <w:r>
              <w:rPr>
                <w:i/>
                <w:iCs/>
              </w:rPr>
              <w:t>μ</w:t>
            </w:r>
            <w:r>
              <w:t>m</w:t>
            </w:r>
          </w:p>
        </w:tc>
        <w:tc>
          <w:tcPr>
            <w:tcW w:w="2131" w:type="dxa"/>
            <w:tcBorders>
              <w:top w:val="single" w:color="000000" w:sz="12" w:space="0"/>
              <w:tl2br w:val="nil"/>
              <w:tr2bl w:val="nil"/>
            </w:tcBorders>
            <w:vAlign w:val="center"/>
          </w:tcPr>
          <w:p>
            <w:pPr>
              <w:jc w:val="center"/>
            </w:pPr>
            <w:r>
              <w:rPr>
                <w:rFonts w:hint="eastAsia"/>
              </w:rPr>
              <w:t xml:space="preserve">105 </w:t>
            </w:r>
            <w:r>
              <w:rPr>
                <w:i/>
                <w:iCs/>
              </w:rPr>
              <w:t>μ</w:t>
            </w:r>
            <w:r>
              <w:t>m</w:t>
            </w:r>
          </w:p>
        </w:tc>
        <w:tc>
          <w:tcPr>
            <w:tcW w:w="2131" w:type="dxa"/>
            <w:tcBorders>
              <w:top w:val="single" w:color="000000" w:sz="12" w:space="0"/>
              <w:tl2br w:val="nil"/>
              <w:tr2bl w:val="nil"/>
            </w:tcBorders>
            <w:vAlign w:val="center"/>
          </w:tcPr>
          <w:p>
            <w:pPr>
              <w:jc w:val="center"/>
            </w:pPr>
            <w:r>
              <w:rPr>
                <w:rFonts w:hint="eastAsia"/>
              </w:rPr>
              <w:t xml:space="preserve">105 </w:t>
            </w:r>
            <w:r>
              <w:rPr>
                <w:i/>
                <w:iCs/>
              </w:rPr>
              <w:t>μ</w:t>
            </w:r>
            <w:r>
              <w:t>m</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tcBorders>
              <w:tl2br w:val="nil"/>
              <w:tr2bl w:val="nil"/>
            </w:tcBorders>
            <w:vAlign w:val="center"/>
          </w:tcPr>
          <w:p>
            <w:pPr>
              <w:jc w:val="center"/>
            </w:pPr>
            <w:r>
              <w:rPr>
                <w:rFonts w:hint="eastAsia"/>
              </w:rPr>
              <w:t>包层直径</w:t>
            </w:r>
          </w:p>
        </w:tc>
        <w:tc>
          <w:tcPr>
            <w:tcW w:w="2130" w:type="dxa"/>
            <w:tcBorders>
              <w:tl2br w:val="nil"/>
              <w:tr2bl w:val="nil"/>
            </w:tcBorders>
            <w:vAlign w:val="center"/>
          </w:tcPr>
          <w:p>
            <w:pPr>
              <w:jc w:val="center"/>
            </w:pPr>
            <w:r>
              <w:rPr>
                <w:rFonts w:hint="eastAsia"/>
              </w:rPr>
              <w:t>125</w:t>
            </w:r>
            <w:r>
              <w:t>±</w:t>
            </w:r>
            <w:r>
              <w:rPr>
                <w:rFonts w:hint="eastAsia"/>
              </w:rPr>
              <w:t xml:space="preserve">0.7 </w:t>
            </w:r>
            <w:r>
              <w:rPr>
                <w:i/>
                <w:iCs/>
              </w:rPr>
              <w:t>μ</w:t>
            </w:r>
            <w:r>
              <w:t>m</w:t>
            </w:r>
          </w:p>
        </w:tc>
        <w:tc>
          <w:tcPr>
            <w:tcW w:w="2131" w:type="dxa"/>
            <w:tcBorders>
              <w:tl2br w:val="nil"/>
              <w:tr2bl w:val="nil"/>
            </w:tcBorders>
            <w:vAlign w:val="center"/>
          </w:tcPr>
          <w:p>
            <w:pPr>
              <w:jc w:val="center"/>
            </w:pPr>
            <w:r>
              <w:rPr>
                <w:rFonts w:hint="eastAsia"/>
              </w:rPr>
              <w:t>125</w:t>
            </w:r>
            <w:r>
              <w:t>±</w:t>
            </w:r>
            <w:r>
              <w:rPr>
                <w:rFonts w:hint="eastAsia"/>
              </w:rPr>
              <w:t xml:space="preserve">0.7 </w:t>
            </w:r>
            <w:r>
              <w:rPr>
                <w:i/>
                <w:iCs/>
              </w:rPr>
              <w:t>μ</w:t>
            </w:r>
            <w:r>
              <w:t>m</w:t>
            </w:r>
          </w:p>
        </w:tc>
        <w:tc>
          <w:tcPr>
            <w:tcW w:w="2131" w:type="dxa"/>
            <w:tcBorders>
              <w:tl2br w:val="nil"/>
              <w:tr2bl w:val="nil"/>
            </w:tcBorders>
            <w:vAlign w:val="center"/>
          </w:tcPr>
          <w:p>
            <w:pPr>
              <w:jc w:val="center"/>
            </w:pPr>
            <w:r>
              <w:rPr>
                <w:rFonts w:hint="eastAsia"/>
              </w:rPr>
              <w:t>125</w:t>
            </w:r>
            <w:r>
              <w:t>±</w:t>
            </w:r>
            <w:r>
              <w:rPr>
                <w:rFonts w:hint="eastAsia"/>
              </w:rPr>
              <w:t xml:space="preserve">0.7 </w:t>
            </w:r>
            <w:r>
              <w:rPr>
                <w:i/>
                <w:iCs/>
              </w:rPr>
              <w:t>μ</w:t>
            </w:r>
            <w:r>
              <w:t>m</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tcBorders>
              <w:tl2br w:val="nil"/>
              <w:tr2bl w:val="nil"/>
            </w:tcBorders>
            <w:vAlign w:val="center"/>
          </w:tcPr>
          <w:p>
            <w:pPr>
              <w:jc w:val="center"/>
            </w:pPr>
            <w:r>
              <w:rPr>
                <w:rFonts w:hint="eastAsia"/>
              </w:rPr>
              <w:t>数值孔径</w:t>
            </w:r>
            <w:r>
              <w:rPr>
                <w:rFonts w:hint="eastAsia"/>
                <w:i/>
                <w:iCs/>
              </w:rPr>
              <w:t>NA</w:t>
            </w:r>
          </w:p>
        </w:tc>
        <w:tc>
          <w:tcPr>
            <w:tcW w:w="2130" w:type="dxa"/>
            <w:tcBorders>
              <w:tl2br w:val="nil"/>
              <w:tr2bl w:val="nil"/>
            </w:tcBorders>
            <w:vAlign w:val="center"/>
          </w:tcPr>
          <w:p>
            <w:pPr>
              <w:jc w:val="center"/>
            </w:pPr>
            <w:r>
              <w:rPr>
                <w:rFonts w:hint="eastAsia"/>
              </w:rPr>
              <w:t>0.14</w:t>
            </w:r>
          </w:p>
        </w:tc>
        <w:tc>
          <w:tcPr>
            <w:tcW w:w="2131" w:type="dxa"/>
            <w:tcBorders>
              <w:tl2br w:val="nil"/>
              <w:tr2bl w:val="nil"/>
            </w:tcBorders>
            <w:vAlign w:val="center"/>
          </w:tcPr>
          <w:p>
            <w:pPr>
              <w:jc w:val="center"/>
            </w:pPr>
            <w:r>
              <w:rPr>
                <w:rFonts w:hint="eastAsia"/>
              </w:rPr>
              <w:t>0.21</w:t>
            </w:r>
          </w:p>
        </w:tc>
        <w:tc>
          <w:tcPr>
            <w:tcW w:w="2131" w:type="dxa"/>
            <w:tcBorders>
              <w:tl2br w:val="nil"/>
              <w:tr2bl w:val="nil"/>
            </w:tcBorders>
            <w:vAlign w:val="center"/>
          </w:tcPr>
          <w:p>
            <w:pPr>
              <w:jc w:val="center"/>
            </w:pPr>
            <w:r>
              <w:rPr>
                <w:rFonts w:hint="eastAsia"/>
              </w:rPr>
              <w:t>0.31</w:t>
            </w:r>
          </w:p>
        </w:tc>
      </w:tr>
    </w:tbl>
    <w:p>
      <w:pPr>
        <w:ind w:firstLine="420" w:firstLineChars="200"/>
        <w:rPr>
          <w:rFonts w:hint="default"/>
          <w:lang w:val="en-US"/>
        </w:rPr>
      </w:pPr>
      <w:r>
        <w:rPr>
          <w:rFonts w:hint="eastAsia"/>
        </w:rPr>
        <w:t>S</w:t>
      </w:r>
      <w:r>
        <w:t>IF</w:t>
      </w:r>
      <w:r>
        <w:rPr>
          <w:rFonts w:hint="eastAsia"/>
        </w:rPr>
        <w:t>及G</w:t>
      </w:r>
      <w:r>
        <w:t>IF</w:t>
      </w:r>
      <w:r>
        <w:rPr>
          <w:rFonts w:hint="eastAsia"/>
        </w:rPr>
        <w:t>的</w:t>
      </w:r>
      <w:r>
        <w:rPr>
          <w:rFonts w:hint="eastAsia"/>
          <w:lang w:val="en-US" w:eastAsia="zh-CN"/>
        </w:rPr>
        <w:t>光纤截</w:t>
      </w:r>
      <w:r>
        <w:rPr>
          <w:rFonts w:hint="eastAsia"/>
        </w:rPr>
        <w:t>面及折射率分布如图8所示。</w:t>
      </w:r>
      <w:commentRangeStart w:id="6"/>
      <w:commentRangeStart w:id="7"/>
      <w:r>
        <w:rPr>
          <w:rStyle w:val="13"/>
        </w:rPr>
        <w:commentReference w:id="6"/>
      </w:r>
      <w:commentRangeEnd w:id="6"/>
      <w:commentRangeEnd w:id="7"/>
      <w:r>
        <w:commentReference w:id="7"/>
      </w:r>
    </w:p>
    <w:p>
      <w:pPr>
        <w:jc w:val="center"/>
      </w:pPr>
      <w:r>
        <w:drawing>
          <wp:inline distT="0" distB="0" distL="114300" distR="114300">
            <wp:extent cx="2879725" cy="1296035"/>
            <wp:effectExtent l="0" t="0" r="15875" b="1841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7"/>
                    <a:stretch>
                      <a:fillRect/>
                    </a:stretch>
                  </pic:blipFill>
                  <pic:spPr>
                    <a:xfrm>
                      <a:off x="0" y="0"/>
                      <a:ext cx="2879725" cy="1296035"/>
                    </a:xfrm>
                    <a:prstGeom prst="rect">
                      <a:avLst/>
                    </a:prstGeom>
                    <a:noFill/>
                    <a:ln>
                      <a:noFill/>
                    </a:ln>
                  </pic:spPr>
                </pic:pic>
              </a:graphicData>
            </a:graphic>
          </wp:inline>
        </w:drawing>
      </w:r>
    </w:p>
    <w:p>
      <w:pPr>
        <w:ind w:firstLine="1500" w:firstLineChars="1000"/>
        <w:rPr>
          <w:sz w:val="15"/>
          <w:szCs w:val="16"/>
        </w:rPr>
      </w:pPr>
      <w:r>
        <w:rPr>
          <w:rFonts w:hint="eastAsia"/>
          <w:sz w:val="15"/>
          <w:szCs w:val="16"/>
        </w:rPr>
        <w:t xml:space="preserve">(a)105/125 </w:t>
      </w:r>
      <w:r>
        <w:rPr>
          <w:i/>
          <w:iCs/>
          <w:sz w:val="15"/>
          <w:szCs w:val="16"/>
        </w:rPr>
        <w:t>μ</w:t>
      </w:r>
      <w:r>
        <w:rPr>
          <w:sz w:val="15"/>
          <w:szCs w:val="16"/>
        </w:rPr>
        <w:t>m</w:t>
      </w:r>
      <w:r>
        <w:rPr>
          <w:rFonts w:hint="eastAsia"/>
          <w:sz w:val="15"/>
          <w:szCs w:val="16"/>
        </w:rPr>
        <w:t>阶跃折射率光纤</w:t>
      </w:r>
      <w:r>
        <w:rPr>
          <w:rFonts w:hint="eastAsia"/>
          <w:sz w:val="15"/>
          <w:szCs w:val="16"/>
          <w:lang w:val="en-US" w:eastAsia="zh-CN"/>
        </w:rPr>
        <w:t>截</w:t>
      </w:r>
      <w:r>
        <w:rPr>
          <w:rFonts w:hint="eastAsia"/>
          <w:sz w:val="15"/>
          <w:szCs w:val="16"/>
        </w:rPr>
        <w:t>面 (b)阶跃折射率光纤折射率三维分布图</w:t>
      </w:r>
    </w:p>
    <w:p>
      <w:pPr>
        <w:jc w:val="center"/>
      </w:pPr>
      <w:r>
        <w:drawing>
          <wp:inline distT="0" distB="0" distL="114300" distR="114300">
            <wp:extent cx="2879725" cy="1289685"/>
            <wp:effectExtent l="0" t="0" r="15875" b="571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8"/>
                    <a:stretch>
                      <a:fillRect/>
                    </a:stretch>
                  </pic:blipFill>
                  <pic:spPr>
                    <a:xfrm>
                      <a:off x="0" y="0"/>
                      <a:ext cx="2879725" cy="1289685"/>
                    </a:xfrm>
                    <a:prstGeom prst="rect">
                      <a:avLst/>
                    </a:prstGeom>
                    <a:noFill/>
                    <a:ln>
                      <a:noFill/>
                    </a:ln>
                  </pic:spPr>
                </pic:pic>
              </a:graphicData>
            </a:graphic>
          </wp:inline>
        </w:drawing>
      </w:r>
    </w:p>
    <w:p>
      <w:pPr>
        <w:ind w:firstLine="1500" w:firstLineChars="1000"/>
        <w:rPr>
          <w:sz w:val="15"/>
          <w:szCs w:val="16"/>
        </w:rPr>
      </w:pPr>
      <w:r>
        <w:rPr>
          <w:rFonts w:hint="eastAsia"/>
          <w:sz w:val="15"/>
          <w:szCs w:val="16"/>
        </w:rPr>
        <w:t xml:space="preserve">(c)105/125 </w:t>
      </w:r>
      <w:r>
        <w:rPr>
          <w:i/>
          <w:iCs/>
          <w:sz w:val="15"/>
          <w:szCs w:val="16"/>
        </w:rPr>
        <w:t>μ</w:t>
      </w:r>
      <w:r>
        <w:rPr>
          <w:sz w:val="15"/>
          <w:szCs w:val="16"/>
        </w:rPr>
        <w:t>m</w:t>
      </w:r>
      <w:r>
        <w:rPr>
          <w:rFonts w:hint="eastAsia"/>
          <w:sz w:val="15"/>
          <w:szCs w:val="16"/>
        </w:rPr>
        <w:t>渐变折射率光纤</w:t>
      </w:r>
      <w:r>
        <w:rPr>
          <w:rFonts w:hint="eastAsia"/>
          <w:sz w:val="15"/>
          <w:szCs w:val="16"/>
          <w:lang w:val="en-US" w:eastAsia="zh-CN"/>
        </w:rPr>
        <w:t>截</w:t>
      </w:r>
      <w:r>
        <w:rPr>
          <w:rFonts w:hint="eastAsia"/>
          <w:sz w:val="15"/>
          <w:szCs w:val="16"/>
        </w:rPr>
        <w:t>面 (d)渐变折射率光纤折射率三维分布图</w:t>
      </w:r>
    </w:p>
    <w:p>
      <w:pPr>
        <w:ind w:firstLine="301"/>
        <w:jc w:val="center"/>
        <w:rPr>
          <w:b/>
          <w:sz w:val="15"/>
          <w:szCs w:val="15"/>
        </w:rPr>
      </w:pPr>
      <w:commentRangeStart w:id="8"/>
      <w:commentRangeStart w:id="9"/>
      <w:r>
        <w:rPr>
          <w:b/>
          <w:sz w:val="15"/>
          <w:szCs w:val="15"/>
        </w:rPr>
        <w:t>图</w:t>
      </w:r>
      <w:r>
        <w:rPr>
          <w:rFonts w:hint="eastAsia"/>
          <w:b/>
          <w:sz w:val="15"/>
          <w:szCs w:val="15"/>
        </w:rPr>
        <w:t>8</w:t>
      </w:r>
      <w:commentRangeEnd w:id="8"/>
      <w:r>
        <w:rPr>
          <w:rStyle w:val="13"/>
        </w:rPr>
        <w:commentReference w:id="8"/>
      </w:r>
      <w:commentRangeEnd w:id="9"/>
      <w:r>
        <w:commentReference w:id="9"/>
      </w:r>
      <w:r>
        <w:rPr>
          <w:b/>
          <w:sz w:val="15"/>
          <w:szCs w:val="15"/>
        </w:rPr>
        <w:t xml:space="preserve"> </w:t>
      </w:r>
      <w:r>
        <w:rPr>
          <w:rFonts w:hint="eastAsia"/>
          <w:b/>
          <w:sz w:val="15"/>
          <w:szCs w:val="15"/>
        </w:rPr>
        <w:t>光纤</w:t>
      </w:r>
      <w:r>
        <w:rPr>
          <w:rFonts w:hint="eastAsia"/>
          <w:b/>
          <w:sz w:val="15"/>
          <w:szCs w:val="15"/>
          <w:lang w:val="en-US" w:eastAsia="zh-CN"/>
        </w:rPr>
        <w:t>截</w:t>
      </w:r>
      <w:r>
        <w:rPr>
          <w:rFonts w:hint="eastAsia"/>
          <w:b/>
          <w:sz w:val="15"/>
          <w:szCs w:val="15"/>
        </w:rPr>
        <w:t>面及折射率分布</w:t>
      </w:r>
    </w:p>
    <w:p>
      <w:pPr>
        <w:ind w:firstLine="420" w:firstLineChars="200"/>
      </w:pPr>
      <w:r>
        <w:rPr>
          <w:rFonts w:hint="eastAsia"/>
        </w:rPr>
        <w:t>在波长1550 nm波段下，通过红外相机可以观察输入功率后光纤端面的出射情况，以</w:t>
      </w:r>
      <w:r>
        <w:rPr>
          <w:rFonts w:hint="eastAsia"/>
          <w:bCs/>
          <w:szCs w:val="21"/>
        </w:rPr>
        <w:t>S</w:t>
      </w:r>
      <w:r>
        <w:rPr>
          <w:bCs/>
          <w:szCs w:val="21"/>
        </w:rPr>
        <w:t>MF</w:t>
      </w:r>
      <w:r>
        <w:rPr>
          <w:rFonts w:hint="eastAsia"/>
        </w:rPr>
        <w:t>标定其光场功率分布情况及模场直径。在1550 nm波段下对</w:t>
      </w:r>
      <w:r>
        <w:rPr>
          <w:rFonts w:hint="eastAsia"/>
          <w:bCs/>
          <w:szCs w:val="21"/>
        </w:rPr>
        <w:t>S</w:t>
      </w:r>
      <w:r>
        <w:rPr>
          <w:bCs/>
          <w:szCs w:val="21"/>
        </w:rPr>
        <w:t>MF</w:t>
      </w:r>
      <w:r>
        <w:rPr>
          <w:rFonts w:hint="eastAsia"/>
        </w:rPr>
        <w:t>输入1 mW的光功率，通过横向位移法</w:t>
      </w:r>
      <w:r>
        <w:rPr>
          <w:rFonts w:hint="eastAsia"/>
          <w:vertAlign w:val="superscript"/>
        </w:rPr>
        <w:t>[11]</w:t>
      </w:r>
      <w:r>
        <w:rPr>
          <w:rFonts w:hint="eastAsia"/>
        </w:rPr>
        <w:t>测试过后</w:t>
      </w:r>
      <w:r>
        <w:rPr>
          <w:rFonts w:hint="eastAsia"/>
          <w:bCs/>
          <w:szCs w:val="21"/>
        </w:rPr>
        <w:t>S</w:t>
      </w:r>
      <w:r>
        <w:rPr>
          <w:bCs/>
          <w:szCs w:val="21"/>
        </w:rPr>
        <w:t>MF</w:t>
      </w:r>
      <w:r>
        <w:rPr>
          <w:rFonts w:hint="eastAsia"/>
        </w:rPr>
        <w:t xml:space="preserve">的模场直径为9.4 </w:t>
      </w:r>
      <w:r>
        <w:rPr>
          <w:i/>
          <w:iCs/>
        </w:rPr>
        <w:t>μ</w:t>
      </w:r>
      <w:r>
        <w:t>m</w:t>
      </w:r>
      <w:r>
        <w:rPr>
          <w:rFonts w:hint="eastAsia"/>
        </w:rPr>
        <w:t>，如图9(a)所示。</w:t>
      </w:r>
      <w:r>
        <w:rPr>
          <w:rFonts w:hint="eastAsia"/>
          <w:bCs/>
          <w:szCs w:val="21"/>
        </w:rPr>
        <w:t>以同样的方法，观察S</w:t>
      </w:r>
      <w:r>
        <w:rPr>
          <w:bCs/>
          <w:szCs w:val="21"/>
        </w:rPr>
        <w:t>IF</w:t>
      </w:r>
      <w:r>
        <w:rPr>
          <w:rFonts w:hint="eastAsia"/>
          <w:bCs/>
          <w:szCs w:val="21"/>
        </w:rPr>
        <w:t>准直器的输出端面，光斑最小尺寸位置，定为初始面，</w:t>
      </w:r>
      <w:r>
        <w:rPr>
          <w:rFonts w:hint="eastAsia"/>
        </w:rPr>
        <w:t>如图9(</w:t>
      </w:r>
      <w:r>
        <w:t>b</w:t>
      </w:r>
      <w:r>
        <w:rPr>
          <w:rFonts w:hint="eastAsia"/>
        </w:rPr>
        <w:t>)所示</w:t>
      </w:r>
      <w:r>
        <w:rPr>
          <w:rFonts w:hint="eastAsia"/>
          <w:bCs/>
          <w:szCs w:val="21"/>
        </w:rPr>
        <w:t xml:space="preserve">；通过位移台调整光束分析仪与光纤端面的距离逐渐增大，移动80 </w:t>
      </w:r>
      <w:r>
        <w:rPr>
          <w:i/>
          <w:iCs/>
        </w:rPr>
        <w:t>μ</w:t>
      </w:r>
      <w:r>
        <w:t>m</w:t>
      </w:r>
      <w:r>
        <w:rPr>
          <w:rFonts w:hint="eastAsia"/>
          <w:bCs/>
          <w:szCs w:val="21"/>
        </w:rPr>
        <w:t xml:space="preserve">后光场分布如图9(c)所示，光场尺寸未明显变化；移动100 </w:t>
      </w:r>
      <w:r>
        <w:rPr>
          <w:i/>
          <w:iCs/>
        </w:rPr>
        <w:t>μ</w:t>
      </w:r>
      <w:r>
        <w:t>m</w:t>
      </w:r>
      <w:r>
        <w:rPr>
          <w:rFonts w:hint="eastAsia"/>
        </w:rPr>
        <w:t>后</w:t>
      </w:r>
      <w:r>
        <w:rPr>
          <w:rFonts w:hint="eastAsia"/>
          <w:bCs/>
          <w:szCs w:val="21"/>
        </w:rPr>
        <w:t xml:space="preserve">光场分布如图9(d)所示，光场呈微椭圆状且边缘不清晰，故该80 </w:t>
      </w:r>
      <w:r>
        <w:rPr>
          <w:i/>
          <w:iCs/>
        </w:rPr>
        <w:t>μ</w:t>
      </w:r>
      <w:r>
        <w:t>m</w:t>
      </w:r>
      <w:r>
        <w:rPr>
          <w:rFonts w:hint="eastAsia"/>
          <w:bCs/>
          <w:szCs w:val="21"/>
        </w:rPr>
        <w:t xml:space="preserve">为185 </w:t>
      </w:r>
      <w:r>
        <w:rPr>
          <w:i/>
          <w:iCs/>
        </w:rPr>
        <w:t>μ</w:t>
      </w:r>
      <w:r>
        <w:t>m</w:t>
      </w:r>
      <w:r>
        <w:rPr>
          <w:rFonts w:hint="eastAsia"/>
          <w:bCs/>
          <w:szCs w:val="21"/>
        </w:rPr>
        <w:t>阶跃多模光纤准直器的有效准直距离。</w:t>
      </w:r>
    </w:p>
    <w:p>
      <w:pPr>
        <w:ind w:firstLine="420" w:firstLineChars="200"/>
      </w:pPr>
      <w:r>
        <w:rPr>
          <w:rFonts w:hint="eastAsia"/>
        </w:rPr>
        <w:t>将制备的不同光纤长度的器件分别通过光束分析仪观察输出光场，取输出光场初始面最大强度的1/</w:t>
      </w:r>
      <w:r>
        <w:rPr>
          <w:rFonts w:hint="eastAsia"/>
          <w:i/>
          <w:iCs/>
        </w:rPr>
        <w:t>e</w:t>
      </w:r>
      <w:r>
        <w:rPr>
          <w:rFonts w:hint="eastAsia"/>
          <w:vertAlign w:val="superscript"/>
        </w:rPr>
        <w:t>2</w:t>
      </w:r>
      <w:r>
        <w:rPr>
          <w:rFonts w:hint="eastAsia"/>
        </w:rPr>
        <w:t>进行分析</w:t>
      </w:r>
      <w:r>
        <w:rPr>
          <w:rFonts w:hint="eastAsia"/>
          <w:vertAlign w:val="superscript"/>
        </w:rPr>
        <w:t>[12</w:t>
      </w:r>
      <w:r>
        <w:rPr>
          <w:vertAlign w:val="superscript"/>
        </w:rPr>
        <w:t>-14</w:t>
      </w:r>
      <w:r>
        <w:rPr>
          <w:rFonts w:hint="eastAsia"/>
          <w:vertAlign w:val="superscript"/>
        </w:rPr>
        <w:t>]</w:t>
      </w:r>
      <w:r>
        <w:rPr>
          <w:rFonts w:hint="eastAsia"/>
        </w:rPr>
        <w:t>，分别对比X轴和Y轴方向上的光场直径，</w:t>
      </w:r>
      <w:commentRangeStart w:id="10"/>
      <w:commentRangeStart w:id="11"/>
      <w:r>
        <w:rPr>
          <w:rFonts w:hint="eastAsia"/>
        </w:rPr>
        <w:t>如图10所示。</w:t>
      </w:r>
      <w:commentRangeEnd w:id="10"/>
      <w:r>
        <w:rPr>
          <w:rStyle w:val="13"/>
        </w:rPr>
        <w:commentReference w:id="10"/>
      </w:r>
      <w:commentRangeEnd w:id="11"/>
      <w:r>
        <w:commentReference w:id="11"/>
      </w:r>
      <w:r>
        <w:rPr>
          <w:rStyle w:val="13"/>
          <w:rFonts w:hint="eastAsia"/>
          <w:lang w:val="en-US" w:eastAsia="zh-CN"/>
        </w:rPr>
        <w:t>实验制备了3种光纤长度尺寸不同的光纤准直器，取</w:t>
      </w:r>
      <w:r>
        <w:rPr>
          <w:rFonts w:hint="eastAsia"/>
        </w:rPr>
        <w:t>最大强度的1/</w:t>
      </w:r>
      <w:r>
        <w:rPr>
          <w:rFonts w:hint="eastAsia"/>
          <w:i/>
          <w:iCs/>
        </w:rPr>
        <w:t>e</w:t>
      </w:r>
      <w:r>
        <w:rPr>
          <w:rFonts w:hint="eastAsia"/>
          <w:vertAlign w:val="superscript"/>
        </w:rPr>
        <w:t>2</w:t>
      </w:r>
      <w:r>
        <w:rPr>
          <w:rFonts w:hint="eastAsia"/>
          <w:vertAlign w:val="baseline"/>
          <w:lang w:val="en-US" w:eastAsia="zh-CN"/>
        </w:rPr>
        <w:t>为模场直径，由图10可知，</w:t>
      </w:r>
      <w:r>
        <w:rPr>
          <w:rStyle w:val="13"/>
          <w:rFonts w:hint="eastAsia"/>
          <w:lang w:val="en-US" w:eastAsia="zh-CN"/>
        </w:rPr>
        <w:t>不同SIF长度的器件其出射光场的模场直径也不相同。</w:t>
      </w:r>
      <w:r>
        <w:rPr>
          <w:rFonts w:hint="eastAsia"/>
        </w:rPr>
        <w:t>实验结果</w:t>
      </w:r>
      <w:r>
        <w:rPr>
          <w:rFonts w:hint="eastAsia"/>
          <w:bCs/>
          <w:szCs w:val="21"/>
        </w:rPr>
        <w:t>如表2所示</w:t>
      </w:r>
      <w:r>
        <w:rPr>
          <w:rFonts w:hint="eastAsia"/>
        </w:rPr>
        <w:t>，与仿真结果比对如图11所示。从结果上看，模场直径误差为</w:t>
      </w:r>
      <w:r>
        <w:rPr>
          <w:rFonts w:hint="eastAsia"/>
          <w:bCs/>
          <w:szCs w:val="21"/>
        </w:rPr>
        <w:t xml:space="preserve">±5 </w:t>
      </w:r>
      <w:r>
        <w:rPr>
          <w:bCs/>
          <w:i/>
          <w:iCs/>
          <w:szCs w:val="21"/>
        </w:rPr>
        <w:t>μ</w:t>
      </w:r>
      <w:r>
        <w:rPr>
          <w:rFonts w:hint="eastAsia"/>
          <w:bCs/>
          <w:szCs w:val="21"/>
        </w:rPr>
        <w:t>m。</w:t>
      </w:r>
    </w:p>
    <w:p>
      <w:pPr>
        <w:jc w:val="center"/>
      </w:pPr>
      <w:r>
        <w:drawing>
          <wp:inline distT="0" distB="0" distL="114300" distR="114300">
            <wp:extent cx="2879725" cy="1027430"/>
            <wp:effectExtent l="0" t="0" r="15875" b="127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19"/>
                    <a:stretch>
                      <a:fillRect/>
                    </a:stretch>
                  </pic:blipFill>
                  <pic:spPr>
                    <a:xfrm>
                      <a:off x="0" y="0"/>
                      <a:ext cx="2879725" cy="1027430"/>
                    </a:xfrm>
                    <a:prstGeom prst="rect">
                      <a:avLst/>
                    </a:prstGeom>
                    <a:noFill/>
                    <a:ln>
                      <a:noFill/>
                    </a:ln>
                  </pic:spPr>
                </pic:pic>
              </a:graphicData>
            </a:graphic>
          </wp:inline>
        </w:drawing>
      </w:r>
    </w:p>
    <w:p>
      <w:pPr>
        <w:ind w:firstLine="2250" w:firstLineChars="1500"/>
        <w:rPr>
          <w:sz w:val="15"/>
          <w:szCs w:val="16"/>
        </w:rPr>
      </w:pPr>
      <w:r>
        <w:rPr>
          <w:sz w:val="15"/>
          <w:szCs w:val="16"/>
        </w:rPr>
        <w:t>(a)</w:t>
      </w:r>
      <w:r>
        <w:rPr>
          <w:rFonts w:hint="eastAsia"/>
          <w:sz w:val="15"/>
          <w:szCs w:val="16"/>
        </w:rPr>
        <w:t>S</w:t>
      </w:r>
      <w:r>
        <w:rPr>
          <w:sz w:val="15"/>
          <w:szCs w:val="16"/>
        </w:rPr>
        <w:t>MF</w:t>
      </w:r>
      <w:r>
        <w:rPr>
          <w:rFonts w:hint="eastAsia"/>
          <w:sz w:val="15"/>
          <w:szCs w:val="16"/>
        </w:rPr>
        <w:t xml:space="preserve">出射光场 </w:t>
      </w:r>
      <w:r>
        <w:rPr>
          <w:rFonts w:hint="eastAsia"/>
          <w:sz w:val="15"/>
          <w:szCs w:val="16"/>
          <w:lang w:val="en-US" w:eastAsia="zh-CN"/>
        </w:rPr>
        <w:t xml:space="preserve">       </w:t>
      </w:r>
      <w:r>
        <w:rPr>
          <w:rFonts w:hint="eastAsia"/>
          <w:sz w:val="15"/>
          <w:szCs w:val="16"/>
        </w:rPr>
        <w:t xml:space="preserve">  </w:t>
      </w:r>
      <w:r>
        <w:rPr>
          <w:sz w:val="15"/>
          <w:szCs w:val="16"/>
        </w:rPr>
        <w:t>(</w:t>
      </w:r>
      <w:r>
        <w:rPr>
          <w:rFonts w:hint="eastAsia"/>
          <w:sz w:val="15"/>
          <w:szCs w:val="16"/>
        </w:rPr>
        <w:t>b</w:t>
      </w:r>
      <w:r>
        <w:rPr>
          <w:sz w:val="15"/>
          <w:szCs w:val="16"/>
        </w:rPr>
        <w:t xml:space="preserve">)185 </w:t>
      </w:r>
      <w:r>
        <w:rPr>
          <w:i/>
          <w:iCs/>
          <w:sz w:val="15"/>
          <w:szCs w:val="16"/>
        </w:rPr>
        <w:t>μ</w:t>
      </w:r>
      <w:r>
        <w:rPr>
          <w:sz w:val="15"/>
          <w:szCs w:val="16"/>
        </w:rPr>
        <w:t xml:space="preserve">m </w:t>
      </w:r>
      <w:r>
        <w:rPr>
          <w:rFonts w:hint="eastAsia"/>
          <w:sz w:val="15"/>
          <w:szCs w:val="16"/>
        </w:rPr>
        <w:t>S</w:t>
      </w:r>
      <w:r>
        <w:rPr>
          <w:sz w:val="15"/>
          <w:szCs w:val="16"/>
        </w:rPr>
        <w:t>IF</w:t>
      </w:r>
      <w:r>
        <w:rPr>
          <w:rFonts w:hint="eastAsia"/>
          <w:sz w:val="15"/>
          <w:szCs w:val="16"/>
        </w:rPr>
        <w:t>准直器出射光场(初始面)</w:t>
      </w:r>
    </w:p>
    <w:p>
      <w:pPr>
        <w:jc w:val="center"/>
      </w:pPr>
      <w:r>
        <w:drawing>
          <wp:inline distT="0" distB="0" distL="114300" distR="114300">
            <wp:extent cx="2879725" cy="1046480"/>
            <wp:effectExtent l="0" t="0" r="15875" b="127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20"/>
                    <a:stretch>
                      <a:fillRect/>
                    </a:stretch>
                  </pic:blipFill>
                  <pic:spPr>
                    <a:xfrm>
                      <a:off x="0" y="0"/>
                      <a:ext cx="2879725" cy="1046480"/>
                    </a:xfrm>
                    <a:prstGeom prst="rect">
                      <a:avLst/>
                    </a:prstGeom>
                    <a:noFill/>
                    <a:ln>
                      <a:noFill/>
                    </a:ln>
                  </pic:spPr>
                </pic:pic>
              </a:graphicData>
            </a:graphic>
          </wp:inline>
        </w:drawing>
      </w:r>
    </w:p>
    <w:p>
      <w:pPr>
        <w:ind w:firstLine="1650" w:firstLineChars="1100"/>
        <w:rPr>
          <w:sz w:val="15"/>
          <w:szCs w:val="16"/>
        </w:rPr>
      </w:pPr>
      <w:r>
        <w:rPr>
          <w:sz w:val="15"/>
          <w:szCs w:val="16"/>
        </w:rPr>
        <w:t>(</w:t>
      </w:r>
      <w:r>
        <w:rPr>
          <w:rFonts w:hint="eastAsia"/>
          <w:sz w:val="15"/>
          <w:szCs w:val="16"/>
        </w:rPr>
        <w:t>c</w:t>
      </w:r>
      <w:r>
        <w:rPr>
          <w:sz w:val="15"/>
          <w:szCs w:val="16"/>
        </w:rPr>
        <w:t>)</w:t>
      </w:r>
      <w:r>
        <w:rPr>
          <w:rFonts w:hint="eastAsia"/>
          <w:sz w:val="15"/>
          <w:szCs w:val="16"/>
        </w:rPr>
        <w:t xml:space="preserve">初始面移动80 </w:t>
      </w:r>
      <w:r>
        <w:rPr>
          <w:i/>
          <w:iCs/>
          <w:sz w:val="15"/>
          <w:szCs w:val="16"/>
        </w:rPr>
        <w:t>μ</w:t>
      </w:r>
      <w:r>
        <w:rPr>
          <w:sz w:val="15"/>
          <w:szCs w:val="16"/>
        </w:rPr>
        <w:t>m</w:t>
      </w:r>
      <w:r>
        <w:rPr>
          <w:rFonts w:hint="eastAsia"/>
          <w:sz w:val="15"/>
          <w:szCs w:val="16"/>
        </w:rPr>
        <w:t xml:space="preserve">准直器出射光场     </w:t>
      </w:r>
      <w:r>
        <w:rPr>
          <w:sz w:val="15"/>
          <w:szCs w:val="16"/>
        </w:rPr>
        <w:t>(</w:t>
      </w:r>
      <w:r>
        <w:rPr>
          <w:rFonts w:hint="eastAsia"/>
          <w:sz w:val="15"/>
          <w:szCs w:val="16"/>
        </w:rPr>
        <w:t>d</w:t>
      </w:r>
      <w:r>
        <w:rPr>
          <w:sz w:val="15"/>
          <w:szCs w:val="16"/>
        </w:rPr>
        <w:t>)</w:t>
      </w:r>
      <w:r>
        <w:rPr>
          <w:rFonts w:hint="eastAsia"/>
          <w:sz w:val="15"/>
          <w:szCs w:val="16"/>
        </w:rPr>
        <w:t xml:space="preserve">初始面移动100 </w:t>
      </w:r>
      <w:r>
        <w:rPr>
          <w:i/>
          <w:iCs/>
          <w:sz w:val="15"/>
          <w:szCs w:val="16"/>
        </w:rPr>
        <w:t>μ</w:t>
      </w:r>
      <w:r>
        <w:rPr>
          <w:sz w:val="15"/>
          <w:szCs w:val="16"/>
        </w:rPr>
        <w:t>m</w:t>
      </w:r>
      <w:r>
        <w:rPr>
          <w:rFonts w:hint="eastAsia"/>
          <w:sz w:val="15"/>
          <w:szCs w:val="16"/>
        </w:rPr>
        <w:t>准直器出射光场</w:t>
      </w:r>
    </w:p>
    <w:p>
      <w:pPr>
        <w:ind w:firstLine="301"/>
        <w:jc w:val="center"/>
        <w:rPr>
          <w:b/>
          <w:sz w:val="15"/>
          <w:szCs w:val="15"/>
        </w:rPr>
      </w:pPr>
      <w:commentRangeStart w:id="12"/>
      <w:commentRangeStart w:id="13"/>
      <w:r>
        <w:rPr>
          <w:b/>
          <w:sz w:val="15"/>
          <w:szCs w:val="15"/>
        </w:rPr>
        <w:t>图</w:t>
      </w:r>
      <w:r>
        <w:rPr>
          <w:rFonts w:hint="eastAsia"/>
          <w:b/>
          <w:sz w:val="15"/>
          <w:szCs w:val="15"/>
        </w:rPr>
        <w:t>9</w:t>
      </w:r>
      <w:r>
        <w:rPr>
          <w:b/>
          <w:sz w:val="15"/>
          <w:szCs w:val="15"/>
        </w:rPr>
        <w:t xml:space="preserve"> </w:t>
      </w:r>
      <w:commentRangeEnd w:id="12"/>
      <w:r>
        <w:rPr>
          <w:rStyle w:val="13"/>
        </w:rPr>
        <w:commentReference w:id="12"/>
      </w:r>
      <w:commentRangeEnd w:id="13"/>
      <w:r>
        <w:commentReference w:id="13"/>
      </w:r>
      <w:r>
        <w:rPr>
          <w:rFonts w:hint="eastAsia"/>
          <w:b/>
          <w:sz w:val="15"/>
          <w:szCs w:val="15"/>
        </w:rPr>
        <w:t>S</w:t>
      </w:r>
      <w:r>
        <w:rPr>
          <w:b/>
          <w:sz w:val="15"/>
          <w:szCs w:val="15"/>
        </w:rPr>
        <w:t>MF</w:t>
      </w:r>
      <w:r>
        <w:rPr>
          <w:rFonts w:hint="eastAsia"/>
          <w:b/>
          <w:sz w:val="15"/>
          <w:szCs w:val="15"/>
        </w:rPr>
        <w:t>与S</w:t>
      </w:r>
      <w:r>
        <w:rPr>
          <w:b/>
          <w:sz w:val="15"/>
          <w:szCs w:val="15"/>
        </w:rPr>
        <w:t>IF</w:t>
      </w:r>
      <w:r>
        <w:rPr>
          <w:rFonts w:hint="eastAsia"/>
          <w:b/>
          <w:sz w:val="15"/>
          <w:szCs w:val="15"/>
        </w:rPr>
        <w:t>准直器出射端的光场对比</w:t>
      </w:r>
    </w:p>
    <w:p>
      <w:pPr>
        <w:ind w:firstLine="301"/>
        <w:jc w:val="center"/>
        <w:rPr>
          <w:b/>
          <w:sz w:val="15"/>
          <w:szCs w:val="15"/>
        </w:rPr>
      </w:pPr>
      <w:r>
        <w:rPr>
          <w:rFonts w:hint="eastAsia"/>
          <w:b/>
          <w:sz w:val="15"/>
          <w:szCs w:val="15"/>
        </w:rPr>
        <w:t>表2 实验结果对比</w:t>
      </w:r>
    </w:p>
    <w:tbl>
      <w:tblPr>
        <w:tblStyle w:val="8"/>
        <w:tblW w:w="745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181"/>
        <w:gridCol w:w="1422"/>
        <w:gridCol w:w="1442"/>
        <w:gridCol w:w="140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181" w:type="dxa"/>
            <w:tcBorders>
              <w:bottom w:val="single" w:color="000000" w:sz="12" w:space="0"/>
              <w:tl2br w:val="nil"/>
              <w:tr2bl w:val="nil"/>
            </w:tcBorders>
            <w:vAlign w:val="center"/>
          </w:tcPr>
          <w:p>
            <w:pPr>
              <w:jc w:val="center"/>
            </w:pPr>
            <w:r>
              <w:rPr>
                <w:rFonts w:hint="eastAsia"/>
              </w:rPr>
              <w:t>器件编号</w:t>
            </w:r>
          </w:p>
        </w:tc>
        <w:tc>
          <w:tcPr>
            <w:tcW w:w="1422" w:type="dxa"/>
            <w:tcBorders>
              <w:bottom w:val="single" w:color="000000" w:sz="12" w:space="0"/>
              <w:tl2br w:val="nil"/>
              <w:tr2bl w:val="nil"/>
            </w:tcBorders>
            <w:vAlign w:val="center"/>
          </w:tcPr>
          <w:p>
            <w:pPr>
              <w:jc w:val="center"/>
            </w:pPr>
            <w:r>
              <w:rPr>
                <w:rFonts w:hint="eastAsia"/>
              </w:rPr>
              <w:t>1</w:t>
            </w:r>
          </w:p>
        </w:tc>
        <w:tc>
          <w:tcPr>
            <w:tcW w:w="1442" w:type="dxa"/>
            <w:tcBorders>
              <w:bottom w:val="single" w:color="000000" w:sz="12" w:space="0"/>
              <w:tl2br w:val="nil"/>
              <w:tr2bl w:val="nil"/>
            </w:tcBorders>
            <w:vAlign w:val="center"/>
          </w:tcPr>
          <w:p>
            <w:pPr>
              <w:jc w:val="center"/>
            </w:pPr>
            <w:r>
              <w:rPr>
                <w:rFonts w:hint="eastAsia"/>
              </w:rPr>
              <w:t>2</w:t>
            </w:r>
          </w:p>
        </w:tc>
        <w:tc>
          <w:tcPr>
            <w:tcW w:w="1405" w:type="dxa"/>
            <w:tcBorders>
              <w:bottom w:val="single" w:color="000000" w:sz="12" w:space="0"/>
              <w:tl2br w:val="nil"/>
              <w:tr2bl w:val="nil"/>
            </w:tcBorders>
            <w:vAlign w:val="center"/>
          </w:tcPr>
          <w:p>
            <w:pPr>
              <w:jc w:val="center"/>
            </w:pPr>
            <w:r>
              <w:rPr>
                <w:rFonts w:hint="eastAsia"/>
              </w:rPr>
              <w:t>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181" w:type="dxa"/>
            <w:tcBorders>
              <w:top w:val="single" w:color="000000" w:sz="12" w:space="0"/>
              <w:tl2br w:val="nil"/>
              <w:tr2bl w:val="nil"/>
            </w:tcBorders>
            <w:vAlign w:val="center"/>
          </w:tcPr>
          <w:p>
            <w:pPr>
              <w:jc w:val="center"/>
            </w:pPr>
            <w:r>
              <w:rPr>
                <w:rFonts w:hint="eastAsia"/>
              </w:rPr>
              <w:t>S</w:t>
            </w:r>
            <w:r>
              <w:t>IF</w:t>
            </w:r>
            <w:r>
              <w:rPr>
                <w:rFonts w:hint="eastAsia"/>
              </w:rPr>
              <w:t>长度/</w:t>
            </w:r>
            <w:r>
              <w:rPr>
                <w:i/>
                <w:iCs/>
              </w:rPr>
              <w:t>μ</w:t>
            </w:r>
            <w:r>
              <w:t>m</w:t>
            </w:r>
          </w:p>
        </w:tc>
        <w:tc>
          <w:tcPr>
            <w:tcW w:w="1422" w:type="dxa"/>
            <w:tcBorders>
              <w:top w:val="single" w:color="000000" w:sz="12" w:space="0"/>
              <w:tl2br w:val="nil"/>
              <w:tr2bl w:val="nil"/>
            </w:tcBorders>
            <w:vAlign w:val="center"/>
          </w:tcPr>
          <w:p>
            <w:pPr>
              <w:jc w:val="center"/>
            </w:pPr>
            <w:r>
              <w:rPr>
                <w:rFonts w:hint="eastAsia"/>
              </w:rPr>
              <w:t>285</w:t>
            </w:r>
          </w:p>
        </w:tc>
        <w:tc>
          <w:tcPr>
            <w:tcW w:w="1442" w:type="dxa"/>
            <w:tcBorders>
              <w:top w:val="single" w:color="000000" w:sz="12" w:space="0"/>
              <w:tl2br w:val="nil"/>
              <w:tr2bl w:val="nil"/>
            </w:tcBorders>
            <w:vAlign w:val="center"/>
          </w:tcPr>
          <w:p>
            <w:pPr>
              <w:jc w:val="center"/>
            </w:pPr>
            <w:r>
              <w:rPr>
                <w:rFonts w:hint="eastAsia"/>
              </w:rPr>
              <w:t>230</w:t>
            </w:r>
          </w:p>
        </w:tc>
        <w:tc>
          <w:tcPr>
            <w:tcW w:w="1405" w:type="dxa"/>
            <w:tcBorders>
              <w:top w:val="single" w:color="000000" w:sz="12" w:space="0"/>
              <w:tl2br w:val="nil"/>
              <w:tr2bl w:val="nil"/>
            </w:tcBorders>
            <w:vAlign w:val="center"/>
          </w:tcPr>
          <w:p>
            <w:pPr>
              <w:jc w:val="center"/>
            </w:pPr>
            <w:r>
              <w:rPr>
                <w:rFonts w:hint="eastAsia"/>
              </w:rPr>
              <w:t>185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181" w:type="dxa"/>
            <w:tcBorders>
              <w:tl2br w:val="nil"/>
              <w:tr2bl w:val="nil"/>
            </w:tcBorders>
            <w:vAlign w:val="center"/>
          </w:tcPr>
          <w:p>
            <w:pPr>
              <w:jc w:val="center"/>
            </w:pPr>
            <w:r>
              <w:rPr>
                <w:rFonts w:hint="eastAsia"/>
              </w:rPr>
              <w:t>G</w:t>
            </w:r>
            <w:r>
              <w:t>IF</w:t>
            </w:r>
            <w:r>
              <w:rPr>
                <w:rFonts w:hint="eastAsia"/>
              </w:rPr>
              <w:t>长度/</w:t>
            </w:r>
            <w:r>
              <w:rPr>
                <w:i/>
                <w:iCs/>
              </w:rPr>
              <w:t>μ</w:t>
            </w:r>
            <w:r>
              <w:rPr>
                <w:rFonts w:hint="eastAsia"/>
              </w:rPr>
              <w:t>m</w:t>
            </w:r>
          </w:p>
        </w:tc>
        <w:tc>
          <w:tcPr>
            <w:tcW w:w="1422" w:type="dxa"/>
            <w:tcBorders>
              <w:tl2br w:val="nil"/>
              <w:tr2bl w:val="nil"/>
            </w:tcBorders>
            <w:vAlign w:val="center"/>
          </w:tcPr>
          <w:p>
            <w:pPr>
              <w:jc w:val="center"/>
            </w:pPr>
            <w:r>
              <w:rPr>
                <w:rFonts w:hint="eastAsia"/>
              </w:rPr>
              <w:t>548</w:t>
            </w:r>
          </w:p>
        </w:tc>
        <w:tc>
          <w:tcPr>
            <w:tcW w:w="1442" w:type="dxa"/>
            <w:tcBorders>
              <w:tl2br w:val="nil"/>
              <w:tr2bl w:val="nil"/>
            </w:tcBorders>
            <w:vAlign w:val="center"/>
          </w:tcPr>
          <w:p>
            <w:pPr>
              <w:jc w:val="center"/>
            </w:pPr>
            <w:r>
              <w:rPr>
                <w:rFonts w:hint="eastAsia"/>
              </w:rPr>
              <w:t>545</w:t>
            </w:r>
          </w:p>
        </w:tc>
        <w:tc>
          <w:tcPr>
            <w:tcW w:w="1405" w:type="dxa"/>
            <w:tcBorders>
              <w:tl2br w:val="nil"/>
              <w:tr2bl w:val="nil"/>
            </w:tcBorders>
            <w:vAlign w:val="center"/>
          </w:tcPr>
          <w:p>
            <w:pPr>
              <w:jc w:val="center"/>
            </w:pPr>
            <w:r>
              <w:rPr>
                <w:rFonts w:hint="eastAsia"/>
              </w:rPr>
              <w:t>549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181" w:type="dxa"/>
            <w:tcBorders>
              <w:tl2br w:val="nil"/>
              <w:tr2bl w:val="nil"/>
            </w:tcBorders>
            <w:vAlign w:val="center"/>
          </w:tcPr>
          <w:p>
            <w:pPr>
              <w:jc w:val="center"/>
            </w:pPr>
            <w:r>
              <w:rPr>
                <w:rFonts w:hint="eastAsia"/>
              </w:rPr>
              <w:t>准直长度/</w:t>
            </w:r>
            <w:r>
              <w:rPr>
                <w:i/>
                <w:iCs/>
              </w:rPr>
              <w:t>μ</w:t>
            </w:r>
            <w:r>
              <w:rPr>
                <w:rFonts w:hint="eastAsia"/>
              </w:rPr>
              <w:t>m</w:t>
            </w:r>
          </w:p>
        </w:tc>
        <w:tc>
          <w:tcPr>
            <w:tcW w:w="1422" w:type="dxa"/>
            <w:tcBorders>
              <w:tl2br w:val="nil"/>
              <w:tr2bl w:val="nil"/>
            </w:tcBorders>
            <w:vAlign w:val="center"/>
          </w:tcPr>
          <w:p>
            <w:pPr>
              <w:jc w:val="center"/>
            </w:pPr>
            <w:r>
              <w:rPr>
                <w:rFonts w:hint="eastAsia"/>
              </w:rPr>
              <w:t>68</w:t>
            </w:r>
          </w:p>
        </w:tc>
        <w:tc>
          <w:tcPr>
            <w:tcW w:w="1442" w:type="dxa"/>
            <w:tcBorders>
              <w:tl2br w:val="nil"/>
              <w:tr2bl w:val="nil"/>
            </w:tcBorders>
            <w:vAlign w:val="center"/>
          </w:tcPr>
          <w:p>
            <w:pPr>
              <w:jc w:val="center"/>
            </w:pPr>
            <w:r>
              <w:rPr>
                <w:rFonts w:hint="eastAsia"/>
              </w:rPr>
              <w:t>76</w:t>
            </w:r>
          </w:p>
        </w:tc>
        <w:tc>
          <w:tcPr>
            <w:tcW w:w="1405" w:type="dxa"/>
            <w:tcBorders>
              <w:tl2br w:val="nil"/>
              <w:tr2bl w:val="nil"/>
            </w:tcBorders>
            <w:vAlign w:val="center"/>
          </w:tcPr>
          <w:p>
            <w:pPr>
              <w:jc w:val="center"/>
            </w:pPr>
            <w:r>
              <w:rPr>
                <w:rFonts w:hint="eastAsia"/>
              </w:rPr>
              <w:t>80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181" w:type="dxa"/>
            <w:tcBorders>
              <w:tl2br w:val="nil"/>
              <w:tr2bl w:val="nil"/>
            </w:tcBorders>
            <w:vAlign w:val="center"/>
          </w:tcPr>
          <w:p>
            <w:pPr>
              <w:jc w:val="center"/>
            </w:pPr>
            <w:r>
              <w:rPr>
                <w:rFonts w:hint="eastAsia"/>
              </w:rPr>
              <w:t>模场直径/</w:t>
            </w:r>
            <w:r>
              <w:rPr>
                <w:i/>
                <w:iCs/>
              </w:rPr>
              <w:t>μ</w:t>
            </w:r>
            <w:r>
              <w:t>m</w:t>
            </w:r>
          </w:p>
        </w:tc>
        <w:tc>
          <w:tcPr>
            <w:tcW w:w="1422" w:type="dxa"/>
            <w:tcBorders>
              <w:tl2br w:val="nil"/>
              <w:tr2bl w:val="nil"/>
            </w:tcBorders>
            <w:vAlign w:val="center"/>
          </w:tcPr>
          <w:p>
            <w:pPr>
              <w:jc w:val="center"/>
              <w:rPr>
                <w:rFonts w:hint="eastAsia" w:eastAsia="宋体"/>
                <w:lang w:val="en-US" w:eastAsia="zh-CN"/>
              </w:rPr>
            </w:pPr>
            <w:r>
              <w:rPr>
                <w:rFonts w:hint="eastAsia"/>
              </w:rPr>
              <w:t>42.9</w:t>
            </w:r>
            <w:r>
              <w:rPr>
                <w:rFonts w:hint="eastAsia"/>
                <w:lang w:val="en-US" w:eastAsia="zh-CN"/>
              </w:rPr>
              <w:t>0</w:t>
            </w:r>
          </w:p>
        </w:tc>
        <w:tc>
          <w:tcPr>
            <w:tcW w:w="1442" w:type="dxa"/>
            <w:tcBorders>
              <w:tl2br w:val="nil"/>
              <w:tr2bl w:val="nil"/>
            </w:tcBorders>
            <w:vAlign w:val="center"/>
          </w:tcPr>
          <w:p>
            <w:pPr>
              <w:jc w:val="center"/>
            </w:pPr>
            <w:r>
              <w:rPr>
                <w:rFonts w:hint="eastAsia"/>
              </w:rPr>
              <w:t>36.57</w:t>
            </w:r>
          </w:p>
        </w:tc>
        <w:tc>
          <w:tcPr>
            <w:tcW w:w="1405" w:type="dxa"/>
            <w:tcBorders>
              <w:tl2br w:val="nil"/>
              <w:tr2bl w:val="nil"/>
            </w:tcBorders>
            <w:vAlign w:val="center"/>
          </w:tcPr>
          <w:p>
            <w:pPr>
              <w:jc w:val="center"/>
            </w:pPr>
            <w:r>
              <w:rPr>
                <w:rFonts w:hint="eastAsia"/>
              </w:rPr>
              <w:t>35.67</w:t>
            </w:r>
          </w:p>
        </w:tc>
      </w:tr>
    </w:tbl>
    <w:p>
      <w:pPr>
        <w:jc w:val="center"/>
      </w:pPr>
      <w:r>
        <w:drawing>
          <wp:inline distT="0" distB="0" distL="114300" distR="114300">
            <wp:extent cx="2160270" cy="1625600"/>
            <wp:effectExtent l="0" t="0" r="11430" b="12700"/>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21"/>
                    <a:stretch>
                      <a:fillRect/>
                    </a:stretch>
                  </pic:blipFill>
                  <pic:spPr>
                    <a:xfrm>
                      <a:off x="0" y="0"/>
                      <a:ext cx="2160270" cy="1625600"/>
                    </a:xfrm>
                    <a:prstGeom prst="rect">
                      <a:avLst/>
                    </a:prstGeom>
                    <a:noFill/>
                    <a:ln>
                      <a:noFill/>
                    </a:ln>
                  </pic:spPr>
                </pic:pic>
              </a:graphicData>
            </a:graphic>
          </wp:inline>
        </w:drawing>
      </w:r>
      <w:r>
        <w:drawing>
          <wp:inline distT="0" distB="0" distL="114300" distR="114300">
            <wp:extent cx="2160270" cy="1638300"/>
            <wp:effectExtent l="0" t="0" r="11430" b="0"/>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22"/>
                    <a:stretch>
                      <a:fillRect/>
                    </a:stretch>
                  </pic:blipFill>
                  <pic:spPr>
                    <a:xfrm>
                      <a:off x="0" y="0"/>
                      <a:ext cx="2160270" cy="1638300"/>
                    </a:xfrm>
                    <a:prstGeom prst="rect">
                      <a:avLst/>
                    </a:prstGeom>
                    <a:noFill/>
                    <a:ln>
                      <a:noFill/>
                    </a:ln>
                  </pic:spPr>
                </pic:pic>
              </a:graphicData>
            </a:graphic>
          </wp:inline>
        </w:drawing>
      </w:r>
    </w:p>
    <w:p>
      <w:pPr>
        <w:ind w:firstLine="1350" w:firstLineChars="900"/>
        <w:rPr>
          <w:b/>
          <w:sz w:val="15"/>
          <w:szCs w:val="15"/>
        </w:rPr>
      </w:pPr>
      <w:r>
        <w:rPr>
          <w:sz w:val="15"/>
          <w:szCs w:val="16"/>
        </w:rPr>
        <w:t>(a)</w:t>
      </w:r>
      <w:r>
        <w:rPr>
          <w:rFonts w:hint="eastAsia"/>
          <w:sz w:val="15"/>
          <w:szCs w:val="16"/>
        </w:rPr>
        <w:t xml:space="preserve">X轴方向不同器件的出射光场                   </w:t>
      </w:r>
      <w:r>
        <w:rPr>
          <w:sz w:val="15"/>
          <w:szCs w:val="16"/>
        </w:rPr>
        <w:t>(</w:t>
      </w:r>
      <w:r>
        <w:rPr>
          <w:rFonts w:hint="eastAsia"/>
          <w:sz w:val="15"/>
          <w:szCs w:val="16"/>
        </w:rPr>
        <w:t>b</w:t>
      </w:r>
      <w:r>
        <w:rPr>
          <w:sz w:val="15"/>
          <w:szCs w:val="16"/>
        </w:rPr>
        <w:t>)</w:t>
      </w:r>
      <w:r>
        <w:rPr>
          <w:rFonts w:hint="eastAsia"/>
          <w:sz w:val="15"/>
          <w:szCs w:val="16"/>
        </w:rPr>
        <w:t>Y轴方向不同器件的出射光场</w:t>
      </w:r>
    </w:p>
    <w:p>
      <w:pPr>
        <w:ind w:firstLine="301"/>
        <w:jc w:val="center"/>
        <w:rPr>
          <w:b/>
          <w:sz w:val="15"/>
          <w:szCs w:val="15"/>
        </w:rPr>
      </w:pPr>
      <w:r>
        <w:rPr>
          <w:b/>
          <w:sz w:val="15"/>
          <w:szCs w:val="15"/>
        </w:rPr>
        <w:t>图</w:t>
      </w:r>
      <w:r>
        <w:rPr>
          <w:rFonts w:hint="eastAsia"/>
          <w:b/>
          <w:sz w:val="15"/>
          <w:szCs w:val="15"/>
        </w:rPr>
        <w:t>10</w:t>
      </w:r>
      <w:r>
        <w:rPr>
          <w:b/>
          <w:sz w:val="15"/>
          <w:szCs w:val="15"/>
        </w:rPr>
        <w:t xml:space="preserve">  </w:t>
      </w:r>
      <w:r>
        <w:rPr>
          <w:rFonts w:hint="eastAsia"/>
          <w:b/>
          <w:sz w:val="15"/>
          <w:szCs w:val="15"/>
        </w:rPr>
        <w:t>S</w:t>
      </w:r>
      <w:r>
        <w:rPr>
          <w:b/>
          <w:sz w:val="15"/>
          <w:szCs w:val="15"/>
        </w:rPr>
        <w:t>IF</w:t>
      </w:r>
      <w:r>
        <w:rPr>
          <w:rFonts w:hint="eastAsia"/>
          <w:b/>
          <w:sz w:val="15"/>
          <w:szCs w:val="15"/>
        </w:rPr>
        <w:t>准直器的光场直径对比</w:t>
      </w:r>
    </w:p>
    <w:p>
      <w:pPr>
        <w:jc w:val="center"/>
      </w:pPr>
      <w:r>
        <w:drawing>
          <wp:inline distT="0" distB="0" distL="114300" distR="114300">
            <wp:extent cx="2520315" cy="1834515"/>
            <wp:effectExtent l="0" t="0" r="13335" b="13335"/>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pic:cNvPicPr>
                      <a:picLocks noChangeAspect="1"/>
                    </pic:cNvPicPr>
                  </pic:nvPicPr>
                  <pic:blipFill>
                    <a:blip r:embed="rId23"/>
                    <a:stretch>
                      <a:fillRect/>
                    </a:stretch>
                  </pic:blipFill>
                  <pic:spPr>
                    <a:xfrm>
                      <a:off x="0" y="0"/>
                      <a:ext cx="2520315" cy="1834515"/>
                    </a:xfrm>
                    <a:prstGeom prst="rect">
                      <a:avLst/>
                    </a:prstGeom>
                    <a:noFill/>
                    <a:ln>
                      <a:noFill/>
                    </a:ln>
                  </pic:spPr>
                </pic:pic>
              </a:graphicData>
            </a:graphic>
          </wp:inline>
        </w:drawing>
      </w:r>
    </w:p>
    <w:p>
      <w:pPr>
        <w:ind w:firstLine="301"/>
        <w:jc w:val="center"/>
        <w:rPr>
          <w:b/>
          <w:sz w:val="15"/>
          <w:szCs w:val="15"/>
        </w:rPr>
      </w:pPr>
      <w:r>
        <w:rPr>
          <w:b/>
          <w:sz w:val="15"/>
          <w:szCs w:val="15"/>
        </w:rPr>
        <w:t>图</w:t>
      </w:r>
      <w:r>
        <w:rPr>
          <w:rFonts w:hint="eastAsia"/>
          <w:b/>
          <w:sz w:val="15"/>
          <w:szCs w:val="15"/>
        </w:rPr>
        <w:t>11</w:t>
      </w:r>
      <w:r>
        <w:rPr>
          <w:b/>
          <w:sz w:val="15"/>
          <w:szCs w:val="15"/>
        </w:rPr>
        <w:t xml:space="preserve">  </w:t>
      </w:r>
      <w:r>
        <w:rPr>
          <w:rFonts w:hint="eastAsia"/>
          <w:b/>
          <w:sz w:val="15"/>
          <w:szCs w:val="15"/>
        </w:rPr>
        <w:t>S</w:t>
      </w:r>
      <w:r>
        <w:rPr>
          <w:b/>
          <w:sz w:val="15"/>
          <w:szCs w:val="15"/>
        </w:rPr>
        <w:t>IF</w:t>
      </w:r>
      <w:r>
        <w:rPr>
          <w:rFonts w:hint="eastAsia"/>
          <w:b/>
          <w:sz w:val="15"/>
          <w:szCs w:val="15"/>
        </w:rPr>
        <w:t>与模场直径的实验结果对比</w:t>
      </w:r>
    </w:p>
    <w:p>
      <w:pPr>
        <w:spacing w:before="156" w:beforeLines="50" w:after="156" w:afterLines="50"/>
        <w:rPr>
          <w:b/>
          <w:sz w:val="24"/>
          <w:szCs w:val="24"/>
        </w:rPr>
      </w:pPr>
      <w:r>
        <w:rPr>
          <w:rFonts w:hint="eastAsia"/>
          <w:b/>
          <w:sz w:val="24"/>
          <w:szCs w:val="24"/>
        </w:rPr>
        <w:t>3</w:t>
      </w:r>
      <w:r>
        <w:rPr>
          <w:b/>
          <w:sz w:val="24"/>
          <w:szCs w:val="24"/>
        </w:rPr>
        <w:t xml:space="preserve"> 结</w:t>
      </w:r>
      <w:r>
        <w:rPr>
          <w:rFonts w:hint="eastAsia"/>
          <w:b/>
          <w:sz w:val="24"/>
          <w:szCs w:val="24"/>
        </w:rPr>
        <w:t>束</w:t>
      </w:r>
      <w:r>
        <w:rPr>
          <w:b/>
          <w:sz w:val="24"/>
          <w:szCs w:val="24"/>
        </w:rPr>
        <w:t>语</w:t>
      </w:r>
    </w:p>
    <w:p>
      <w:pPr>
        <w:ind w:firstLine="420" w:firstLineChars="200"/>
        <w:rPr>
          <w:szCs w:val="21"/>
        </w:rPr>
      </w:pPr>
      <w:r>
        <w:rPr>
          <w:rFonts w:hint="eastAsia"/>
          <w:szCs w:val="21"/>
        </w:rPr>
        <w:t>本文提出了一种模场直径可调的光纤微准直器的制备方法。理论上，运用光束传播法验证了“三明治”结构的光纤准直器；实验上，制备了S</w:t>
      </w:r>
      <w:r>
        <w:rPr>
          <w:szCs w:val="21"/>
        </w:rPr>
        <w:t>MF</w:t>
      </w:r>
      <w:r>
        <w:rPr>
          <w:rFonts w:hint="eastAsia"/>
          <w:szCs w:val="21"/>
        </w:rPr>
        <w:t>、S</w:t>
      </w:r>
      <w:r>
        <w:rPr>
          <w:szCs w:val="21"/>
        </w:rPr>
        <w:t>IF</w:t>
      </w:r>
      <w:r>
        <w:rPr>
          <w:rFonts w:hint="eastAsia"/>
          <w:szCs w:val="21"/>
        </w:rPr>
        <w:t>与G</w:t>
      </w:r>
      <w:r>
        <w:rPr>
          <w:szCs w:val="21"/>
        </w:rPr>
        <w:t>IF</w:t>
      </w:r>
      <w:r>
        <w:rPr>
          <w:rFonts w:hint="eastAsia"/>
          <w:szCs w:val="21"/>
        </w:rPr>
        <w:t>组合的光纤准直器.通过实验结果验证了不同长度的多模光纤组合可以实现模场直径可调。这种集成式光纤准直器制备方法简单、结构紧凑、成本较低，可根据应用场所调整所用光纤以提供不同的输出光场模场直径并准直。</w:t>
      </w:r>
      <w:r>
        <w:rPr>
          <w:rFonts w:ascii="Segoe UI" w:hAnsi="Segoe UI" w:cs="Segoe UI"/>
          <w:color w:val="1E1F24"/>
          <w:shd w:val="clear" w:color="auto" w:fill="FFFFFF"/>
        </w:rPr>
        <w:t>作为光纤微准直器，该器件的整体尺寸较小、集成度高，可调控不同输出模场直径，且满足多种应用需求，能够实现在保持有效输出面积增大的同时，光束准直，并实现输出模场的直径可控。</w:t>
      </w:r>
    </w:p>
    <w:p>
      <w:pPr>
        <w:rPr>
          <w:b/>
          <w:szCs w:val="21"/>
        </w:rPr>
      </w:pPr>
    </w:p>
    <w:p>
      <w:pPr>
        <w:rPr>
          <w:b/>
          <w:szCs w:val="21"/>
        </w:rPr>
      </w:pPr>
    </w:p>
    <w:p>
      <w:pPr>
        <w:rPr>
          <w:b/>
          <w:szCs w:val="21"/>
        </w:rPr>
      </w:pPr>
      <w:r>
        <w:rPr>
          <w:b/>
          <w:szCs w:val="21"/>
        </w:rPr>
        <w:t>参考文献：</w:t>
      </w:r>
    </w:p>
    <w:p>
      <w:pPr>
        <w:rPr>
          <w:szCs w:val="21"/>
        </w:rPr>
      </w:pPr>
      <w:r>
        <w:rPr>
          <w:szCs w:val="21"/>
        </w:rPr>
        <w:t>[1]</w:t>
      </w:r>
      <w:r>
        <w:rPr>
          <w:rFonts w:hint="eastAsia"/>
          <w:szCs w:val="21"/>
        </w:rPr>
        <w:t xml:space="preserve"> 刘德明，向清，黄德修. 光纤光学[M]. 北京：国防工业出版社，1995.</w:t>
      </w:r>
    </w:p>
    <w:p>
      <w:pPr>
        <w:rPr>
          <w:szCs w:val="21"/>
        </w:rPr>
      </w:pPr>
      <w:r>
        <w:rPr>
          <w:szCs w:val="21"/>
        </w:rPr>
        <w:t>[2]</w:t>
      </w:r>
      <w:r>
        <w:rPr>
          <w:rFonts w:hint="eastAsia"/>
          <w:szCs w:val="21"/>
        </w:rPr>
        <w:t xml:space="preserve"> </w:t>
      </w:r>
      <w:r>
        <w:rPr>
          <w:szCs w:val="21"/>
        </w:rPr>
        <w:t>胡海蕾</w:t>
      </w:r>
      <w:r>
        <w:rPr>
          <w:rFonts w:hint="eastAsia"/>
          <w:szCs w:val="21"/>
        </w:rPr>
        <w:t>，</w:t>
      </w:r>
      <w:r>
        <w:rPr>
          <w:szCs w:val="21"/>
        </w:rPr>
        <w:t>陈荣</w:t>
      </w:r>
      <w:r>
        <w:rPr>
          <w:rFonts w:hint="eastAsia"/>
          <w:szCs w:val="21"/>
        </w:rPr>
        <w:t>，</w:t>
      </w:r>
      <w:r>
        <w:rPr>
          <w:szCs w:val="21"/>
        </w:rPr>
        <w:t>赖爱光</w:t>
      </w:r>
      <w:r>
        <w:rPr>
          <w:rFonts w:hint="eastAsia"/>
          <w:szCs w:val="21"/>
        </w:rPr>
        <w:t>等</w:t>
      </w:r>
      <w:r>
        <w:rPr>
          <w:szCs w:val="21"/>
        </w:rPr>
        <w:t>. C-lens准直特性分析[J]. 福建师范大学学报(自然科学版)</w:t>
      </w:r>
      <w:r>
        <w:rPr>
          <w:rFonts w:hint="eastAsia"/>
          <w:szCs w:val="21"/>
        </w:rPr>
        <w:t>，</w:t>
      </w:r>
      <w:r>
        <w:rPr>
          <w:szCs w:val="21"/>
        </w:rPr>
        <w:t>2005</w:t>
      </w:r>
      <w:r>
        <w:rPr>
          <w:rFonts w:hint="eastAsia"/>
          <w:szCs w:val="21"/>
        </w:rPr>
        <w:t>，</w:t>
      </w:r>
      <w:r>
        <w:rPr>
          <w:szCs w:val="21"/>
        </w:rPr>
        <w:t xml:space="preserve"> (1)</w:t>
      </w:r>
      <w:r>
        <w:rPr>
          <w:rFonts w:hint="eastAsia"/>
          <w:szCs w:val="21"/>
        </w:rPr>
        <w:t>：</w:t>
      </w:r>
      <w:r>
        <w:rPr>
          <w:szCs w:val="21"/>
        </w:rPr>
        <w:t>36-40.</w:t>
      </w:r>
    </w:p>
    <w:p>
      <w:pPr>
        <w:rPr>
          <w:szCs w:val="21"/>
        </w:rPr>
      </w:pPr>
      <w:r>
        <w:rPr>
          <w:szCs w:val="21"/>
        </w:rPr>
        <w:t>[3]</w:t>
      </w:r>
      <w:r>
        <w:rPr>
          <w:rFonts w:hint="eastAsia"/>
          <w:szCs w:val="21"/>
        </w:rPr>
        <w:t xml:space="preserve"> </w:t>
      </w:r>
      <w:r>
        <w:rPr>
          <w:szCs w:val="21"/>
        </w:rPr>
        <w:t>熊华平</w:t>
      </w:r>
      <w:r>
        <w:rPr>
          <w:rFonts w:hint="eastAsia"/>
          <w:szCs w:val="21"/>
        </w:rPr>
        <w:t>，</w:t>
      </w:r>
      <w:r>
        <w:rPr>
          <w:szCs w:val="21"/>
        </w:rPr>
        <w:t>曹明翠. 微型准直透镜的研究与设计[J]. 激光技术</w:t>
      </w:r>
      <w:r>
        <w:rPr>
          <w:rFonts w:hint="eastAsia"/>
          <w:szCs w:val="21"/>
        </w:rPr>
        <w:t>，</w:t>
      </w:r>
      <w:r>
        <w:rPr>
          <w:szCs w:val="21"/>
        </w:rPr>
        <w:t>2003</w:t>
      </w:r>
      <w:r>
        <w:rPr>
          <w:rFonts w:hint="eastAsia"/>
          <w:szCs w:val="21"/>
        </w:rPr>
        <w:t>，</w:t>
      </w:r>
      <w:r>
        <w:rPr>
          <w:szCs w:val="21"/>
        </w:rPr>
        <w:t>(5)</w:t>
      </w:r>
      <w:r>
        <w:rPr>
          <w:rFonts w:hint="eastAsia"/>
          <w:szCs w:val="21"/>
        </w:rPr>
        <w:t>：</w:t>
      </w:r>
      <w:r>
        <w:rPr>
          <w:szCs w:val="21"/>
        </w:rPr>
        <w:t>437-439.</w:t>
      </w:r>
    </w:p>
    <w:p>
      <w:pPr>
        <w:rPr>
          <w:szCs w:val="21"/>
          <w:shd w:val="clear" w:color="auto" w:fill="FFFFFF"/>
        </w:rPr>
      </w:pPr>
      <w:r>
        <w:rPr>
          <w:rFonts w:hint="eastAsia"/>
          <w:szCs w:val="21"/>
          <w:shd w:val="clear" w:color="auto" w:fill="FFFFFF"/>
        </w:rPr>
        <w:t>[4] 刁健，李洪祚，宋涛. 自聚焦透镜准直设计[J]. 仪器仪表用户，2009，16 (3)：83-84.</w:t>
      </w:r>
    </w:p>
    <w:p>
      <w:pPr>
        <w:rPr>
          <w:szCs w:val="21"/>
          <w:shd w:val="clear" w:color="auto" w:fill="FFFFFF"/>
        </w:rPr>
      </w:pPr>
      <w:r>
        <w:rPr>
          <w:rFonts w:hint="eastAsia"/>
          <w:szCs w:val="21"/>
          <w:shd w:val="clear" w:color="auto" w:fill="FFFFFF"/>
        </w:rPr>
        <w:t xml:space="preserve">[5] </w:t>
      </w:r>
      <w:r>
        <w:rPr>
          <w:szCs w:val="21"/>
          <w:shd w:val="clear" w:color="auto" w:fill="FFFFFF"/>
        </w:rPr>
        <w:t>代文</w:t>
      </w:r>
      <w:r>
        <w:rPr>
          <w:rFonts w:hint="eastAsia"/>
          <w:szCs w:val="21"/>
          <w:shd w:val="clear" w:color="auto" w:fill="FFFFFF"/>
        </w:rPr>
        <w:t>，</w:t>
      </w:r>
      <w:r>
        <w:rPr>
          <w:szCs w:val="21"/>
          <w:shd w:val="clear" w:color="auto" w:fill="FFFFFF"/>
        </w:rPr>
        <w:t>杨远洪</w:t>
      </w:r>
      <w:r>
        <w:rPr>
          <w:rFonts w:hint="eastAsia"/>
          <w:szCs w:val="21"/>
          <w:shd w:val="clear" w:color="auto" w:fill="FFFFFF"/>
        </w:rPr>
        <w:t>，</w:t>
      </w:r>
      <w:r>
        <w:rPr>
          <w:szCs w:val="21"/>
          <w:shd w:val="clear" w:color="auto" w:fill="FFFFFF"/>
        </w:rPr>
        <w:t>宋奎岩</w:t>
      </w:r>
      <w:r>
        <w:rPr>
          <w:rFonts w:hint="eastAsia"/>
          <w:szCs w:val="21"/>
          <w:shd w:val="clear" w:color="auto" w:fill="FFFFFF"/>
        </w:rPr>
        <w:t>，等</w:t>
      </w:r>
      <w:r>
        <w:rPr>
          <w:szCs w:val="21"/>
          <w:shd w:val="clear" w:color="auto" w:fill="FFFFFF"/>
        </w:rPr>
        <w:t>.</w:t>
      </w:r>
      <w:r>
        <w:rPr>
          <w:rFonts w:hint="eastAsia"/>
          <w:szCs w:val="21"/>
          <w:shd w:val="clear" w:color="auto" w:fill="FFFFFF"/>
        </w:rPr>
        <w:t xml:space="preserve"> </w:t>
      </w:r>
      <w:r>
        <w:rPr>
          <w:szCs w:val="21"/>
          <w:shd w:val="clear" w:color="auto" w:fill="FFFFFF"/>
        </w:rPr>
        <w:t>基于渐变折射率透镜的低损耗1×N微结构光纤耦合方法[J]. 光学学报</w:t>
      </w:r>
      <w:r>
        <w:rPr>
          <w:rFonts w:hint="eastAsia"/>
          <w:szCs w:val="21"/>
          <w:shd w:val="clear" w:color="auto" w:fill="FFFFFF"/>
        </w:rPr>
        <w:t>，</w:t>
      </w:r>
      <w:r>
        <w:rPr>
          <w:szCs w:val="21"/>
          <w:shd w:val="clear" w:color="auto" w:fill="FFFFFF"/>
        </w:rPr>
        <w:t>2014</w:t>
      </w:r>
      <w:r>
        <w:rPr>
          <w:rFonts w:hint="eastAsia"/>
          <w:szCs w:val="21"/>
          <w:shd w:val="clear" w:color="auto" w:fill="FFFFFF"/>
        </w:rPr>
        <w:t>，</w:t>
      </w:r>
      <w:r>
        <w:rPr>
          <w:szCs w:val="21"/>
          <w:shd w:val="clear" w:color="auto" w:fill="FFFFFF"/>
        </w:rPr>
        <w:t>34 (4)</w:t>
      </w:r>
      <w:r>
        <w:rPr>
          <w:rFonts w:hint="eastAsia"/>
          <w:szCs w:val="21"/>
          <w:shd w:val="clear" w:color="auto" w:fill="FFFFFF"/>
        </w:rPr>
        <w:t>：</w:t>
      </w:r>
      <w:r>
        <w:rPr>
          <w:szCs w:val="21"/>
          <w:shd w:val="clear" w:color="auto" w:fill="FFFFFF"/>
        </w:rPr>
        <w:t>87-92.</w:t>
      </w:r>
    </w:p>
    <w:p>
      <w:pPr>
        <w:rPr>
          <w:szCs w:val="21"/>
          <w:shd w:val="clear" w:color="auto" w:fill="FFFFFF"/>
        </w:rPr>
      </w:pPr>
      <w:r>
        <w:rPr>
          <w:rFonts w:hint="eastAsia"/>
          <w:szCs w:val="21"/>
          <w:shd w:val="clear" w:color="auto" w:fill="FFFFFF"/>
        </w:rPr>
        <w:t>[6] 邢俊红，焦明星，刘芸. 自聚焦透镜在全固态激光器中的应用[J]. 西安理工大学学报， 2015，31 (2)：127-131，124.</w:t>
      </w:r>
    </w:p>
    <w:p>
      <w:pPr>
        <w:rPr>
          <w:szCs w:val="21"/>
          <w:shd w:val="clear" w:color="auto" w:fill="FFFFFF"/>
        </w:rPr>
      </w:pPr>
      <w:r>
        <w:rPr>
          <w:rFonts w:hint="eastAsia"/>
          <w:szCs w:val="21"/>
          <w:shd w:val="clear" w:color="auto" w:fill="FFFFFF"/>
        </w:rPr>
        <w:t>[7] 朱少丽，徐秋霜，刘德森. 自聚焦透镜在光纤准直器中的应用分析[J]. 西南师范大学学报(自然科学版)，2004， (3)：379-382.</w:t>
      </w:r>
    </w:p>
    <w:p>
      <w:pPr>
        <w:rPr>
          <w:szCs w:val="21"/>
          <w:shd w:val="clear" w:color="auto" w:fill="FFFFFF"/>
        </w:rPr>
      </w:pPr>
      <w:r>
        <w:rPr>
          <w:rFonts w:hint="eastAsia"/>
          <w:szCs w:val="21"/>
          <w:shd w:val="clear" w:color="auto" w:fill="FFFFFF"/>
        </w:rPr>
        <w:t>[8] SHEN W,WU X,MENG H, et al. Long distance fiber-optic displacement sensor based on fiber collimator</w:t>
      </w:r>
      <w:r>
        <w:rPr>
          <w:szCs w:val="21"/>
          <w:shd w:val="clear" w:color="auto" w:fill="FFFFFF"/>
        </w:rPr>
        <w:t>[J]</w:t>
      </w:r>
      <w:r>
        <w:rPr>
          <w:rFonts w:hint="eastAsia"/>
          <w:szCs w:val="21"/>
          <w:shd w:val="clear" w:color="auto" w:fill="FFFFFF"/>
        </w:rPr>
        <w:t>. Review of Scientific Instruments, 2010, 81(12)</w:t>
      </w:r>
      <w:r>
        <w:rPr>
          <w:rFonts w:hint="eastAsia"/>
          <w:szCs w:val="21"/>
          <w:shd w:val="clear" w:color="auto" w:fill="FFFFFF"/>
          <w:lang w:val="en-US" w:eastAsia="zh-CN"/>
        </w:rPr>
        <w:t>: 123104</w:t>
      </w:r>
      <w:r>
        <w:rPr>
          <w:rFonts w:hint="eastAsia"/>
          <w:szCs w:val="21"/>
          <w:shd w:val="clear" w:color="auto" w:fill="FFFFFF"/>
        </w:rPr>
        <w:t>.</w:t>
      </w:r>
      <w:commentRangeStart w:id="14"/>
      <w:commentRangeStart w:id="15"/>
      <w:r>
        <w:rPr>
          <w:rStyle w:val="13"/>
        </w:rPr>
        <w:commentReference w:id="14"/>
      </w:r>
      <w:commentRangeEnd w:id="14"/>
      <w:commentRangeEnd w:id="15"/>
      <w:r>
        <w:commentReference w:id="15"/>
      </w:r>
    </w:p>
    <w:p>
      <w:pPr>
        <w:rPr>
          <w:szCs w:val="21"/>
          <w:shd w:val="clear" w:color="auto" w:fill="FFFFFF"/>
        </w:rPr>
      </w:pPr>
      <w:r>
        <w:rPr>
          <w:rFonts w:hint="eastAsia"/>
          <w:szCs w:val="21"/>
          <w:shd w:val="clear" w:color="auto" w:fill="FFFFFF"/>
        </w:rPr>
        <w:t>[9] 李彦,赵远,徐小斌等.基于C-lens的光子带隙光纤准直器传输特性[J]. 北京航空航天大学学报, 2017, 43(8): 1517-1522.</w:t>
      </w:r>
    </w:p>
    <w:p>
      <w:pPr>
        <w:rPr>
          <w:szCs w:val="21"/>
          <w:shd w:val="clear" w:color="auto" w:fill="FFFFFF"/>
        </w:rPr>
      </w:pPr>
      <w:r>
        <w:rPr>
          <w:rFonts w:hint="eastAsia"/>
          <w:szCs w:val="21"/>
          <w:shd w:val="clear" w:color="auto" w:fill="FFFFFF"/>
        </w:rPr>
        <w:t>[10] 王驰,许婷婷,毕书博等. 测量自聚焦光纤透镜聚焦常数的曲线拟合算法[J]. 光学精密工程, 2015, 23(12): 3309-3315.</w:t>
      </w:r>
    </w:p>
    <w:p>
      <w:pPr>
        <w:rPr>
          <w:szCs w:val="21"/>
          <w:shd w:val="clear" w:color="auto" w:fill="FFFFFF"/>
        </w:rPr>
      </w:pPr>
      <w:r>
        <w:rPr>
          <w:rFonts w:hint="eastAsia"/>
          <w:szCs w:val="21"/>
          <w:shd w:val="clear" w:color="auto" w:fill="FFFFFF"/>
        </w:rPr>
        <w:t>[11] 陈晨,徐宏杰,贾明. 保偏光纤模场直径和数值孔径测试研究[J]. 光学仪器, 2017, 39(4): 7-12</w:t>
      </w:r>
    </w:p>
    <w:p>
      <w:pPr>
        <w:rPr>
          <w:szCs w:val="21"/>
          <w:shd w:val="clear" w:color="auto" w:fill="FFFFFF"/>
        </w:rPr>
      </w:pPr>
      <w:r>
        <w:rPr>
          <w:rFonts w:hint="eastAsia"/>
          <w:szCs w:val="21"/>
          <w:shd w:val="clear" w:color="auto" w:fill="FFFFFF"/>
        </w:rPr>
        <w:t>[12] 刘若仙,赵士元,谷一英等. 光纤阵列准直器设计及其发散角测量[J]. 光学精密工程, 2023, 31(1): 89-98.</w:t>
      </w:r>
    </w:p>
    <w:p>
      <w:pPr>
        <w:rPr>
          <w:szCs w:val="21"/>
          <w:shd w:val="clear" w:color="auto" w:fill="FFFFFF"/>
        </w:rPr>
      </w:pPr>
      <w:r>
        <w:rPr>
          <w:rFonts w:hint="eastAsia"/>
          <w:szCs w:val="21"/>
          <w:shd w:val="clear" w:color="auto" w:fill="FFFFFF"/>
        </w:rPr>
        <w:t xml:space="preserve">[13] </w:t>
      </w:r>
      <w:r>
        <w:rPr>
          <w:szCs w:val="21"/>
          <w:shd w:val="clear" w:color="auto" w:fill="FFFFFF"/>
        </w:rPr>
        <w:t>王福娟,蔡志岗,刘娅钊</w:t>
      </w:r>
      <w:r>
        <w:rPr>
          <w:rFonts w:hint="eastAsia"/>
          <w:szCs w:val="21"/>
          <w:shd w:val="clear" w:color="auto" w:fill="FFFFFF"/>
        </w:rPr>
        <w:t>等</w:t>
      </w:r>
      <w:r>
        <w:rPr>
          <w:szCs w:val="21"/>
          <w:shd w:val="clear" w:color="auto" w:fill="FFFFFF"/>
        </w:rPr>
        <w:t>. 扩芯光纤原理及其在光器件耦合中的应用[J].</w:t>
      </w:r>
      <w:r>
        <w:rPr>
          <w:rFonts w:hint="eastAsia"/>
          <w:szCs w:val="21"/>
          <w:shd w:val="clear" w:color="auto" w:fill="FFFFFF"/>
        </w:rPr>
        <w:t xml:space="preserve"> </w:t>
      </w:r>
      <w:r>
        <w:rPr>
          <w:szCs w:val="21"/>
          <w:shd w:val="clear" w:color="auto" w:fill="FFFFFF"/>
        </w:rPr>
        <w:t>光学学报, 2005, (6): 737-742.</w:t>
      </w:r>
    </w:p>
    <w:p>
      <w:pPr>
        <w:rPr>
          <w:szCs w:val="21"/>
          <w:shd w:val="clear" w:color="auto" w:fill="FFFFFF"/>
        </w:rPr>
      </w:pPr>
      <w:r>
        <w:rPr>
          <w:szCs w:val="21"/>
          <w:shd w:val="clear" w:color="auto" w:fill="FFFFFF"/>
        </w:rPr>
        <w:t>[1</w:t>
      </w:r>
      <w:r>
        <w:rPr>
          <w:rFonts w:hint="eastAsia"/>
          <w:szCs w:val="21"/>
          <w:shd w:val="clear" w:color="auto" w:fill="FFFFFF"/>
        </w:rPr>
        <w:t>4</w:t>
      </w:r>
      <w:r>
        <w:rPr>
          <w:szCs w:val="21"/>
          <w:shd w:val="clear" w:color="auto" w:fill="FFFFFF"/>
        </w:rPr>
        <w:t>]</w:t>
      </w:r>
      <w:r>
        <w:rPr>
          <w:rFonts w:hint="eastAsia"/>
          <w:szCs w:val="21"/>
          <w:shd w:val="clear" w:color="auto" w:fill="FFFFFF"/>
        </w:rPr>
        <w:t xml:space="preserve"> </w:t>
      </w:r>
      <w:r>
        <w:rPr>
          <w:szCs w:val="21"/>
          <w:shd w:val="clear" w:color="auto" w:fill="FFFFFF"/>
        </w:rPr>
        <w:t>刘娅钊,王福娟,蔡志岗等.</w:t>
      </w:r>
      <w:r>
        <w:rPr>
          <w:rFonts w:hint="eastAsia"/>
          <w:szCs w:val="21"/>
          <w:shd w:val="clear" w:color="auto" w:fill="FFFFFF"/>
        </w:rPr>
        <w:t xml:space="preserve"> </w:t>
      </w:r>
      <w:r>
        <w:rPr>
          <w:szCs w:val="21"/>
          <w:shd w:val="clear" w:color="auto" w:fill="FFFFFF"/>
        </w:rPr>
        <w:t>两种扩束透镜光纤的研制与模场分析[J].</w:t>
      </w:r>
      <w:r>
        <w:rPr>
          <w:rFonts w:hint="eastAsia"/>
          <w:szCs w:val="21"/>
          <w:shd w:val="clear" w:color="auto" w:fill="FFFFFF"/>
        </w:rPr>
        <w:t xml:space="preserve"> </w:t>
      </w:r>
      <w:r>
        <w:rPr>
          <w:szCs w:val="21"/>
          <w:shd w:val="clear" w:color="auto" w:fill="FFFFFF"/>
        </w:rPr>
        <w:t>中国激光, 2005, (10): 75-79.</w:t>
      </w:r>
    </w:p>
    <w:p>
      <w:pPr>
        <w:rPr>
          <w:b/>
          <w:szCs w:val="21"/>
        </w:rPr>
      </w:pPr>
    </w:p>
    <w:p>
      <w:pPr>
        <w:rPr>
          <w:szCs w:val="21"/>
        </w:rPr>
      </w:pPr>
      <w:r>
        <w:rPr>
          <w:b/>
          <w:szCs w:val="21"/>
        </w:rPr>
        <w:t>基金项目：</w:t>
      </w:r>
      <w:r>
        <w:rPr>
          <w:rFonts w:hint="eastAsia"/>
        </w:rPr>
        <w:t>国家自然基金联合基金重点项目（U23A20373）、桂林电子科技大学研究生教育创新计划</w:t>
      </w:r>
      <w:r>
        <w:rPr>
          <w:rFonts w:hint="eastAsia"/>
          <w:szCs w:val="21"/>
        </w:rPr>
        <w:t>项目</w:t>
      </w:r>
      <w:r>
        <w:t>（</w:t>
      </w:r>
      <w:r>
        <w:rPr>
          <w:rFonts w:hint="eastAsia"/>
        </w:rPr>
        <w:t>2023YCXS248</w:t>
      </w:r>
      <w:r>
        <w:t>）</w:t>
      </w:r>
      <w:r>
        <w:rPr>
          <w:szCs w:val="21"/>
        </w:rPr>
        <w:t>资助。</w:t>
      </w:r>
    </w:p>
    <w:p>
      <w:pPr>
        <w:rPr>
          <w:szCs w:val="21"/>
        </w:rPr>
      </w:pPr>
      <w:commentRangeStart w:id="16"/>
      <w:commentRangeStart w:id="17"/>
      <w:r>
        <w:rPr>
          <w:b/>
          <w:szCs w:val="21"/>
        </w:rPr>
        <w:t>作者简介：</w:t>
      </w:r>
      <w:commentRangeEnd w:id="16"/>
      <w:r>
        <w:rPr>
          <w:rStyle w:val="13"/>
        </w:rPr>
        <w:commentReference w:id="16"/>
      </w:r>
      <w:commentRangeEnd w:id="17"/>
      <w:r>
        <w:commentReference w:id="17"/>
      </w:r>
      <w:r>
        <w:rPr>
          <w:rFonts w:hint="eastAsia"/>
          <w:szCs w:val="21"/>
        </w:rPr>
        <w:t>陈书玉</w:t>
      </w:r>
      <w:r>
        <w:rPr>
          <w:szCs w:val="21"/>
        </w:rPr>
        <w:t>（199</w:t>
      </w:r>
      <w:r>
        <w:rPr>
          <w:rFonts w:hint="eastAsia"/>
          <w:szCs w:val="21"/>
        </w:rPr>
        <w:t>9—</w:t>
      </w:r>
      <w:r>
        <w:rPr>
          <w:szCs w:val="21"/>
        </w:rPr>
        <w:t>），女，硕士</w:t>
      </w:r>
      <w:r>
        <w:rPr>
          <w:rFonts w:hint="eastAsia"/>
          <w:szCs w:val="21"/>
        </w:rPr>
        <w:t>研究</w:t>
      </w:r>
      <w:r>
        <w:rPr>
          <w:szCs w:val="21"/>
        </w:rPr>
        <w:t>生，现就读于</w:t>
      </w:r>
      <w:r>
        <w:rPr>
          <w:rFonts w:hint="eastAsia"/>
          <w:szCs w:val="21"/>
        </w:rPr>
        <w:t>桂林电子科技大学海洋工程学院机械专业。</w:t>
      </w:r>
      <w:r>
        <w:rPr>
          <w:rFonts w:hint="eastAsia"/>
          <w:szCs w:val="21"/>
          <w:lang w:val="en-US" w:eastAsia="zh-CN"/>
        </w:rPr>
        <w:t>参与了基于微结构光纤的集成器件研究、新型传感光纤与器件技术开发及产业化应用项目，</w:t>
      </w:r>
      <w:r>
        <w:rPr>
          <w:szCs w:val="21"/>
        </w:rPr>
        <w:t>主要从事</w:t>
      </w:r>
      <w:r>
        <w:rPr>
          <w:rFonts w:hint="eastAsia"/>
          <w:szCs w:val="21"/>
        </w:rPr>
        <w:t>光电及光纤集成器件</w:t>
      </w:r>
      <w:r>
        <w:rPr>
          <w:szCs w:val="21"/>
        </w:rPr>
        <w:t>的</w:t>
      </w:r>
      <w:r>
        <w:rPr>
          <w:rFonts w:hint="eastAsia"/>
          <w:szCs w:val="21"/>
        </w:rPr>
        <w:t>制作及测试</w:t>
      </w:r>
      <w:r>
        <w:rPr>
          <w:rFonts w:hint="eastAsia"/>
          <w:szCs w:val="21"/>
          <w:lang w:eastAsia="zh-CN"/>
        </w:rPr>
        <w:t>，</w:t>
      </w:r>
      <w:r>
        <w:rPr>
          <w:rFonts w:hint="eastAsia"/>
          <w:szCs w:val="21"/>
        </w:rPr>
        <w:t>主要研究方向为光纤集成器件</w:t>
      </w:r>
      <w:r>
        <w:rPr>
          <w:szCs w:val="21"/>
        </w:rPr>
        <w:t>。</w:t>
      </w:r>
    </w:p>
    <w:p>
      <w:r>
        <w:rPr>
          <w:rFonts w:hint="eastAsia"/>
        </w:rPr>
        <w:drawing>
          <wp:inline distT="0" distB="0" distL="114300" distR="114300">
            <wp:extent cx="925830" cy="1296035"/>
            <wp:effectExtent l="0" t="0" r="7620" b="18415"/>
            <wp:docPr id="5" name="图片 4" descr="简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简历"/>
                    <pic:cNvPicPr>
                      <a:picLocks noChangeAspect="1"/>
                    </pic:cNvPicPr>
                  </pic:nvPicPr>
                  <pic:blipFill>
                    <a:blip r:embed="rId24"/>
                    <a:stretch>
                      <a:fillRect/>
                    </a:stretch>
                  </pic:blipFill>
                  <pic:spPr>
                    <a:xfrm>
                      <a:off x="0" y="0"/>
                      <a:ext cx="925830" cy="1296035"/>
                    </a:xfrm>
                    <a:prstGeom prst="rect">
                      <a:avLst/>
                    </a:prstGeom>
                    <a:noFill/>
                    <a:ln>
                      <a:noFill/>
                    </a:ln>
                  </pic:spPr>
                </pic:pic>
              </a:graphicData>
            </a:graphic>
          </wp:inline>
        </w:drawing>
      </w:r>
    </w:p>
    <w:p>
      <w:pPr>
        <w:rPr>
          <w:szCs w:val="21"/>
        </w:rPr>
      </w:pPr>
      <w:r>
        <w:rPr>
          <w:rFonts w:hint="eastAsia"/>
          <w:szCs w:val="21"/>
        </w:rPr>
        <w:t>*</w:t>
      </w:r>
      <w:r>
        <w:rPr>
          <w:rFonts w:hint="eastAsia"/>
          <w:b/>
          <w:szCs w:val="21"/>
        </w:rPr>
        <w:t>通信</w:t>
      </w:r>
      <w:r>
        <w:rPr>
          <w:b/>
          <w:szCs w:val="21"/>
        </w:rPr>
        <w:t>作者</w:t>
      </w:r>
      <w:r>
        <w:rPr>
          <w:szCs w:val="21"/>
        </w:rPr>
        <w:t>：</w:t>
      </w:r>
      <w:r>
        <w:rPr>
          <w:rFonts w:hint="eastAsia"/>
          <w:szCs w:val="21"/>
        </w:rPr>
        <w:t>汪杰君（1974—），男，博士，桂林电子科技大学副教授，主要研究方向为光电测试、计算机辅助测试；苑立波（1962—），男，博士，桂林电子科技大学教授，主要研究方向为特种光纤及器件的设计、制作与应用。</w:t>
      </w:r>
    </w:p>
    <w:p>
      <w:pPr>
        <w:rPr>
          <w:b/>
          <w:szCs w:val="21"/>
        </w:rPr>
      </w:pPr>
    </w:p>
    <w:sectPr>
      <w:pgSz w:w="11906" w:h="16838"/>
      <w:pgMar w:top="1440" w:right="1800" w:bottom="1440" w:left="1800" w:header="851" w:footer="992" w:gutter="0"/>
      <w:cols w:space="425"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 w:date="2024-06-05T10:41:00Z" w:initials="a">
    <w:p w14:paraId="7C8E08DD">
      <w:pPr>
        <w:pStyle w:val="2"/>
        <w:rPr>
          <w:rFonts w:hint="eastAsia"/>
        </w:rPr>
      </w:pPr>
      <w:r>
        <w:rPr>
          <w:rFonts w:hint="eastAsia"/>
        </w:rPr>
        <w:t>文字</w:t>
      </w:r>
      <w:r>
        <w:t>的描述顺序与图</w:t>
      </w:r>
      <w:r>
        <w:rPr>
          <w:rFonts w:hint="eastAsia"/>
        </w:rPr>
        <w:t>3中</w:t>
      </w:r>
      <w:r>
        <w:t>的箭头对应不上？有</w:t>
      </w:r>
      <w:r>
        <w:rPr>
          <w:rFonts w:hint="eastAsia"/>
        </w:rPr>
        <w:t>点</w:t>
      </w:r>
      <w:r>
        <w:t>混乱，请重新整理</w:t>
      </w:r>
      <w:r>
        <w:rPr>
          <w:rFonts w:hint="eastAsia"/>
        </w:rPr>
        <w:t>并</w:t>
      </w:r>
      <w:r>
        <w:t>描述</w:t>
      </w:r>
      <w:r>
        <w:rPr>
          <w:rFonts w:hint="eastAsia"/>
        </w:rPr>
        <w:t>详细</w:t>
      </w:r>
      <w:r>
        <w:t>，并图文对应。</w:t>
      </w:r>
    </w:p>
  </w:comment>
  <w:comment w:id="1" w:author="XUCHENRUI" w:date="2024-06-22T10:50:08Z" w:initials="">
    <w:p w14:paraId="08EA3A20">
      <w:pPr>
        <w:pStyle w:val="2"/>
        <w:rPr>
          <w:rFonts w:hint="default" w:eastAsia="宋体"/>
          <w:lang w:val="en-US" w:eastAsia="zh-CN"/>
        </w:rPr>
      </w:pPr>
      <w:r>
        <w:rPr>
          <w:rFonts w:hint="eastAsia"/>
          <w:lang w:val="en-US" w:eastAsia="zh-CN"/>
        </w:rPr>
        <w:t>已修改描述</w:t>
      </w:r>
    </w:p>
  </w:comment>
  <w:comment w:id="2" w:author="admin" w:date="2024-06-05T11:09:00Z" w:initials="a">
    <w:p w14:paraId="349C51BE">
      <w:pPr>
        <w:pStyle w:val="2"/>
        <w:rPr>
          <w:rFonts w:hint="eastAsia"/>
        </w:rPr>
      </w:pPr>
      <w:r>
        <w:rPr>
          <w:rFonts w:hint="eastAsia"/>
        </w:rPr>
        <w:t>建议</w:t>
      </w:r>
      <w:r>
        <w:t>补充图</w:t>
      </w:r>
      <w:r>
        <w:rPr>
          <w:rFonts w:hint="eastAsia"/>
        </w:rPr>
        <w:t>4说明</w:t>
      </w:r>
      <w:r>
        <w:t>。</w:t>
      </w:r>
      <w:r>
        <w:rPr>
          <w:rFonts w:hint="eastAsia"/>
        </w:rPr>
        <w:t>4张</w:t>
      </w:r>
      <w:r>
        <w:t>图差</w:t>
      </w:r>
      <w:r>
        <w:rPr>
          <w:rFonts w:hint="eastAsia"/>
        </w:rPr>
        <w:t>别</w:t>
      </w:r>
      <w:r>
        <w:t>不大，怎么看出最</w:t>
      </w:r>
      <w:r>
        <w:rPr>
          <w:rFonts w:hint="eastAsia"/>
        </w:rPr>
        <w:t>优</w:t>
      </w:r>
      <w:r>
        <w:t>效果？</w:t>
      </w:r>
    </w:p>
  </w:comment>
  <w:comment w:id="3" w:author="XUCHENRUI" w:date="2024-06-22T15:49:45Z" w:initials="">
    <w:p w14:paraId="14807D28">
      <w:pPr>
        <w:pStyle w:val="2"/>
        <w:rPr>
          <w:rFonts w:hint="default" w:eastAsia="宋体"/>
          <w:lang w:val="en-US" w:eastAsia="zh-CN"/>
        </w:rPr>
      </w:pPr>
      <w:r>
        <w:rPr>
          <w:rFonts w:hint="eastAsia"/>
          <w:lang w:val="en-US" w:eastAsia="zh-CN"/>
        </w:rPr>
        <w:t>已补充在文中</w:t>
      </w:r>
    </w:p>
  </w:comment>
  <w:comment w:id="4" w:author="admin" w:date="2024-06-05T11:20:00Z" w:initials="a">
    <w:p w14:paraId="69E06E32">
      <w:pPr>
        <w:pStyle w:val="2"/>
        <w:rPr>
          <w:rFonts w:hint="eastAsia"/>
        </w:rPr>
      </w:pPr>
      <w:r>
        <w:rPr>
          <w:rFonts w:hint="eastAsia"/>
        </w:rPr>
        <w:t>前</w:t>
      </w:r>
      <w:r>
        <w:t>面</w:t>
      </w:r>
      <w:r>
        <w:rPr>
          <w:rFonts w:hint="eastAsia"/>
        </w:rPr>
        <w:t>是</w:t>
      </w:r>
      <w:r>
        <w:t>采用定长度</w:t>
      </w:r>
      <w:r>
        <w:rPr>
          <w:rFonts w:hint="eastAsia"/>
        </w:rPr>
        <w:t>切割</w:t>
      </w:r>
      <w:r>
        <w:t>法切割</w:t>
      </w:r>
      <w:r>
        <w:rPr>
          <w:rFonts w:hint="eastAsia"/>
        </w:rPr>
        <w:t>GIF，</w:t>
      </w:r>
      <w:r>
        <w:t>但这里又是</w:t>
      </w:r>
      <w:r>
        <w:rPr>
          <w:rFonts w:hint="eastAsia"/>
        </w:rPr>
        <w:t>SFI？所</w:t>
      </w:r>
      <w:r>
        <w:t>以图</w:t>
      </w:r>
      <w:r>
        <w:rPr>
          <w:rFonts w:hint="eastAsia"/>
        </w:rPr>
        <w:t>7到</w:t>
      </w:r>
      <w:r>
        <w:t>底是切割什么光纤的显微图？？需图文对应。</w:t>
      </w:r>
    </w:p>
  </w:comment>
  <w:comment w:id="5" w:author="XUCHENRUI" w:date="2024-06-22T10:26:35Z" w:initials="">
    <w:p w14:paraId="51F864B8">
      <w:pPr>
        <w:pStyle w:val="2"/>
        <w:rPr>
          <w:rFonts w:hint="eastAsia" w:eastAsia="宋体"/>
          <w:lang w:val="en-US" w:eastAsia="zh-CN"/>
        </w:rPr>
      </w:pPr>
      <w:r>
        <w:rPr>
          <w:rFonts w:hint="eastAsia"/>
          <w:lang w:val="en-US" w:eastAsia="zh-CN"/>
        </w:rPr>
        <w:t>此处为定长度切割两次，两次切割后完成器件的制备，已修改。</w:t>
      </w:r>
    </w:p>
  </w:comment>
  <w:comment w:id="6" w:author="admin" w:date="2024-06-05T11:24:00Z" w:initials="a">
    <w:p w14:paraId="529C3A94">
      <w:pPr>
        <w:pStyle w:val="2"/>
        <w:rPr>
          <w:rFonts w:hint="eastAsia"/>
        </w:rPr>
      </w:pPr>
      <w:r>
        <w:rPr>
          <w:rFonts w:hint="eastAsia"/>
        </w:rPr>
        <w:t>需</w:t>
      </w:r>
      <w:r>
        <w:t>补充对图</w:t>
      </w:r>
      <w:r>
        <w:rPr>
          <w:rFonts w:hint="eastAsia"/>
        </w:rPr>
        <w:t>8的</w:t>
      </w:r>
      <w:r>
        <w:t>说明。</w:t>
      </w:r>
      <w:r>
        <w:rPr>
          <w:rFonts w:hint="eastAsia"/>
        </w:rPr>
        <w:t>从</w:t>
      </w:r>
      <w:r>
        <w:t>图</w:t>
      </w:r>
      <w:r>
        <w:rPr>
          <w:rFonts w:hint="eastAsia"/>
        </w:rPr>
        <w:t>8可</w:t>
      </w:r>
      <w:r>
        <w:t>以看</w:t>
      </w:r>
      <w:r>
        <w:rPr>
          <w:rFonts w:hint="eastAsia"/>
        </w:rPr>
        <w:t>出</w:t>
      </w:r>
      <w:r>
        <w:t>什么？</w:t>
      </w:r>
      <w:r>
        <w:rPr>
          <w:rFonts w:hint="eastAsia"/>
        </w:rPr>
        <w:t xml:space="preserve"> </w:t>
      </w:r>
    </w:p>
  </w:comment>
  <w:comment w:id="7" w:author="XUCHENRUI" w:date="2024-06-22T15:02:00Z" w:initials="">
    <w:p w14:paraId="35352C1E">
      <w:pPr>
        <w:pStyle w:val="2"/>
        <w:rPr>
          <w:rFonts w:hint="default" w:eastAsia="宋体"/>
          <w:lang w:val="en-US" w:eastAsia="zh-CN"/>
        </w:rPr>
      </w:pPr>
      <w:r>
        <w:rPr>
          <w:rFonts w:hint="eastAsia"/>
          <w:lang w:val="en-US" w:eastAsia="zh-CN"/>
        </w:rPr>
        <w:t>谢谢编辑老师，图8是实验所用光纤结构及折射率分布，仅陈述光纤参数用，故不做另外说明。</w:t>
      </w:r>
    </w:p>
  </w:comment>
  <w:comment w:id="8" w:author="admin" w:date="2024-06-05T11:33:00Z" w:initials="a">
    <w:p w14:paraId="6A6529CC">
      <w:pPr>
        <w:pStyle w:val="2"/>
        <w:rPr>
          <w:rFonts w:hint="eastAsia"/>
        </w:rPr>
      </w:pPr>
      <w:r>
        <w:rPr>
          <w:rFonts w:hint="eastAsia"/>
        </w:rPr>
        <w:t>图8b和d缺少</w:t>
      </w:r>
      <w:r>
        <w:t>纵坐标名称及单位，另外</w:t>
      </w:r>
      <w:r>
        <w:rPr>
          <w:rFonts w:hint="eastAsia"/>
        </w:rPr>
        <w:t>右</w:t>
      </w:r>
      <w:r>
        <w:t>边</w:t>
      </w:r>
      <w:r>
        <w:rPr>
          <w:rFonts w:hint="eastAsia"/>
        </w:rPr>
        <w:t>表示什么</w:t>
      </w:r>
      <w:r>
        <w:t>？也需补充名称及单位。</w:t>
      </w:r>
    </w:p>
  </w:comment>
  <w:comment w:id="9" w:author="XUCHENRUI" w:date="2024-06-22T10:13:20Z" w:initials="">
    <w:p w14:paraId="441823AB">
      <w:pPr>
        <w:pStyle w:val="2"/>
        <w:rPr>
          <w:rFonts w:hint="default" w:eastAsia="宋体"/>
          <w:lang w:val="en-US" w:eastAsia="zh-CN"/>
        </w:rPr>
      </w:pPr>
      <w:r>
        <w:rPr>
          <w:rFonts w:hint="eastAsia"/>
          <w:lang w:val="en-US" w:eastAsia="zh-CN"/>
        </w:rPr>
        <w:t>已修改补充</w:t>
      </w:r>
    </w:p>
  </w:comment>
  <w:comment w:id="10" w:author="admin" w:date="2024-06-05T14:26:00Z" w:initials="a">
    <w:p w14:paraId="00CA05C7">
      <w:pPr>
        <w:pStyle w:val="2"/>
        <w:rPr>
          <w:rFonts w:hint="eastAsia"/>
        </w:rPr>
      </w:pPr>
      <w:r>
        <w:rPr>
          <w:rFonts w:hint="eastAsia"/>
        </w:rPr>
        <w:t>应</w:t>
      </w:r>
      <w:r>
        <w:t>补充</w:t>
      </w:r>
      <w:r>
        <w:rPr>
          <w:rFonts w:hint="eastAsia"/>
        </w:rPr>
        <w:t>对</w:t>
      </w:r>
      <w:r>
        <w:t>图</w:t>
      </w:r>
      <w:r>
        <w:rPr>
          <w:rFonts w:hint="eastAsia"/>
        </w:rPr>
        <w:t>10的</w:t>
      </w:r>
      <w:r>
        <w:t>说明，图</w:t>
      </w:r>
      <w:r>
        <w:rPr>
          <w:rFonts w:hint="eastAsia"/>
        </w:rPr>
        <w:t>中</w:t>
      </w:r>
      <w:r>
        <w:t>的器件</w:t>
      </w:r>
      <w:r>
        <w:rPr>
          <w:rFonts w:hint="eastAsia"/>
        </w:rPr>
        <w:t>123分别</w:t>
      </w:r>
      <w:r>
        <w:t>表示什么？从</w:t>
      </w:r>
      <w:r>
        <w:rPr>
          <w:rFonts w:hint="eastAsia"/>
        </w:rPr>
        <w:t>曲</w:t>
      </w:r>
      <w:r>
        <w:t>线可以看出什</w:t>
      </w:r>
      <w:r>
        <w:rPr>
          <w:rFonts w:hint="eastAsia"/>
        </w:rPr>
        <w:t>么</w:t>
      </w:r>
      <w:r>
        <w:t>？</w:t>
      </w:r>
    </w:p>
  </w:comment>
  <w:comment w:id="11" w:author="XUCHENRUI" w:date="2024-06-22T11:11:04Z" w:initials="">
    <w:p w14:paraId="3A4614C1">
      <w:pPr>
        <w:pStyle w:val="2"/>
        <w:rPr>
          <w:rFonts w:hint="default" w:eastAsia="宋体"/>
          <w:lang w:val="en-US" w:eastAsia="zh-CN"/>
        </w:rPr>
      </w:pPr>
      <w:r>
        <w:rPr>
          <w:rFonts w:hint="eastAsia"/>
          <w:lang w:val="en-US" w:eastAsia="zh-CN"/>
        </w:rPr>
        <w:t>已在文中后续补充</w:t>
      </w:r>
    </w:p>
  </w:comment>
  <w:comment w:id="12" w:author="admin" w:date="2024-06-05T14:18:00Z" w:initials="a">
    <w:p w14:paraId="1B361424">
      <w:pPr>
        <w:pStyle w:val="2"/>
      </w:pPr>
      <w:r>
        <w:rPr>
          <w:rFonts w:hint="eastAsia"/>
        </w:rPr>
        <w:t>图9右边表示的是什么？请提供名称和单位</w:t>
      </w:r>
    </w:p>
  </w:comment>
  <w:comment w:id="13" w:author="XUCHENRUI" w:date="2024-06-22T10:25:39Z" w:initials="">
    <w:p w14:paraId="1A2C2C2E">
      <w:pPr>
        <w:pStyle w:val="2"/>
        <w:rPr>
          <w:rFonts w:hint="eastAsia" w:eastAsia="宋体"/>
          <w:lang w:val="en-US" w:eastAsia="zh-CN"/>
        </w:rPr>
      </w:pPr>
      <w:r>
        <w:rPr>
          <w:rFonts w:hint="eastAsia"/>
          <w:lang w:val="en-US" w:eastAsia="zh-CN"/>
        </w:rPr>
        <w:t>已修改补充</w:t>
      </w:r>
    </w:p>
  </w:comment>
  <w:comment w:id="14" w:author="admin" w:date="2024-06-05T14:32:00Z" w:initials="a">
    <w:p w14:paraId="2E187330">
      <w:pPr>
        <w:pStyle w:val="2"/>
        <w:rPr>
          <w:rFonts w:hint="eastAsia"/>
        </w:rPr>
      </w:pPr>
      <w:r>
        <w:rPr>
          <w:rFonts w:hint="eastAsia"/>
        </w:rPr>
        <w:t>请</w:t>
      </w:r>
      <w:r>
        <w:t>给出文献</w:t>
      </w:r>
      <w:r>
        <w:rPr>
          <w:rFonts w:hint="eastAsia"/>
        </w:rPr>
        <w:t>8的</w:t>
      </w:r>
      <w:r>
        <w:t>页码范围。</w:t>
      </w:r>
    </w:p>
  </w:comment>
  <w:comment w:id="15" w:author="XUCHENRUI" w:date="2024-06-21T12:46:55Z" w:initials="">
    <w:p w14:paraId="4F415EB8">
      <w:pPr>
        <w:pStyle w:val="2"/>
        <w:rPr>
          <w:rFonts w:hint="eastAsia" w:eastAsia="宋体"/>
          <w:lang w:val="en-US" w:eastAsia="zh-CN"/>
        </w:rPr>
      </w:pPr>
      <w:r>
        <w:rPr>
          <w:rFonts w:hint="eastAsia"/>
          <w:lang w:val="en-US" w:eastAsia="zh-CN"/>
        </w:rPr>
        <w:t>已补充</w:t>
      </w:r>
    </w:p>
  </w:comment>
  <w:comment w:id="16" w:author="admin" w:date="2024-06-05T14:33:00Z" w:initials="a">
    <w:p w14:paraId="71404315">
      <w:pPr>
        <w:pStyle w:val="2"/>
        <w:rPr>
          <w:rFonts w:hint="eastAsia"/>
        </w:rPr>
      </w:pPr>
      <w:r>
        <w:rPr>
          <w:rFonts w:hint="eastAsia"/>
        </w:rPr>
        <w:t>请</w:t>
      </w:r>
      <w:r>
        <w:t>补充作者简介内容，比如参与了什么项目或获得过什么奖项等，字数在</w:t>
      </w:r>
      <w:r>
        <w:rPr>
          <w:rFonts w:hint="eastAsia"/>
        </w:rPr>
        <w:t>90-120字</w:t>
      </w:r>
      <w:r>
        <w:t>之前。</w:t>
      </w:r>
    </w:p>
  </w:comment>
  <w:comment w:id="17" w:author="XUCHENRUI" w:date="2024-06-21T12:46:43Z" w:initials="">
    <w:p w14:paraId="458B7BF9">
      <w:pPr>
        <w:pStyle w:val="2"/>
        <w:rPr>
          <w:rFonts w:hint="eastAsia" w:eastAsia="宋体"/>
          <w:lang w:val="en-US" w:eastAsia="zh-CN"/>
        </w:rPr>
      </w:pPr>
      <w:r>
        <w:rPr>
          <w:rFonts w:hint="eastAsia"/>
          <w:lang w:val="en-US" w:eastAsia="zh-CN"/>
        </w:rPr>
        <w:t>已补充</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C8E08DD" w15:done="0"/>
  <w15:commentEx w15:paraId="08EA3A20" w15:done="0" w15:paraIdParent="7C8E08DD"/>
  <w15:commentEx w15:paraId="349C51BE" w15:done="0"/>
  <w15:commentEx w15:paraId="14807D28" w15:done="0" w15:paraIdParent="349C51BE"/>
  <w15:commentEx w15:paraId="69E06E32" w15:done="0"/>
  <w15:commentEx w15:paraId="51F864B8" w15:done="0" w15:paraIdParent="69E06E32"/>
  <w15:commentEx w15:paraId="529C3A94" w15:done="0"/>
  <w15:commentEx w15:paraId="35352C1E" w15:done="0" w15:paraIdParent="529C3A94"/>
  <w15:commentEx w15:paraId="6A6529CC" w15:done="0"/>
  <w15:commentEx w15:paraId="441823AB" w15:done="0" w15:paraIdParent="6A6529CC"/>
  <w15:commentEx w15:paraId="00CA05C7" w15:done="0"/>
  <w15:commentEx w15:paraId="3A4614C1" w15:done="0" w15:paraIdParent="00CA05C7"/>
  <w15:commentEx w15:paraId="1B361424" w15:done="0"/>
  <w15:commentEx w15:paraId="1A2C2C2E" w15:done="0" w15:paraIdParent="1B361424"/>
  <w15:commentEx w15:paraId="2E187330" w15:done="0"/>
  <w15:commentEx w15:paraId="4F415EB8" w15:done="0" w15:paraIdParent="2E187330"/>
  <w15:commentEx w15:paraId="71404315" w15:done="0"/>
  <w15:commentEx w15:paraId="458B7BF9" w15:done="0" w15:paraIdParent="71404315"/>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XUCHENRUI">
    <w15:presenceInfo w15:providerId="WPS Office" w15:userId="14878264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ZlN2VmMzJkMjM3NzEyYTliOTAzZmM1MDc3MDdkYTQifQ=="/>
  </w:docVars>
  <w:rsids>
    <w:rsidRoot w:val="008F329A"/>
    <w:rsid w:val="00014CD3"/>
    <w:rsid w:val="000243AA"/>
    <w:rsid w:val="00030833"/>
    <w:rsid w:val="00037DF2"/>
    <w:rsid w:val="00045035"/>
    <w:rsid w:val="000458A9"/>
    <w:rsid w:val="00052D74"/>
    <w:rsid w:val="00061BCC"/>
    <w:rsid w:val="000625F9"/>
    <w:rsid w:val="00072CCB"/>
    <w:rsid w:val="00080DF1"/>
    <w:rsid w:val="00085592"/>
    <w:rsid w:val="000941C6"/>
    <w:rsid w:val="000D462F"/>
    <w:rsid w:val="000E6AF8"/>
    <w:rsid w:val="000F114B"/>
    <w:rsid w:val="000F7C33"/>
    <w:rsid w:val="000F7C7C"/>
    <w:rsid w:val="001015D9"/>
    <w:rsid w:val="001343E9"/>
    <w:rsid w:val="00135BD7"/>
    <w:rsid w:val="00135F8D"/>
    <w:rsid w:val="00141CCE"/>
    <w:rsid w:val="00146C8E"/>
    <w:rsid w:val="0014790E"/>
    <w:rsid w:val="001562A4"/>
    <w:rsid w:val="001664A3"/>
    <w:rsid w:val="001775AF"/>
    <w:rsid w:val="00182C48"/>
    <w:rsid w:val="001864E1"/>
    <w:rsid w:val="00186E1C"/>
    <w:rsid w:val="001875FC"/>
    <w:rsid w:val="00197193"/>
    <w:rsid w:val="00197BD7"/>
    <w:rsid w:val="001A2626"/>
    <w:rsid w:val="001B174F"/>
    <w:rsid w:val="001D429A"/>
    <w:rsid w:val="001F5A3F"/>
    <w:rsid w:val="00202D03"/>
    <w:rsid w:val="0021250A"/>
    <w:rsid w:val="00215A5F"/>
    <w:rsid w:val="00232F6E"/>
    <w:rsid w:val="002504C4"/>
    <w:rsid w:val="00251E18"/>
    <w:rsid w:val="00255698"/>
    <w:rsid w:val="00274529"/>
    <w:rsid w:val="00276481"/>
    <w:rsid w:val="00297639"/>
    <w:rsid w:val="002B675B"/>
    <w:rsid w:val="002C02CE"/>
    <w:rsid w:val="002C40AC"/>
    <w:rsid w:val="002D15C7"/>
    <w:rsid w:val="002E73D7"/>
    <w:rsid w:val="00312337"/>
    <w:rsid w:val="003278C4"/>
    <w:rsid w:val="003540A2"/>
    <w:rsid w:val="003710D3"/>
    <w:rsid w:val="00375C88"/>
    <w:rsid w:val="00385940"/>
    <w:rsid w:val="00386928"/>
    <w:rsid w:val="003B4E2D"/>
    <w:rsid w:val="003B61A3"/>
    <w:rsid w:val="003C0571"/>
    <w:rsid w:val="003C23AC"/>
    <w:rsid w:val="003C3C56"/>
    <w:rsid w:val="003C7469"/>
    <w:rsid w:val="003D2DC7"/>
    <w:rsid w:val="003E12B2"/>
    <w:rsid w:val="003E6DB0"/>
    <w:rsid w:val="003F6019"/>
    <w:rsid w:val="00400230"/>
    <w:rsid w:val="00401201"/>
    <w:rsid w:val="00401F62"/>
    <w:rsid w:val="00414FF6"/>
    <w:rsid w:val="00421FE7"/>
    <w:rsid w:val="00425B7A"/>
    <w:rsid w:val="00425F0A"/>
    <w:rsid w:val="004333AB"/>
    <w:rsid w:val="0043403A"/>
    <w:rsid w:val="00447727"/>
    <w:rsid w:val="0045082D"/>
    <w:rsid w:val="00476E03"/>
    <w:rsid w:val="0048355A"/>
    <w:rsid w:val="0049525D"/>
    <w:rsid w:val="004A01BD"/>
    <w:rsid w:val="004A2781"/>
    <w:rsid w:val="004B2503"/>
    <w:rsid w:val="004B77DD"/>
    <w:rsid w:val="004C44F7"/>
    <w:rsid w:val="004D279B"/>
    <w:rsid w:val="004E1905"/>
    <w:rsid w:val="004E478B"/>
    <w:rsid w:val="004E6D37"/>
    <w:rsid w:val="004F06E4"/>
    <w:rsid w:val="00507BB7"/>
    <w:rsid w:val="00514B57"/>
    <w:rsid w:val="00532DFA"/>
    <w:rsid w:val="00540410"/>
    <w:rsid w:val="0055586C"/>
    <w:rsid w:val="0055734B"/>
    <w:rsid w:val="005618DC"/>
    <w:rsid w:val="005664DB"/>
    <w:rsid w:val="00594B22"/>
    <w:rsid w:val="00595B35"/>
    <w:rsid w:val="00596717"/>
    <w:rsid w:val="005A02E8"/>
    <w:rsid w:val="005A5E82"/>
    <w:rsid w:val="005A6024"/>
    <w:rsid w:val="005B348C"/>
    <w:rsid w:val="005C2EF1"/>
    <w:rsid w:val="005D0C3A"/>
    <w:rsid w:val="005D2DF1"/>
    <w:rsid w:val="005E21D2"/>
    <w:rsid w:val="005F00AC"/>
    <w:rsid w:val="005F24F9"/>
    <w:rsid w:val="0060431E"/>
    <w:rsid w:val="0060559F"/>
    <w:rsid w:val="00610C96"/>
    <w:rsid w:val="00621E91"/>
    <w:rsid w:val="006254B9"/>
    <w:rsid w:val="00625537"/>
    <w:rsid w:val="00627825"/>
    <w:rsid w:val="00641132"/>
    <w:rsid w:val="00651377"/>
    <w:rsid w:val="00651F1F"/>
    <w:rsid w:val="00652297"/>
    <w:rsid w:val="006654A6"/>
    <w:rsid w:val="00666253"/>
    <w:rsid w:val="00673242"/>
    <w:rsid w:val="00675A12"/>
    <w:rsid w:val="00677BB8"/>
    <w:rsid w:val="00693891"/>
    <w:rsid w:val="006A36F3"/>
    <w:rsid w:val="006D1577"/>
    <w:rsid w:val="006D2875"/>
    <w:rsid w:val="006D4B9D"/>
    <w:rsid w:val="006D5002"/>
    <w:rsid w:val="006D6908"/>
    <w:rsid w:val="006D7A7D"/>
    <w:rsid w:val="006F17F8"/>
    <w:rsid w:val="006F4ABD"/>
    <w:rsid w:val="00705288"/>
    <w:rsid w:val="00713949"/>
    <w:rsid w:val="007269F1"/>
    <w:rsid w:val="007504B4"/>
    <w:rsid w:val="0075090C"/>
    <w:rsid w:val="00757DFE"/>
    <w:rsid w:val="007674C4"/>
    <w:rsid w:val="00771401"/>
    <w:rsid w:val="0077758E"/>
    <w:rsid w:val="00783E71"/>
    <w:rsid w:val="00786324"/>
    <w:rsid w:val="00786714"/>
    <w:rsid w:val="00795F58"/>
    <w:rsid w:val="007A1703"/>
    <w:rsid w:val="007A66D7"/>
    <w:rsid w:val="007B0BB3"/>
    <w:rsid w:val="007C252F"/>
    <w:rsid w:val="007C6170"/>
    <w:rsid w:val="007D2685"/>
    <w:rsid w:val="007D77E9"/>
    <w:rsid w:val="007E1963"/>
    <w:rsid w:val="007E32B4"/>
    <w:rsid w:val="007F0053"/>
    <w:rsid w:val="007F08C7"/>
    <w:rsid w:val="00802A60"/>
    <w:rsid w:val="00805B84"/>
    <w:rsid w:val="008221F6"/>
    <w:rsid w:val="00826675"/>
    <w:rsid w:val="00830CB8"/>
    <w:rsid w:val="008457F7"/>
    <w:rsid w:val="0084769A"/>
    <w:rsid w:val="00854038"/>
    <w:rsid w:val="0086689F"/>
    <w:rsid w:val="0087215A"/>
    <w:rsid w:val="00873566"/>
    <w:rsid w:val="0087479C"/>
    <w:rsid w:val="00885CFE"/>
    <w:rsid w:val="008872ED"/>
    <w:rsid w:val="008902FC"/>
    <w:rsid w:val="00895637"/>
    <w:rsid w:val="008A2049"/>
    <w:rsid w:val="008B5626"/>
    <w:rsid w:val="008D010D"/>
    <w:rsid w:val="008F329A"/>
    <w:rsid w:val="008F6D9C"/>
    <w:rsid w:val="00914328"/>
    <w:rsid w:val="00917577"/>
    <w:rsid w:val="009232CF"/>
    <w:rsid w:val="00924B37"/>
    <w:rsid w:val="00925464"/>
    <w:rsid w:val="00930860"/>
    <w:rsid w:val="00932B08"/>
    <w:rsid w:val="00933375"/>
    <w:rsid w:val="00935FCA"/>
    <w:rsid w:val="0093600E"/>
    <w:rsid w:val="00936DAA"/>
    <w:rsid w:val="009558D8"/>
    <w:rsid w:val="0096363A"/>
    <w:rsid w:val="009723DD"/>
    <w:rsid w:val="00986A8C"/>
    <w:rsid w:val="00992001"/>
    <w:rsid w:val="009A2FA2"/>
    <w:rsid w:val="009A39B9"/>
    <w:rsid w:val="009B172C"/>
    <w:rsid w:val="009B33F2"/>
    <w:rsid w:val="009B7EA7"/>
    <w:rsid w:val="009E05B4"/>
    <w:rsid w:val="009F6E90"/>
    <w:rsid w:val="00A110F2"/>
    <w:rsid w:val="00A127B7"/>
    <w:rsid w:val="00A13B1E"/>
    <w:rsid w:val="00A14765"/>
    <w:rsid w:val="00A236B6"/>
    <w:rsid w:val="00A24185"/>
    <w:rsid w:val="00A264A4"/>
    <w:rsid w:val="00A41BFC"/>
    <w:rsid w:val="00A41DA5"/>
    <w:rsid w:val="00A44532"/>
    <w:rsid w:val="00A450C4"/>
    <w:rsid w:val="00A523C2"/>
    <w:rsid w:val="00A54433"/>
    <w:rsid w:val="00A64739"/>
    <w:rsid w:val="00A76139"/>
    <w:rsid w:val="00A85D81"/>
    <w:rsid w:val="00A93022"/>
    <w:rsid w:val="00A9713B"/>
    <w:rsid w:val="00AA0990"/>
    <w:rsid w:val="00AA442B"/>
    <w:rsid w:val="00AB288D"/>
    <w:rsid w:val="00AC4297"/>
    <w:rsid w:val="00AC4AD1"/>
    <w:rsid w:val="00AC7AED"/>
    <w:rsid w:val="00AE06B0"/>
    <w:rsid w:val="00AE55A6"/>
    <w:rsid w:val="00AF0468"/>
    <w:rsid w:val="00B03197"/>
    <w:rsid w:val="00B04AB7"/>
    <w:rsid w:val="00B146BA"/>
    <w:rsid w:val="00B1600E"/>
    <w:rsid w:val="00B21D8A"/>
    <w:rsid w:val="00B25DFE"/>
    <w:rsid w:val="00B36352"/>
    <w:rsid w:val="00B51DF0"/>
    <w:rsid w:val="00B53054"/>
    <w:rsid w:val="00B5307D"/>
    <w:rsid w:val="00B5433B"/>
    <w:rsid w:val="00B56BF5"/>
    <w:rsid w:val="00B6364C"/>
    <w:rsid w:val="00B71767"/>
    <w:rsid w:val="00B7188C"/>
    <w:rsid w:val="00B74851"/>
    <w:rsid w:val="00B74A14"/>
    <w:rsid w:val="00B758C5"/>
    <w:rsid w:val="00B86BE4"/>
    <w:rsid w:val="00B91EE4"/>
    <w:rsid w:val="00B94F90"/>
    <w:rsid w:val="00B97449"/>
    <w:rsid w:val="00BA1B4B"/>
    <w:rsid w:val="00BC112D"/>
    <w:rsid w:val="00BC4C25"/>
    <w:rsid w:val="00BD1CAB"/>
    <w:rsid w:val="00BE1E75"/>
    <w:rsid w:val="00BF1078"/>
    <w:rsid w:val="00BF5B72"/>
    <w:rsid w:val="00C25AF9"/>
    <w:rsid w:val="00C34864"/>
    <w:rsid w:val="00C348A2"/>
    <w:rsid w:val="00C512F1"/>
    <w:rsid w:val="00C51C58"/>
    <w:rsid w:val="00C549F3"/>
    <w:rsid w:val="00C67AC3"/>
    <w:rsid w:val="00C73F5C"/>
    <w:rsid w:val="00CA1586"/>
    <w:rsid w:val="00CA4B9C"/>
    <w:rsid w:val="00CA4E80"/>
    <w:rsid w:val="00CB2489"/>
    <w:rsid w:val="00CB62F3"/>
    <w:rsid w:val="00CC144A"/>
    <w:rsid w:val="00CD6544"/>
    <w:rsid w:val="00CE04C8"/>
    <w:rsid w:val="00CE476C"/>
    <w:rsid w:val="00CF5E8E"/>
    <w:rsid w:val="00D0052F"/>
    <w:rsid w:val="00D10E47"/>
    <w:rsid w:val="00D22B72"/>
    <w:rsid w:val="00D5236F"/>
    <w:rsid w:val="00D52587"/>
    <w:rsid w:val="00D571CC"/>
    <w:rsid w:val="00D65C0E"/>
    <w:rsid w:val="00D739BB"/>
    <w:rsid w:val="00D73AFE"/>
    <w:rsid w:val="00D76987"/>
    <w:rsid w:val="00D837D0"/>
    <w:rsid w:val="00D87119"/>
    <w:rsid w:val="00D93B95"/>
    <w:rsid w:val="00D97BD5"/>
    <w:rsid w:val="00DA2352"/>
    <w:rsid w:val="00DA44EA"/>
    <w:rsid w:val="00DA621B"/>
    <w:rsid w:val="00DA6FA8"/>
    <w:rsid w:val="00DB64BF"/>
    <w:rsid w:val="00DB64E1"/>
    <w:rsid w:val="00DC4518"/>
    <w:rsid w:val="00DC5A1B"/>
    <w:rsid w:val="00DC731C"/>
    <w:rsid w:val="00DC7B3B"/>
    <w:rsid w:val="00DD02C0"/>
    <w:rsid w:val="00DD384B"/>
    <w:rsid w:val="00DD3EF5"/>
    <w:rsid w:val="00DD5E84"/>
    <w:rsid w:val="00DD6C95"/>
    <w:rsid w:val="00DF4DF8"/>
    <w:rsid w:val="00E00E86"/>
    <w:rsid w:val="00E03170"/>
    <w:rsid w:val="00E1325E"/>
    <w:rsid w:val="00E201D4"/>
    <w:rsid w:val="00E32DD0"/>
    <w:rsid w:val="00E37947"/>
    <w:rsid w:val="00E42B25"/>
    <w:rsid w:val="00E522E1"/>
    <w:rsid w:val="00E54020"/>
    <w:rsid w:val="00E60058"/>
    <w:rsid w:val="00E72BF1"/>
    <w:rsid w:val="00E73E70"/>
    <w:rsid w:val="00E83002"/>
    <w:rsid w:val="00E84776"/>
    <w:rsid w:val="00E85618"/>
    <w:rsid w:val="00E90C3C"/>
    <w:rsid w:val="00EC65ED"/>
    <w:rsid w:val="00EE7919"/>
    <w:rsid w:val="00EF0104"/>
    <w:rsid w:val="00F106AE"/>
    <w:rsid w:val="00F21979"/>
    <w:rsid w:val="00F244CB"/>
    <w:rsid w:val="00F31BA5"/>
    <w:rsid w:val="00F34DA7"/>
    <w:rsid w:val="00F413B1"/>
    <w:rsid w:val="00F466EE"/>
    <w:rsid w:val="00F46A19"/>
    <w:rsid w:val="00F53357"/>
    <w:rsid w:val="00F57CAE"/>
    <w:rsid w:val="00F64003"/>
    <w:rsid w:val="00F81C0B"/>
    <w:rsid w:val="00F83EE7"/>
    <w:rsid w:val="00F85217"/>
    <w:rsid w:val="00FA3B02"/>
    <w:rsid w:val="00FA5008"/>
    <w:rsid w:val="00FC1706"/>
    <w:rsid w:val="00FF1397"/>
    <w:rsid w:val="012921DA"/>
    <w:rsid w:val="02A943D9"/>
    <w:rsid w:val="030158F4"/>
    <w:rsid w:val="039763F5"/>
    <w:rsid w:val="03BC6500"/>
    <w:rsid w:val="03F66FDD"/>
    <w:rsid w:val="04A81354"/>
    <w:rsid w:val="04B465B1"/>
    <w:rsid w:val="04E91183"/>
    <w:rsid w:val="057E15E7"/>
    <w:rsid w:val="05F40D26"/>
    <w:rsid w:val="07565D01"/>
    <w:rsid w:val="075A219A"/>
    <w:rsid w:val="0773141F"/>
    <w:rsid w:val="07CE6692"/>
    <w:rsid w:val="08104767"/>
    <w:rsid w:val="087E1354"/>
    <w:rsid w:val="089B637E"/>
    <w:rsid w:val="08B5656B"/>
    <w:rsid w:val="095515FB"/>
    <w:rsid w:val="095B0B1A"/>
    <w:rsid w:val="096767CA"/>
    <w:rsid w:val="098B7457"/>
    <w:rsid w:val="0BF16A02"/>
    <w:rsid w:val="0DFE0E0D"/>
    <w:rsid w:val="0E454D40"/>
    <w:rsid w:val="0EAE769F"/>
    <w:rsid w:val="0EFF05C2"/>
    <w:rsid w:val="0F1407F3"/>
    <w:rsid w:val="0F7F766B"/>
    <w:rsid w:val="0F896943"/>
    <w:rsid w:val="0FE772F7"/>
    <w:rsid w:val="10B27E41"/>
    <w:rsid w:val="10B431F2"/>
    <w:rsid w:val="11410A28"/>
    <w:rsid w:val="11AF261F"/>
    <w:rsid w:val="128107C6"/>
    <w:rsid w:val="12947E5D"/>
    <w:rsid w:val="12D02832"/>
    <w:rsid w:val="13421244"/>
    <w:rsid w:val="13643F59"/>
    <w:rsid w:val="136D26CB"/>
    <w:rsid w:val="137F4BD8"/>
    <w:rsid w:val="13830FE4"/>
    <w:rsid w:val="139868AE"/>
    <w:rsid w:val="13B146BC"/>
    <w:rsid w:val="14336178"/>
    <w:rsid w:val="14E67D3B"/>
    <w:rsid w:val="14F17B7B"/>
    <w:rsid w:val="155E761A"/>
    <w:rsid w:val="15950717"/>
    <w:rsid w:val="15B97A89"/>
    <w:rsid w:val="15E9214F"/>
    <w:rsid w:val="15EA2F7A"/>
    <w:rsid w:val="161A3E25"/>
    <w:rsid w:val="16E77E15"/>
    <w:rsid w:val="17FD2A7E"/>
    <w:rsid w:val="18237CF1"/>
    <w:rsid w:val="18245FD7"/>
    <w:rsid w:val="18603479"/>
    <w:rsid w:val="18D45102"/>
    <w:rsid w:val="195B4191"/>
    <w:rsid w:val="19F4089C"/>
    <w:rsid w:val="1A1E139D"/>
    <w:rsid w:val="1A583DC2"/>
    <w:rsid w:val="1AD75AC7"/>
    <w:rsid w:val="1B194B18"/>
    <w:rsid w:val="1C6B7F7E"/>
    <w:rsid w:val="1E3D4E74"/>
    <w:rsid w:val="1E7D6071"/>
    <w:rsid w:val="201018F2"/>
    <w:rsid w:val="206103D4"/>
    <w:rsid w:val="208B1EF2"/>
    <w:rsid w:val="21005ACC"/>
    <w:rsid w:val="21253C2A"/>
    <w:rsid w:val="215D5409"/>
    <w:rsid w:val="22140793"/>
    <w:rsid w:val="227C63CF"/>
    <w:rsid w:val="228F6426"/>
    <w:rsid w:val="22C33D2E"/>
    <w:rsid w:val="22DB60B2"/>
    <w:rsid w:val="230B0EE4"/>
    <w:rsid w:val="23104E5C"/>
    <w:rsid w:val="2333249A"/>
    <w:rsid w:val="23771663"/>
    <w:rsid w:val="23C93BD9"/>
    <w:rsid w:val="24225433"/>
    <w:rsid w:val="24DF1669"/>
    <w:rsid w:val="26C8685B"/>
    <w:rsid w:val="2731521B"/>
    <w:rsid w:val="2796675E"/>
    <w:rsid w:val="27A022A9"/>
    <w:rsid w:val="27B674D4"/>
    <w:rsid w:val="28045785"/>
    <w:rsid w:val="28066DA1"/>
    <w:rsid w:val="28E53263"/>
    <w:rsid w:val="28F23C11"/>
    <w:rsid w:val="293A068D"/>
    <w:rsid w:val="29F44EC2"/>
    <w:rsid w:val="2A7C5C5D"/>
    <w:rsid w:val="2BC621AC"/>
    <w:rsid w:val="2C4835A3"/>
    <w:rsid w:val="2CD7037B"/>
    <w:rsid w:val="2D0363AE"/>
    <w:rsid w:val="2E6359AE"/>
    <w:rsid w:val="2E982804"/>
    <w:rsid w:val="2EBF22E4"/>
    <w:rsid w:val="2F8570EB"/>
    <w:rsid w:val="306852AE"/>
    <w:rsid w:val="31C73F29"/>
    <w:rsid w:val="322410F0"/>
    <w:rsid w:val="33CF79BA"/>
    <w:rsid w:val="33DC695D"/>
    <w:rsid w:val="33E53BBF"/>
    <w:rsid w:val="342D5ABF"/>
    <w:rsid w:val="35120CE5"/>
    <w:rsid w:val="35260E65"/>
    <w:rsid w:val="35914B35"/>
    <w:rsid w:val="35C729C4"/>
    <w:rsid w:val="35DD6C59"/>
    <w:rsid w:val="36450F61"/>
    <w:rsid w:val="366552C8"/>
    <w:rsid w:val="36E92AE8"/>
    <w:rsid w:val="37146915"/>
    <w:rsid w:val="371C2309"/>
    <w:rsid w:val="379574C6"/>
    <w:rsid w:val="37A333EE"/>
    <w:rsid w:val="37D00F65"/>
    <w:rsid w:val="37F41099"/>
    <w:rsid w:val="38077590"/>
    <w:rsid w:val="383275E3"/>
    <w:rsid w:val="3838421A"/>
    <w:rsid w:val="38C90253"/>
    <w:rsid w:val="38EA64FC"/>
    <w:rsid w:val="39160452"/>
    <w:rsid w:val="3932019E"/>
    <w:rsid w:val="396F0447"/>
    <w:rsid w:val="39C92027"/>
    <w:rsid w:val="3B2A71FC"/>
    <w:rsid w:val="3B954BDB"/>
    <w:rsid w:val="3C6320CD"/>
    <w:rsid w:val="3C6B6CDD"/>
    <w:rsid w:val="3CAF666E"/>
    <w:rsid w:val="3CF249E7"/>
    <w:rsid w:val="3DBE4ECE"/>
    <w:rsid w:val="3DE45F4C"/>
    <w:rsid w:val="3DE60A72"/>
    <w:rsid w:val="3DEA1539"/>
    <w:rsid w:val="3DF77869"/>
    <w:rsid w:val="3EA21550"/>
    <w:rsid w:val="3EAB6C16"/>
    <w:rsid w:val="3F752713"/>
    <w:rsid w:val="3F756BE2"/>
    <w:rsid w:val="402D23D2"/>
    <w:rsid w:val="41E579D9"/>
    <w:rsid w:val="42633A88"/>
    <w:rsid w:val="4277023B"/>
    <w:rsid w:val="433B1DC8"/>
    <w:rsid w:val="437460BD"/>
    <w:rsid w:val="43C36FF2"/>
    <w:rsid w:val="43F06C52"/>
    <w:rsid w:val="44130575"/>
    <w:rsid w:val="45B24EC0"/>
    <w:rsid w:val="45CB77F1"/>
    <w:rsid w:val="46562740"/>
    <w:rsid w:val="472056BF"/>
    <w:rsid w:val="474656C8"/>
    <w:rsid w:val="474F288B"/>
    <w:rsid w:val="47610E00"/>
    <w:rsid w:val="478D657B"/>
    <w:rsid w:val="47B545FB"/>
    <w:rsid w:val="47EB74CB"/>
    <w:rsid w:val="47F25BB7"/>
    <w:rsid w:val="481D7ECC"/>
    <w:rsid w:val="49AB2F5A"/>
    <w:rsid w:val="4A4817DA"/>
    <w:rsid w:val="4A7D7620"/>
    <w:rsid w:val="4C2B16B2"/>
    <w:rsid w:val="4C762671"/>
    <w:rsid w:val="4C8F3F66"/>
    <w:rsid w:val="4CF17083"/>
    <w:rsid w:val="4D0623E1"/>
    <w:rsid w:val="4D30318F"/>
    <w:rsid w:val="4D4908AC"/>
    <w:rsid w:val="4D922D17"/>
    <w:rsid w:val="4DB10A21"/>
    <w:rsid w:val="4E3B08A8"/>
    <w:rsid w:val="4F5C285A"/>
    <w:rsid w:val="502E437A"/>
    <w:rsid w:val="50B04452"/>
    <w:rsid w:val="516870EF"/>
    <w:rsid w:val="51813A44"/>
    <w:rsid w:val="51EE08B1"/>
    <w:rsid w:val="523B2BB4"/>
    <w:rsid w:val="526460BC"/>
    <w:rsid w:val="52A631B4"/>
    <w:rsid w:val="532C5FC2"/>
    <w:rsid w:val="53515832"/>
    <w:rsid w:val="536E3607"/>
    <w:rsid w:val="537027D0"/>
    <w:rsid w:val="54770FE4"/>
    <w:rsid w:val="54DB399A"/>
    <w:rsid w:val="54F83905"/>
    <w:rsid w:val="550511DF"/>
    <w:rsid w:val="55085A60"/>
    <w:rsid w:val="55876BE4"/>
    <w:rsid w:val="5599797D"/>
    <w:rsid w:val="559F0E60"/>
    <w:rsid w:val="55B16C73"/>
    <w:rsid w:val="55B56B66"/>
    <w:rsid w:val="56306667"/>
    <w:rsid w:val="574907C1"/>
    <w:rsid w:val="580227EA"/>
    <w:rsid w:val="58421F53"/>
    <w:rsid w:val="58553DEE"/>
    <w:rsid w:val="58A227F9"/>
    <w:rsid w:val="5946289B"/>
    <w:rsid w:val="5A2E7D17"/>
    <w:rsid w:val="5A965298"/>
    <w:rsid w:val="5AAF5D14"/>
    <w:rsid w:val="5B3129D1"/>
    <w:rsid w:val="5C344711"/>
    <w:rsid w:val="5CCC689B"/>
    <w:rsid w:val="5D186A5C"/>
    <w:rsid w:val="5DA9018E"/>
    <w:rsid w:val="5E681378"/>
    <w:rsid w:val="5E74530E"/>
    <w:rsid w:val="5EAD3E4A"/>
    <w:rsid w:val="5EFD169E"/>
    <w:rsid w:val="5FBF5208"/>
    <w:rsid w:val="5FE342CF"/>
    <w:rsid w:val="60341271"/>
    <w:rsid w:val="607B17DC"/>
    <w:rsid w:val="60AD10DE"/>
    <w:rsid w:val="61092146"/>
    <w:rsid w:val="61773727"/>
    <w:rsid w:val="62114DB8"/>
    <w:rsid w:val="63A1512E"/>
    <w:rsid w:val="64365658"/>
    <w:rsid w:val="64596CD7"/>
    <w:rsid w:val="651C4DA6"/>
    <w:rsid w:val="65FC035E"/>
    <w:rsid w:val="6625021F"/>
    <w:rsid w:val="6639338A"/>
    <w:rsid w:val="66825983"/>
    <w:rsid w:val="66B20F13"/>
    <w:rsid w:val="66BF3258"/>
    <w:rsid w:val="67870C93"/>
    <w:rsid w:val="67BE22CA"/>
    <w:rsid w:val="685D242F"/>
    <w:rsid w:val="68C13804"/>
    <w:rsid w:val="68E93EBD"/>
    <w:rsid w:val="6959006C"/>
    <w:rsid w:val="69B00DC6"/>
    <w:rsid w:val="69B712DA"/>
    <w:rsid w:val="69DB1635"/>
    <w:rsid w:val="6B807647"/>
    <w:rsid w:val="6BA56166"/>
    <w:rsid w:val="6BAC51A8"/>
    <w:rsid w:val="6BB427A8"/>
    <w:rsid w:val="6BC94254"/>
    <w:rsid w:val="6C804D75"/>
    <w:rsid w:val="6CE16E6B"/>
    <w:rsid w:val="6EF92FFF"/>
    <w:rsid w:val="6FB96EFC"/>
    <w:rsid w:val="70232E95"/>
    <w:rsid w:val="705B0DEE"/>
    <w:rsid w:val="70985051"/>
    <w:rsid w:val="715F52B9"/>
    <w:rsid w:val="71CC3C2F"/>
    <w:rsid w:val="72254B29"/>
    <w:rsid w:val="72596B53"/>
    <w:rsid w:val="72BE62CA"/>
    <w:rsid w:val="72CF2540"/>
    <w:rsid w:val="73D920D9"/>
    <w:rsid w:val="742B7F90"/>
    <w:rsid w:val="74402038"/>
    <w:rsid w:val="756767A4"/>
    <w:rsid w:val="76666AB7"/>
    <w:rsid w:val="76677D59"/>
    <w:rsid w:val="76FE7826"/>
    <w:rsid w:val="779E2610"/>
    <w:rsid w:val="79285632"/>
    <w:rsid w:val="79BB1359"/>
    <w:rsid w:val="7AFC08D6"/>
    <w:rsid w:val="7BBE0BC4"/>
    <w:rsid w:val="7D0226BE"/>
    <w:rsid w:val="7D143A84"/>
    <w:rsid w:val="7D2D58D3"/>
    <w:rsid w:val="7D4A3DE8"/>
    <w:rsid w:val="7D74313D"/>
    <w:rsid w:val="7DB35D62"/>
    <w:rsid w:val="7DD71091"/>
    <w:rsid w:val="7E1C4E76"/>
    <w:rsid w:val="7E3E690A"/>
    <w:rsid w:val="7E4A6641"/>
    <w:rsid w:val="7F3846D4"/>
    <w:rsid w:val="7FDE0156"/>
    <w:rsid w:val="7FE52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autoRedefine/>
    <w:semiHidden/>
    <w:unhideWhenUsed/>
    <w:qFormat/>
    <w:uiPriority w:val="99"/>
    <w:pPr>
      <w:jc w:val="left"/>
    </w:pPr>
  </w:style>
  <w:style w:type="paragraph" w:styleId="3">
    <w:name w:val="Balloon Text"/>
    <w:basedOn w:val="1"/>
    <w:link w:val="19"/>
    <w:autoRedefine/>
    <w:semiHidden/>
    <w:unhideWhenUsed/>
    <w:qFormat/>
    <w:uiPriority w:val="99"/>
    <w:rPr>
      <w:sz w:val="18"/>
      <w:szCs w:val="18"/>
    </w:rPr>
  </w:style>
  <w:style w:type="paragraph" w:styleId="4">
    <w:name w:val="footer"/>
    <w:basedOn w:val="1"/>
    <w:link w:val="16"/>
    <w:autoRedefine/>
    <w:unhideWhenUsed/>
    <w:qFormat/>
    <w:uiPriority w:val="0"/>
    <w:pPr>
      <w:tabs>
        <w:tab w:val="center" w:pos="4153"/>
        <w:tab w:val="right" w:pos="8306"/>
      </w:tabs>
      <w:snapToGrid w:val="0"/>
      <w:jc w:val="left"/>
    </w:pPr>
    <w:rPr>
      <w:sz w:val="18"/>
      <w:szCs w:val="18"/>
    </w:rPr>
  </w:style>
  <w:style w:type="paragraph" w:styleId="5">
    <w:name w:val="header"/>
    <w:basedOn w:val="1"/>
    <w:link w:val="1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8"/>
    <w:autoRedefine/>
    <w:semiHidden/>
    <w:unhideWhenUsed/>
    <w:qFormat/>
    <w:uiPriority w:val="99"/>
    <w:rPr>
      <w:b/>
      <w:bCs/>
    </w:rPr>
  </w:style>
  <w:style w:type="table" w:styleId="8">
    <w:name w:val="Table Grid"/>
    <w:basedOn w:val="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autoRedefine/>
    <w:qFormat/>
    <w:uiPriority w:val="22"/>
    <w:rPr>
      <w:b/>
      <w:bCs/>
    </w:rPr>
  </w:style>
  <w:style w:type="character" w:styleId="11">
    <w:name w:val="Emphasis"/>
    <w:autoRedefine/>
    <w:qFormat/>
    <w:uiPriority w:val="20"/>
    <w:rPr>
      <w:i/>
      <w:iCs/>
    </w:rPr>
  </w:style>
  <w:style w:type="character" w:styleId="12">
    <w:name w:val="Hyperlink"/>
    <w:autoRedefine/>
    <w:unhideWhenUsed/>
    <w:qFormat/>
    <w:uiPriority w:val="99"/>
    <w:rPr>
      <w:color w:val="0563C1"/>
      <w:u w:val="single"/>
    </w:rPr>
  </w:style>
  <w:style w:type="character" w:styleId="13">
    <w:name w:val="annotation reference"/>
    <w:autoRedefine/>
    <w:semiHidden/>
    <w:unhideWhenUsed/>
    <w:qFormat/>
    <w:uiPriority w:val="99"/>
    <w:rPr>
      <w:sz w:val="21"/>
      <w:szCs w:val="21"/>
    </w:rPr>
  </w:style>
  <w:style w:type="paragraph" w:styleId="14">
    <w:name w:val="List Paragraph"/>
    <w:basedOn w:val="1"/>
    <w:autoRedefine/>
    <w:qFormat/>
    <w:uiPriority w:val="34"/>
    <w:pPr>
      <w:ind w:firstLine="420" w:firstLineChars="200"/>
    </w:pPr>
  </w:style>
  <w:style w:type="character" w:customStyle="1" w:styleId="15">
    <w:name w:val="页眉 字符"/>
    <w:link w:val="5"/>
    <w:autoRedefine/>
    <w:qFormat/>
    <w:uiPriority w:val="99"/>
    <w:rPr>
      <w:sz w:val="18"/>
      <w:szCs w:val="18"/>
    </w:rPr>
  </w:style>
  <w:style w:type="character" w:customStyle="1" w:styleId="16">
    <w:name w:val="页脚 字符"/>
    <w:link w:val="4"/>
    <w:autoRedefine/>
    <w:qFormat/>
    <w:uiPriority w:val="99"/>
    <w:rPr>
      <w:sz w:val="18"/>
      <w:szCs w:val="18"/>
    </w:rPr>
  </w:style>
  <w:style w:type="character" w:customStyle="1" w:styleId="17">
    <w:name w:val="批注文字 字符"/>
    <w:link w:val="2"/>
    <w:autoRedefine/>
    <w:semiHidden/>
    <w:qFormat/>
    <w:uiPriority w:val="99"/>
    <w:rPr>
      <w:kern w:val="2"/>
      <w:sz w:val="21"/>
      <w:szCs w:val="22"/>
    </w:rPr>
  </w:style>
  <w:style w:type="character" w:customStyle="1" w:styleId="18">
    <w:name w:val="批注主题 字符"/>
    <w:link w:val="6"/>
    <w:autoRedefine/>
    <w:semiHidden/>
    <w:qFormat/>
    <w:uiPriority w:val="99"/>
    <w:rPr>
      <w:b/>
      <w:bCs/>
      <w:kern w:val="2"/>
      <w:sz w:val="21"/>
      <w:szCs w:val="22"/>
    </w:rPr>
  </w:style>
  <w:style w:type="character" w:customStyle="1" w:styleId="19">
    <w:name w:val="批注框文本 字符"/>
    <w:link w:val="3"/>
    <w:autoRedefine/>
    <w:semiHidden/>
    <w:qFormat/>
    <w:uiPriority w:val="99"/>
    <w:rPr>
      <w:kern w:val="2"/>
      <w:sz w:val="18"/>
      <w:szCs w:val="18"/>
    </w:rPr>
  </w:style>
  <w:style w:type="character" w:customStyle="1" w:styleId="20">
    <w:name w:val="intbody1"/>
    <w:autoRedefine/>
    <w:qFormat/>
    <w:uiPriority w:val="0"/>
    <w:rPr>
      <w:rFonts w:hint="default" w:ascii="Arial" w:hAnsi="Arial" w:cs="Arial"/>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image" Target="media/image17.jpe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3902</Words>
  <Characters>5763</Characters>
  <Lines>45</Lines>
  <Paragraphs>12</Paragraphs>
  <TotalTime>32</TotalTime>
  <ScaleCrop>false</ScaleCrop>
  <LinksUpToDate>false</LinksUpToDate>
  <CharactersWithSpaces>6201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2024-04-22T06:36:00Z</dcterms:created>
  <dc:creator>huahua</dc:creator>
  <cp:lastModifiedBy>XUCHENRUI</cp:lastModifiedBy>
  <dcterms:modified xsi:type="dcterms:W3CDTF">2024-06-22T07:51:04Z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E3AB916C61964033AA47618AB0E30D33_13</vt:lpwstr>
  </property>
</Properties>
</file>