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309" w:rsidRDefault="00642309" w:rsidP="00642309">
      <w:pPr>
        <w:rPr>
          <w:rFonts w:ascii="宋体" w:eastAsia="宋体" w:hAnsi="宋体"/>
        </w:rPr>
      </w:pPr>
      <w:r w:rsidRPr="008D2B7B">
        <w:rPr>
          <w:rFonts w:ascii="方正黑体_GBK" w:eastAsia="方正黑体_GBK" w:hint="eastAsia"/>
          <w:color w:val="FF0000"/>
          <w:sz w:val="18"/>
          <w:szCs w:val="18"/>
        </w:rPr>
        <w:t>引用本文</w:t>
      </w:r>
      <w:r w:rsidRPr="001D12E9">
        <w:rPr>
          <w:rFonts w:hint="eastAsia"/>
          <w:sz w:val="18"/>
          <w:szCs w:val="18"/>
        </w:rPr>
        <w:t>：</w:t>
      </w:r>
      <w:r w:rsidRPr="00642309">
        <w:rPr>
          <w:rFonts w:ascii="宋体" w:eastAsia="宋体" w:hAnsi="宋体" w:hint="eastAsia"/>
          <w:sz w:val="18"/>
          <w:szCs w:val="18"/>
        </w:rPr>
        <w:t>王振亚，郭建中，曹聪，等</w:t>
      </w:r>
      <w:r w:rsidRPr="00642309">
        <w:rPr>
          <w:rFonts w:ascii="宋体" w:eastAsia="宋体" w:hAnsi="宋体"/>
          <w:sz w:val="18"/>
          <w:szCs w:val="18"/>
        </w:rPr>
        <w:t>. 大面积APD接收电路设计与实现[J]. 光通信技术，2021，45（9）：24-27.</w:t>
      </w:r>
    </w:p>
    <w:p w:rsidR="00642309" w:rsidRDefault="00642309" w:rsidP="00642309">
      <w:pPr>
        <w:jc w:val="center"/>
        <w:rPr>
          <w:rFonts w:ascii="方正黑体_GBK" w:eastAsia="方正黑体_GBK"/>
          <w:sz w:val="36"/>
          <w:szCs w:val="36"/>
        </w:rPr>
      </w:pPr>
      <w:r w:rsidRPr="00642309">
        <w:rPr>
          <w:rFonts w:ascii="方正黑体_GBK" w:eastAsia="方正黑体_GBK" w:hint="eastAsia"/>
          <w:sz w:val="36"/>
          <w:szCs w:val="36"/>
        </w:rPr>
        <w:t>大面积</w:t>
      </w:r>
      <w:r w:rsidRPr="00642309">
        <w:rPr>
          <w:rFonts w:ascii="方正黑体_GBK" w:eastAsia="方正黑体_GBK"/>
          <w:sz w:val="36"/>
          <w:szCs w:val="36"/>
        </w:rPr>
        <w:t>APD接收电路设计与实现</w:t>
      </w:r>
    </w:p>
    <w:p w:rsidR="00642309" w:rsidRPr="00642309" w:rsidRDefault="00642309" w:rsidP="00642309">
      <w:pPr>
        <w:jc w:val="center"/>
        <w:rPr>
          <w:rFonts w:ascii="楷体_GB2312" w:eastAsia="楷体_GB2312"/>
          <w:sz w:val="24"/>
          <w:szCs w:val="24"/>
        </w:rPr>
      </w:pPr>
      <w:r w:rsidRPr="00642309">
        <w:rPr>
          <w:rFonts w:ascii="楷体_GB2312" w:eastAsia="楷体_GB2312" w:hint="eastAsia"/>
          <w:sz w:val="24"/>
          <w:szCs w:val="24"/>
        </w:rPr>
        <w:t>王振亚</w:t>
      </w:r>
      <w:r w:rsidRPr="00C40461">
        <w:rPr>
          <w:rFonts w:ascii="楷体_GB2312" w:eastAsia="楷体_GB2312"/>
          <w:sz w:val="24"/>
          <w:szCs w:val="24"/>
          <w:vertAlign w:val="superscript"/>
        </w:rPr>
        <w:t>1,3</w:t>
      </w:r>
      <w:r w:rsidRPr="00642309">
        <w:rPr>
          <w:rFonts w:ascii="楷体_GB2312" w:eastAsia="楷体_GB2312"/>
          <w:sz w:val="24"/>
          <w:szCs w:val="24"/>
        </w:rPr>
        <w:t>，郭建中</w:t>
      </w:r>
      <w:r w:rsidRPr="00C40461">
        <w:rPr>
          <w:rFonts w:ascii="楷体_GB2312" w:eastAsia="楷体_GB2312"/>
          <w:sz w:val="24"/>
          <w:szCs w:val="24"/>
          <w:vertAlign w:val="superscript"/>
        </w:rPr>
        <w:t>1,3*</w:t>
      </w:r>
      <w:r w:rsidRPr="00642309">
        <w:rPr>
          <w:rFonts w:ascii="楷体_GB2312" w:eastAsia="楷体_GB2312"/>
          <w:sz w:val="24"/>
          <w:szCs w:val="24"/>
        </w:rPr>
        <w:t>，曹 聪</w:t>
      </w:r>
      <w:r w:rsidRPr="00C40461">
        <w:rPr>
          <w:rFonts w:ascii="楷体_GB2312" w:eastAsia="楷体_GB2312"/>
          <w:sz w:val="24"/>
          <w:szCs w:val="24"/>
          <w:vertAlign w:val="superscript"/>
        </w:rPr>
        <w:t>1,3</w:t>
      </w:r>
      <w:r w:rsidRPr="00642309">
        <w:rPr>
          <w:rFonts w:ascii="楷体_GB2312" w:eastAsia="楷体_GB2312"/>
          <w:sz w:val="24"/>
          <w:szCs w:val="24"/>
        </w:rPr>
        <w:t>，沈天浩</w:t>
      </w:r>
      <w:r w:rsidRPr="00C40461">
        <w:rPr>
          <w:rFonts w:ascii="楷体_GB2312" w:eastAsia="楷体_GB2312"/>
          <w:sz w:val="24"/>
          <w:szCs w:val="24"/>
          <w:vertAlign w:val="superscript"/>
        </w:rPr>
        <w:t>2,3</w:t>
      </w:r>
      <w:r w:rsidRPr="00642309">
        <w:rPr>
          <w:rFonts w:ascii="楷体_GB2312" w:eastAsia="楷体_GB2312"/>
          <w:sz w:val="24"/>
          <w:szCs w:val="24"/>
        </w:rPr>
        <w:t>，崔玉合</w:t>
      </w:r>
      <w:r w:rsidRPr="00C40461">
        <w:rPr>
          <w:rFonts w:ascii="楷体_GB2312" w:eastAsia="楷体_GB2312"/>
          <w:sz w:val="24"/>
          <w:szCs w:val="24"/>
          <w:vertAlign w:val="superscript"/>
        </w:rPr>
        <w:t>3</w:t>
      </w:r>
      <w:r w:rsidRPr="00642309">
        <w:rPr>
          <w:rFonts w:ascii="楷体_GB2312" w:eastAsia="楷体_GB2312"/>
          <w:sz w:val="24"/>
          <w:szCs w:val="24"/>
        </w:rPr>
        <w:t>，艾 勇</w:t>
      </w:r>
      <w:r w:rsidRPr="00C40461">
        <w:rPr>
          <w:rFonts w:ascii="楷体_GB2312" w:eastAsia="楷体_GB2312"/>
          <w:sz w:val="24"/>
          <w:szCs w:val="24"/>
          <w:vertAlign w:val="superscript"/>
        </w:rPr>
        <w:t>3</w:t>
      </w:r>
      <w:r w:rsidRPr="00642309">
        <w:rPr>
          <w:rFonts w:ascii="楷体_GB2312" w:eastAsia="楷体_GB2312"/>
          <w:sz w:val="24"/>
          <w:szCs w:val="24"/>
        </w:rPr>
        <w:t>,孔德进</w:t>
      </w:r>
      <w:r w:rsidRPr="00C40461">
        <w:rPr>
          <w:rFonts w:ascii="楷体_GB2312" w:eastAsia="楷体_GB2312"/>
          <w:sz w:val="24"/>
          <w:szCs w:val="24"/>
          <w:vertAlign w:val="superscript"/>
        </w:rPr>
        <w:t>1</w:t>
      </w:r>
    </w:p>
    <w:p w:rsidR="00642309" w:rsidRPr="005C49E7" w:rsidRDefault="00642309" w:rsidP="00642309">
      <w:pPr>
        <w:jc w:val="center"/>
        <w:rPr>
          <w:rFonts w:ascii="宋体" w:eastAsia="宋体" w:hAnsi="宋体"/>
          <w:sz w:val="18"/>
          <w:szCs w:val="18"/>
        </w:rPr>
      </w:pPr>
      <w:r w:rsidRPr="005C49E7">
        <w:rPr>
          <w:rFonts w:ascii="宋体" w:eastAsia="宋体" w:hAnsi="宋体" w:hint="eastAsia"/>
          <w:sz w:val="18"/>
          <w:szCs w:val="18"/>
        </w:rPr>
        <w:t>（</w:t>
      </w:r>
      <w:r w:rsidRPr="005C49E7">
        <w:rPr>
          <w:rFonts w:ascii="宋体" w:eastAsia="宋体" w:hAnsi="宋体"/>
          <w:sz w:val="18"/>
          <w:szCs w:val="18"/>
        </w:rPr>
        <w:t>1.武汉纺织大学 电子与电气工程学院，武汉 430200；2.湖北师范大学 物理与电子科学学院，武汉 435000；3.武汉六博光电技术有限责任公司，武汉 430072）</w:t>
      </w:r>
    </w:p>
    <w:p w:rsidR="00642309" w:rsidRPr="00642309" w:rsidRDefault="00642309" w:rsidP="00642309">
      <w:pPr>
        <w:jc w:val="cente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Pr="00642309">
        <w:rPr>
          <w:rFonts w:ascii="楷体_GB2312" w:eastAsia="楷体_GB2312" w:hAnsi="宋体" w:hint="eastAsia"/>
          <w:sz w:val="18"/>
          <w:szCs w:val="18"/>
        </w:rPr>
        <w:t>针对光电探测器检测微弱光信号时输出信号幅度小且易失真的问题，设计了可见光波段的大面积雪崩光电二极</w:t>
      </w:r>
    </w:p>
    <w:p w:rsidR="00642309" w:rsidRPr="00642309" w:rsidRDefault="00642309" w:rsidP="00642309">
      <w:pPr>
        <w:jc w:val="left"/>
        <w:rPr>
          <w:rFonts w:ascii="楷体_GB2312" w:eastAsia="楷体_GB2312" w:hAnsi="宋体"/>
          <w:sz w:val="18"/>
          <w:szCs w:val="18"/>
        </w:rPr>
      </w:pPr>
      <w:r w:rsidRPr="00642309">
        <w:rPr>
          <w:rFonts w:ascii="楷体_GB2312" w:eastAsia="楷体_GB2312" w:hAnsi="宋体" w:hint="eastAsia"/>
          <w:sz w:val="18"/>
          <w:szCs w:val="18"/>
        </w:rPr>
        <w:t>管（</w:t>
      </w:r>
      <w:r w:rsidRPr="00642309">
        <w:rPr>
          <w:rFonts w:ascii="楷体_GB2312" w:eastAsia="楷体_GB2312" w:hAnsi="宋体"/>
          <w:sz w:val="18"/>
          <w:szCs w:val="18"/>
        </w:rPr>
        <w:t>APD）接收电路。该电路包括大面积的APD探测器、跨阻放大器（TIA）和后续微弱信号处理电路。实验结果表明：设计的大面积APD接收电路可以实现60 Mb/s的可见光信息采集，灵敏度低至-35 dBm；微弱信号处理电路具有较好的跟随和整形恢复能力。</w:t>
      </w:r>
    </w:p>
    <w:p w:rsidR="00642309" w:rsidRPr="00642309" w:rsidRDefault="00642309" w:rsidP="00642309">
      <w:pPr>
        <w:jc w:val="left"/>
        <w:rPr>
          <w:rFonts w:ascii="楷体_GB2312" w:eastAsia="楷体_GB2312" w:hAnsi="宋体"/>
          <w:sz w:val="18"/>
          <w:szCs w:val="18"/>
        </w:rPr>
      </w:pPr>
      <w:r w:rsidRPr="00642309">
        <w:rPr>
          <w:rFonts w:ascii="楷体_GB2312" w:eastAsia="楷体_GB2312" w:hAnsi="宋体" w:hint="eastAsia"/>
          <w:sz w:val="18"/>
          <w:szCs w:val="18"/>
        </w:rPr>
        <w:t>关键词：光通信；雪崩光电二极管；跨阻放大；限幅放大器；光功率</w:t>
      </w:r>
    </w:p>
    <w:p w:rsidR="00642309" w:rsidRPr="00642309" w:rsidRDefault="00642309" w:rsidP="00642309">
      <w:pPr>
        <w:jc w:val="left"/>
        <w:rPr>
          <w:rFonts w:ascii="楷体_GB2312" w:eastAsia="楷体_GB2312" w:hAnsi="宋体"/>
          <w:sz w:val="18"/>
          <w:szCs w:val="18"/>
        </w:rPr>
      </w:pPr>
      <w:r w:rsidRPr="00642309">
        <w:rPr>
          <w:rFonts w:ascii="楷体_GB2312" w:eastAsia="楷体_GB2312" w:hAnsi="宋体" w:hint="eastAsia"/>
          <w:sz w:val="18"/>
          <w:szCs w:val="18"/>
        </w:rPr>
        <w:t>中图分类号：</w:t>
      </w:r>
      <w:r w:rsidRPr="00642309">
        <w:rPr>
          <w:rFonts w:ascii="楷体_GB2312" w:eastAsia="楷体_GB2312" w:hAnsi="宋体"/>
          <w:sz w:val="18"/>
          <w:szCs w:val="18"/>
        </w:rPr>
        <w:t>TN929   文献标志码：A     文章编号：1002-5561（2021）09-0024-04</w:t>
      </w:r>
    </w:p>
    <w:p w:rsidR="00642309" w:rsidRDefault="00642309" w:rsidP="00642309">
      <w:pPr>
        <w:jc w:val="left"/>
        <w:rPr>
          <w:rFonts w:ascii="楷体_GB2312" w:eastAsia="楷体_GB2312" w:hAnsi="宋体"/>
          <w:sz w:val="18"/>
          <w:szCs w:val="18"/>
        </w:rPr>
      </w:pPr>
      <w:r w:rsidRPr="00642309">
        <w:rPr>
          <w:rFonts w:ascii="楷体_GB2312" w:eastAsia="楷体_GB2312" w:hAnsi="宋体"/>
          <w:sz w:val="18"/>
          <w:szCs w:val="18"/>
        </w:rPr>
        <w:t xml:space="preserve">DOI：10.13921/j.cnki.issn1002-5561.2021.09.006      </w:t>
      </w:r>
      <w:r>
        <w:rPr>
          <w:rFonts w:ascii="楷体_GB2312" w:eastAsia="楷体_GB2312" w:hAnsi="宋体"/>
          <w:sz w:val="18"/>
          <w:szCs w:val="18"/>
        </w:rPr>
        <w:t xml:space="preserve">     </w:t>
      </w:r>
      <w:r w:rsidRPr="00B7141C">
        <w:rPr>
          <w:rFonts w:ascii="方正黑体_GBK" w:eastAsia="方正黑体_GBK"/>
          <w:sz w:val="18"/>
          <w:szCs w:val="18"/>
        </w:rPr>
        <w:t xml:space="preserve">  开放科学（资源服务）标识码（OSID）：</w:t>
      </w:r>
    </w:p>
    <w:p w:rsidR="00642309" w:rsidRDefault="00642309" w:rsidP="00642309">
      <w:pPr>
        <w:jc w:val="center"/>
        <w:rPr>
          <w:rFonts w:ascii="Times New Roman" w:eastAsia="方正黑体_GBK" w:hAnsi="Times New Roman" w:cs="Times New Roman"/>
          <w:sz w:val="32"/>
          <w:szCs w:val="32"/>
        </w:rPr>
      </w:pPr>
      <w:r w:rsidRPr="00642309">
        <w:rPr>
          <w:rFonts w:ascii="Times New Roman" w:eastAsia="方正黑体_GBK" w:hAnsi="Times New Roman" w:cs="Times New Roman"/>
          <w:sz w:val="32"/>
          <w:szCs w:val="32"/>
        </w:rPr>
        <w:t>Design and implementation of large area APD receiving circuit</w:t>
      </w:r>
    </w:p>
    <w:p w:rsidR="00642309" w:rsidRPr="00642309" w:rsidRDefault="00642309" w:rsidP="00642309">
      <w:pPr>
        <w:rPr>
          <w:rFonts w:ascii="Times New Roman" w:hAnsi="Times New Roman" w:cs="Times New Roman"/>
          <w:szCs w:val="21"/>
        </w:rPr>
      </w:pPr>
      <w:r w:rsidRPr="00642309">
        <w:rPr>
          <w:rFonts w:ascii="Times New Roman" w:hAnsi="Times New Roman" w:cs="Times New Roman"/>
          <w:szCs w:val="21"/>
        </w:rPr>
        <w:t>WANG Zhenya</w:t>
      </w:r>
      <w:r w:rsidRPr="00C40461">
        <w:rPr>
          <w:rFonts w:ascii="楷体_GB2312" w:eastAsia="楷体_GB2312"/>
          <w:sz w:val="24"/>
          <w:szCs w:val="24"/>
          <w:vertAlign w:val="superscript"/>
        </w:rPr>
        <w:t>1，3</w:t>
      </w:r>
      <w:r w:rsidRPr="00642309">
        <w:rPr>
          <w:rFonts w:ascii="Times New Roman" w:hAnsi="Times New Roman" w:cs="Times New Roman"/>
          <w:szCs w:val="21"/>
        </w:rPr>
        <w:t>, GUO Jianzhong</w:t>
      </w:r>
      <w:r w:rsidRPr="00C40461">
        <w:rPr>
          <w:rFonts w:ascii="楷体_GB2312" w:eastAsia="楷体_GB2312"/>
          <w:sz w:val="24"/>
          <w:szCs w:val="24"/>
          <w:vertAlign w:val="superscript"/>
        </w:rPr>
        <w:t>1，3*</w:t>
      </w:r>
      <w:r w:rsidRPr="00642309">
        <w:rPr>
          <w:rFonts w:ascii="Times New Roman" w:hAnsi="Times New Roman" w:cs="Times New Roman"/>
          <w:szCs w:val="21"/>
        </w:rPr>
        <w:t>, CAO Cong</w:t>
      </w:r>
      <w:r w:rsidRPr="00C40461">
        <w:rPr>
          <w:rFonts w:ascii="楷体_GB2312" w:eastAsia="楷体_GB2312"/>
          <w:sz w:val="24"/>
          <w:szCs w:val="24"/>
          <w:vertAlign w:val="superscript"/>
        </w:rPr>
        <w:t>1，3</w:t>
      </w:r>
      <w:r w:rsidRPr="00642309">
        <w:rPr>
          <w:rFonts w:ascii="Times New Roman" w:hAnsi="Times New Roman" w:cs="Times New Roman"/>
          <w:szCs w:val="21"/>
        </w:rPr>
        <w:t>, SHEN Tianhao</w:t>
      </w:r>
      <w:r w:rsidRPr="00C40461">
        <w:rPr>
          <w:rFonts w:ascii="楷体_GB2312" w:eastAsia="楷体_GB2312"/>
          <w:sz w:val="24"/>
          <w:szCs w:val="24"/>
          <w:vertAlign w:val="superscript"/>
        </w:rPr>
        <w:t>2，3</w:t>
      </w:r>
      <w:r w:rsidRPr="00642309">
        <w:rPr>
          <w:rFonts w:ascii="Times New Roman" w:hAnsi="Times New Roman" w:cs="Times New Roman"/>
          <w:szCs w:val="21"/>
        </w:rPr>
        <w:t>, CUI Yuhe</w:t>
      </w:r>
      <w:r w:rsidRPr="00C40461">
        <w:rPr>
          <w:rFonts w:ascii="楷体_GB2312" w:eastAsia="楷体_GB2312"/>
          <w:sz w:val="24"/>
          <w:szCs w:val="24"/>
          <w:vertAlign w:val="superscript"/>
        </w:rPr>
        <w:t>3</w:t>
      </w:r>
      <w:r w:rsidRPr="00642309">
        <w:rPr>
          <w:rFonts w:ascii="Times New Roman" w:hAnsi="Times New Roman" w:cs="Times New Roman"/>
          <w:szCs w:val="21"/>
        </w:rPr>
        <w:t>, AI Yong</w:t>
      </w:r>
      <w:r w:rsidRPr="00C40461">
        <w:rPr>
          <w:rFonts w:ascii="楷体_GB2312" w:eastAsia="楷体_GB2312"/>
          <w:sz w:val="24"/>
          <w:szCs w:val="24"/>
          <w:vertAlign w:val="superscript"/>
        </w:rPr>
        <w:t>3</w:t>
      </w:r>
      <w:r w:rsidRPr="00642309">
        <w:rPr>
          <w:rFonts w:ascii="Times New Roman" w:hAnsi="Times New Roman" w:cs="Times New Roman"/>
          <w:szCs w:val="21"/>
        </w:rPr>
        <w:t>, KONG Dejin</w:t>
      </w:r>
      <w:r w:rsidRPr="00C40461">
        <w:rPr>
          <w:rFonts w:ascii="楷体_GB2312" w:eastAsia="楷体_GB2312"/>
          <w:sz w:val="24"/>
          <w:szCs w:val="24"/>
          <w:vertAlign w:val="superscript"/>
        </w:rPr>
        <w:t>1</w:t>
      </w:r>
    </w:p>
    <w:p w:rsidR="00642309" w:rsidRPr="005C49E7" w:rsidRDefault="00642309" w:rsidP="005C49E7">
      <w:pPr>
        <w:jc w:val="center"/>
        <w:rPr>
          <w:rFonts w:ascii="Times New Roman" w:hAnsi="Times New Roman" w:cs="Times New Roman"/>
          <w:sz w:val="15"/>
          <w:szCs w:val="15"/>
        </w:rPr>
      </w:pPr>
      <w:r w:rsidRPr="005C49E7">
        <w:rPr>
          <w:rFonts w:ascii="Times New Roman" w:hAnsi="Times New Roman" w:cs="Times New Roman" w:hint="eastAsia"/>
          <w:sz w:val="15"/>
          <w:szCs w:val="15"/>
        </w:rPr>
        <w:t>（</w:t>
      </w:r>
      <w:r w:rsidRPr="005C49E7">
        <w:rPr>
          <w:rFonts w:ascii="Times New Roman" w:hAnsi="Times New Roman" w:cs="Times New Roman"/>
          <w:sz w:val="15"/>
          <w:szCs w:val="15"/>
        </w:rPr>
        <w:t>1. School of Electronic and Electrical Engineering, Wuhan Textile University, Wuhan 430200, China; 2. School of Physics and Electronic Science,  Hubei Normal University, Wuhan 435000, China; 3. Wuhan Liubo Photoelectric Technology Co., Ltd., Wuhan 430072, China</w:t>
      </w:r>
      <w:r w:rsidRPr="005C49E7">
        <w:rPr>
          <w:rFonts w:ascii="Times New Roman" w:hAnsi="Times New Roman" w:cs="Times New Roman"/>
          <w:sz w:val="15"/>
          <w:szCs w:val="15"/>
        </w:rPr>
        <w:t>）</w:t>
      </w:r>
    </w:p>
    <w:p w:rsidR="00642309" w:rsidRPr="005C49E7" w:rsidRDefault="00642309" w:rsidP="00642309">
      <w:pPr>
        <w:rPr>
          <w:rFonts w:ascii="Times New Roman" w:hAnsi="Times New Roman" w:cs="Times New Roman"/>
          <w:sz w:val="18"/>
          <w:szCs w:val="18"/>
        </w:rPr>
      </w:pPr>
      <w:r w:rsidRPr="005C49E7">
        <w:rPr>
          <w:rFonts w:ascii="Times New Roman" w:hAnsi="Times New Roman" w:cs="Times New Roman" w:hint="eastAsia"/>
          <w:sz w:val="18"/>
          <w:szCs w:val="18"/>
        </w:rPr>
        <w:t>Abstract</w:t>
      </w:r>
      <w:r w:rsidRPr="005C49E7">
        <w:rPr>
          <w:rFonts w:ascii="Times New Roman" w:hAnsi="Times New Roman" w:cs="Times New Roman"/>
          <w:sz w:val="18"/>
          <w:szCs w:val="18"/>
        </w:rPr>
        <w:t>: A large area avalanche photodiode</w:t>
      </w:r>
      <w:r w:rsidRPr="005C49E7">
        <w:rPr>
          <w:rFonts w:ascii="Times New Roman" w:hAnsi="Times New Roman" w:cs="Times New Roman"/>
          <w:sz w:val="18"/>
          <w:szCs w:val="18"/>
        </w:rPr>
        <w:t>（</w:t>
      </w:r>
      <w:r w:rsidRPr="005C49E7">
        <w:rPr>
          <w:rFonts w:ascii="Times New Roman" w:hAnsi="Times New Roman" w:cs="Times New Roman"/>
          <w:sz w:val="18"/>
          <w:szCs w:val="18"/>
        </w:rPr>
        <w:t>APD</w:t>
      </w:r>
      <w:r w:rsidRPr="005C49E7">
        <w:rPr>
          <w:rFonts w:ascii="Times New Roman" w:hAnsi="Times New Roman" w:cs="Times New Roman"/>
          <w:sz w:val="18"/>
          <w:szCs w:val="18"/>
        </w:rPr>
        <w:t>）</w:t>
      </w:r>
      <w:r w:rsidRPr="005C49E7">
        <w:rPr>
          <w:rFonts w:ascii="Times New Roman" w:hAnsi="Times New Roman" w:cs="Times New Roman"/>
          <w:sz w:val="18"/>
          <w:szCs w:val="18"/>
        </w:rPr>
        <w:t xml:space="preserve"> receiving circuit in visible light band is designed to solve the problem of small amplitude and easy distortion of the output signal when the photodetector detects weak optical signal. The circuit includes a large area APD detector, a trans-impedance amplifier</w:t>
      </w:r>
      <w:r w:rsidRPr="005C49E7">
        <w:rPr>
          <w:rFonts w:ascii="Times New Roman" w:hAnsi="Times New Roman" w:cs="Times New Roman"/>
          <w:sz w:val="18"/>
          <w:szCs w:val="18"/>
        </w:rPr>
        <w:t>（</w:t>
      </w:r>
      <w:r w:rsidRPr="005C49E7">
        <w:rPr>
          <w:rFonts w:ascii="Times New Roman" w:hAnsi="Times New Roman" w:cs="Times New Roman"/>
          <w:sz w:val="18"/>
          <w:szCs w:val="18"/>
        </w:rPr>
        <w:t>TIA</w:t>
      </w:r>
      <w:r w:rsidRPr="005C49E7">
        <w:rPr>
          <w:rFonts w:ascii="Times New Roman" w:hAnsi="Times New Roman" w:cs="Times New Roman"/>
          <w:sz w:val="18"/>
          <w:szCs w:val="18"/>
        </w:rPr>
        <w:t>）</w:t>
      </w:r>
      <w:r w:rsidRPr="005C49E7">
        <w:rPr>
          <w:rFonts w:ascii="Times New Roman" w:hAnsi="Times New Roman" w:cs="Times New Roman"/>
          <w:sz w:val="18"/>
          <w:szCs w:val="18"/>
        </w:rPr>
        <w:t xml:space="preserve"> and a subsequent weak signal processing circuit. The experimental results show that the designed large-area APD receiving circuit can realize 60 Mb/s visible light information acquisition, and the sensitivity is as low as -35 dBm. The weak signal processing circuit has good ability of following and shaping recovery.</w:t>
      </w:r>
    </w:p>
    <w:p w:rsidR="002D03EA" w:rsidRPr="005C49E7" w:rsidRDefault="00642309" w:rsidP="00642309">
      <w:pPr>
        <w:rPr>
          <w:rFonts w:ascii="Times New Roman" w:hAnsi="Times New Roman" w:cs="Times New Roman"/>
          <w:sz w:val="18"/>
          <w:szCs w:val="18"/>
        </w:rPr>
      </w:pPr>
      <w:r w:rsidRPr="005C49E7">
        <w:rPr>
          <w:rFonts w:ascii="Times New Roman" w:hAnsi="Times New Roman" w:cs="Times New Roman"/>
          <w:sz w:val="18"/>
          <w:szCs w:val="18"/>
        </w:rPr>
        <w:t>Key words: optical communication; avalanche photo diode; trans-impedance amplifier; limiting amplifier; optical power</w:t>
      </w:r>
    </w:p>
    <w:p w:rsidR="002D03EA" w:rsidRDefault="002D03EA" w:rsidP="00F142B0">
      <w:pPr>
        <w:rPr>
          <w:rFonts w:ascii="宋体" w:eastAsia="宋体" w:hAnsi="宋体"/>
        </w:rPr>
      </w:pPr>
    </w:p>
    <w:p w:rsidR="00642309" w:rsidRPr="005C49E7" w:rsidRDefault="00642309" w:rsidP="00642309">
      <w:pPr>
        <w:rPr>
          <w:rFonts w:ascii="方正黑体_GBK" w:eastAsia="方正黑体_GBK"/>
          <w:sz w:val="24"/>
          <w:szCs w:val="24"/>
        </w:rPr>
      </w:pPr>
      <w:r w:rsidRPr="005C49E7">
        <w:rPr>
          <w:rFonts w:ascii="方正黑体_GBK" w:eastAsia="方正黑体_GBK"/>
          <w:sz w:val="24"/>
          <w:szCs w:val="24"/>
        </w:rPr>
        <w:t>0 引言</w:t>
      </w:r>
    </w:p>
    <w:p w:rsidR="00642309" w:rsidRPr="00642309" w:rsidRDefault="00642309" w:rsidP="00642309">
      <w:pPr>
        <w:rPr>
          <w:rFonts w:ascii="宋体" w:eastAsia="宋体" w:hAnsi="宋体"/>
        </w:rPr>
      </w:pPr>
      <w:r w:rsidRPr="00642309">
        <w:rPr>
          <w:rFonts w:ascii="宋体" w:eastAsia="宋体" w:hAnsi="宋体" w:hint="eastAsia"/>
        </w:rPr>
        <w:t xml:space="preserve">　　近年来，随着物联网</w:t>
      </w:r>
      <w:r w:rsidRPr="00642309">
        <w:rPr>
          <w:rFonts w:ascii="宋体" w:eastAsia="宋体" w:hAnsi="宋体"/>
        </w:rPr>
        <w:t>5G技术的推进，大数据和人工智能技术的迅速发展，用户数量的高速增长对通信的速率与时延提出了更高的要求。可见光通信技术无需频谱认证，同时具有传输速率高、延时低、能耗低、保密性强和尺寸小等优势</w:t>
      </w:r>
      <w:r w:rsidRPr="00C40461">
        <w:rPr>
          <w:rFonts w:ascii="楷体_GB2312" w:eastAsia="楷体_GB2312"/>
          <w:sz w:val="24"/>
          <w:szCs w:val="24"/>
          <w:vertAlign w:val="superscript"/>
        </w:rPr>
        <w:t>[1]</w:t>
      </w:r>
      <w:r w:rsidRPr="00642309">
        <w:rPr>
          <w:rFonts w:ascii="宋体" w:eastAsia="宋体" w:hAnsi="宋体"/>
        </w:rPr>
        <w:t>，在解决传统通信“最后一公里”问题时展现了巨大的潜力，已成为无线信息传输领域的研究热点</w:t>
      </w:r>
      <w:r w:rsidRPr="00C40461">
        <w:rPr>
          <w:rFonts w:ascii="楷体_GB2312" w:eastAsia="楷体_GB2312"/>
          <w:sz w:val="24"/>
          <w:szCs w:val="24"/>
          <w:vertAlign w:val="superscript"/>
        </w:rPr>
        <w:t>[2]</w:t>
      </w:r>
      <w:r w:rsidRPr="00642309">
        <w:rPr>
          <w:rFonts w:ascii="宋体" w:eastAsia="宋体" w:hAnsi="宋体"/>
        </w:rPr>
        <w:t>。雪崩光电二极管（APD）</w:t>
      </w:r>
      <w:r w:rsidRPr="00C40461">
        <w:rPr>
          <w:rFonts w:ascii="楷体_GB2312" w:eastAsia="楷体_GB2312"/>
          <w:sz w:val="24"/>
          <w:szCs w:val="24"/>
          <w:vertAlign w:val="superscript"/>
        </w:rPr>
        <w:t>[3~5]</w:t>
      </w:r>
      <w:r w:rsidRPr="00642309">
        <w:rPr>
          <w:rFonts w:ascii="宋体" w:eastAsia="宋体" w:hAnsi="宋体"/>
        </w:rPr>
        <w:t>是光通信接收的常用器件，但APD在应用于光纤通信时感光面积小、灵敏度不高且器件中心波长远离可见光波段。本文针对大面积APD高灵敏度低噪声的信号提取、跨阻放大电路设计以及</w:t>
      </w:r>
      <w:r w:rsidRPr="00642309">
        <w:rPr>
          <w:rFonts w:ascii="宋体" w:eastAsia="宋体" w:hAnsi="宋体" w:hint="eastAsia"/>
        </w:rPr>
        <w:t>后续微弱电压信号处理展开讨论，提出一种可见光波段大面积感光低噪声的通信接收设计方案。</w:t>
      </w:r>
    </w:p>
    <w:p w:rsidR="00642309" w:rsidRPr="00642309" w:rsidRDefault="00642309" w:rsidP="00642309">
      <w:pPr>
        <w:rPr>
          <w:rFonts w:ascii="宋体" w:eastAsia="宋体" w:hAnsi="宋体"/>
        </w:rPr>
      </w:pPr>
    </w:p>
    <w:p w:rsidR="00642309" w:rsidRPr="005C49E7" w:rsidRDefault="00642309" w:rsidP="00642309">
      <w:pPr>
        <w:rPr>
          <w:rFonts w:ascii="方正黑体_GBK" w:eastAsia="方正黑体_GBK"/>
          <w:sz w:val="24"/>
          <w:szCs w:val="24"/>
        </w:rPr>
      </w:pPr>
      <w:r w:rsidRPr="005C49E7">
        <w:rPr>
          <w:rFonts w:ascii="方正黑体_GBK" w:eastAsia="方正黑体_GBK"/>
          <w:sz w:val="24"/>
          <w:szCs w:val="24"/>
        </w:rPr>
        <w:t>1 设计方案及原理</w:t>
      </w:r>
    </w:p>
    <w:p w:rsidR="00642309" w:rsidRPr="005C49E7" w:rsidRDefault="00642309" w:rsidP="00642309">
      <w:pPr>
        <w:rPr>
          <w:rFonts w:ascii="方正黑体_GBK" w:eastAsia="方正黑体_GBK" w:hAnsi="Times New Roman" w:cs="Times New Roman"/>
          <w:szCs w:val="21"/>
        </w:rPr>
      </w:pPr>
      <w:r w:rsidRPr="005C49E7">
        <w:rPr>
          <w:rFonts w:ascii="方正黑体_GBK" w:eastAsia="方正黑体_GBK" w:hAnsi="Times New Roman" w:cs="Times New Roman"/>
          <w:szCs w:val="21"/>
        </w:rPr>
        <w:t>1.1 方案设计</w:t>
      </w:r>
    </w:p>
    <w:p w:rsidR="00642309" w:rsidRDefault="00642309" w:rsidP="00642309">
      <w:pPr>
        <w:rPr>
          <w:rFonts w:ascii="宋体" w:eastAsia="宋体" w:hAnsi="宋体" w:hint="eastAsia"/>
        </w:rPr>
      </w:pPr>
      <w:r w:rsidRPr="00642309">
        <w:rPr>
          <w:rFonts w:ascii="宋体" w:eastAsia="宋体" w:hAnsi="宋体" w:hint="eastAsia"/>
        </w:rPr>
        <w:t xml:space="preserve">　　本文设计的大面积</w:t>
      </w:r>
      <w:r w:rsidRPr="00642309">
        <w:rPr>
          <w:rFonts w:ascii="宋体" w:eastAsia="宋体" w:hAnsi="宋体"/>
        </w:rPr>
        <w:t>APD接收电路如图1所示。其中，光学天线采用口径为50 mm、焦距为31 mm的透镜，可扩大采光度，提高接收光强。负电压可调模块为APD提供反向偏压，通过跨阻放大器（TIA）将APD输出</w:t>
      </w:r>
      <w:r w:rsidRPr="00642309">
        <w:rPr>
          <w:rFonts w:ascii="宋体" w:eastAsia="宋体" w:hAnsi="宋体"/>
        </w:rPr>
        <w:lastRenderedPageBreak/>
        <w:t>的电流信号进行电流至电压转换，后续将进行微弱信号处理，处理流程如下：首先将电压信号进行放大处理，然后进行单端信号转差分信号，再通过滤波和限幅放大输出差分限幅电平，最后将差分限幅电平转换成便于处理的低电压晶体管逻辑（LVTTL）电平。</w:t>
      </w:r>
    </w:p>
    <w:p w:rsidR="009A550E" w:rsidRDefault="009A550E" w:rsidP="009A550E">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3564500" cy="1060704"/>
            <wp:effectExtent l="19050" t="0" r="0" b="0"/>
            <wp:docPr id="1" name="图片 1" descr="C:\Documents and Settings\longyin\Application Data\Tencent\Users\65520456\QQ\WinTemp\RichOle\71FY12Z``4V](`9DLGIF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71FY12Z``4V](`9DLGIFS{A.png"/>
                    <pic:cNvPicPr>
                      <a:picLocks noChangeAspect="1" noChangeArrowheads="1"/>
                    </pic:cNvPicPr>
                  </pic:nvPicPr>
                  <pic:blipFill>
                    <a:blip r:embed="rId6"/>
                    <a:srcRect/>
                    <a:stretch>
                      <a:fillRect/>
                    </a:stretch>
                  </pic:blipFill>
                  <pic:spPr bwMode="auto">
                    <a:xfrm>
                      <a:off x="0" y="0"/>
                      <a:ext cx="3579554" cy="1065184"/>
                    </a:xfrm>
                    <a:prstGeom prst="rect">
                      <a:avLst/>
                    </a:prstGeom>
                    <a:noFill/>
                    <a:ln w="9525">
                      <a:noFill/>
                      <a:miter lim="800000"/>
                      <a:headEnd/>
                      <a:tailEnd/>
                    </a:ln>
                  </pic:spPr>
                </pic:pic>
              </a:graphicData>
            </a:graphic>
          </wp:inline>
        </w:drawing>
      </w:r>
    </w:p>
    <w:p w:rsidR="00026E35" w:rsidRPr="009A550E" w:rsidRDefault="00026E35" w:rsidP="009A550E">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1  大面积APD接收电路设计</w:t>
      </w:r>
    </w:p>
    <w:p w:rsidR="00642309" w:rsidRPr="005C49E7" w:rsidRDefault="00642309" w:rsidP="00642309">
      <w:pPr>
        <w:rPr>
          <w:rFonts w:ascii="方正黑体_GBK" w:eastAsia="方正黑体_GBK" w:hAnsi="Times New Roman" w:cs="Times New Roman"/>
          <w:szCs w:val="21"/>
        </w:rPr>
      </w:pPr>
      <w:r w:rsidRPr="005C49E7">
        <w:rPr>
          <w:rFonts w:ascii="方正黑体_GBK" w:eastAsia="方正黑体_GBK" w:hAnsi="Times New Roman" w:cs="Times New Roman"/>
          <w:szCs w:val="21"/>
        </w:rPr>
        <w:t>1.2 APD选取</w:t>
      </w:r>
    </w:p>
    <w:p w:rsidR="00642309" w:rsidRPr="00642309" w:rsidRDefault="00642309" w:rsidP="00642309">
      <w:pPr>
        <w:rPr>
          <w:rFonts w:ascii="宋体" w:eastAsia="宋体" w:hAnsi="宋体"/>
        </w:rPr>
      </w:pPr>
      <w:r w:rsidRPr="00642309">
        <w:rPr>
          <w:rFonts w:ascii="宋体" w:eastAsia="宋体" w:hAnsi="宋体" w:hint="eastAsia"/>
        </w:rPr>
        <w:t xml:space="preserve">　　针对可见光电探测输出信号小且易失真，接收设备灵敏度不高的问题，本文设计选用大感光面积滨松</w:t>
      </w:r>
      <w:r w:rsidRPr="00642309">
        <w:rPr>
          <w:rFonts w:ascii="宋体" w:eastAsia="宋体" w:hAnsi="宋体"/>
        </w:rPr>
        <w:t>S8664-50K APD，峰值灵敏度波长为600 nm，光谱响应范围为320~1000 nm，截止频率为60 MHz，感光直径为5 mm，灵敏度为0.24 A/W。在反向偏置电压较低时，APD的光电倍增系数很小。为了提高接收灵敏度，需要使用较高的反向偏置电压，因此本文使用-340 V的偏压。</w:t>
      </w:r>
    </w:p>
    <w:p w:rsidR="00642309" w:rsidRPr="005C49E7" w:rsidRDefault="00642309" w:rsidP="00642309">
      <w:pPr>
        <w:rPr>
          <w:rFonts w:ascii="方正黑体_GBK" w:eastAsia="方正黑体_GBK" w:hAnsi="Times New Roman" w:cs="Times New Roman"/>
          <w:szCs w:val="21"/>
        </w:rPr>
      </w:pPr>
      <w:r w:rsidRPr="005C49E7">
        <w:rPr>
          <w:rFonts w:ascii="方正黑体_GBK" w:eastAsia="方正黑体_GBK" w:hAnsi="Times New Roman" w:cs="Times New Roman"/>
          <w:szCs w:val="21"/>
        </w:rPr>
        <w:t>1.3 TIA设计</w:t>
      </w:r>
    </w:p>
    <w:p w:rsidR="00642309" w:rsidRPr="00642309" w:rsidRDefault="00642309" w:rsidP="00642309">
      <w:pPr>
        <w:rPr>
          <w:rFonts w:ascii="宋体" w:eastAsia="宋体" w:hAnsi="宋体"/>
        </w:rPr>
      </w:pPr>
      <w:r w:rsidRPr="00642309">
        <w:rPr>
          <w:rFonts w:ascii="宋体" w:eastAsia="宋体" w:hAnsi="宋体" w:hint="eastAsia"/>
        </w:rPr>
        <w:t xml:space="preserve">　　</w:t>
      </w:r>
      <w:r w:rsidRPr="00642309">
        <w:rPr>
          <w:rFonts w:ascii="宋体" w:eastAsia="宋体" w:hAnsi="宋体"/>
        </w:rPr>
        <w:t>TIA是APD的前端放大器，用于将APD输出电流转换为电压。TIA的输出电压Vout由后级放大部分的反馈电阻</w:t>
      </w:r>
      <w:r w:rsidRPr="00C40461">
        <w:rPr>
          <w:rFonts w:ascii="宋体" w:eastAsia="宋体" w:hAnsi="宋体"/>
          <w:i/>
        </w:rPr>
        <w:t>Rf</w:t>
      </w:r>
      <w:r w:rsidRPr="00642309">
        <w:rPr>
          <w:rFonts w:ascii="宋体" w:eastAsia="宋体" w:hAnsi="宋体"/>
        </w:rPr>
        <w:t>和APD输入到TIA的电流I决定。</w:t>
      </w:r>
    </w:p>
    <w:p w:rsidR="00642309" w:rsidRPr="00642309" w:rsidRDefault="00642309" w:rsidP="009A550E">
      <w:pPr>
        <w:jc w:val="center"/>
        <w:rPr>
          <w:rFonts w:ascii="宋体" w:eastAsia="宋体" w:hAnsi="宋体"/>
        </w:rPr>
      </w:pPr>
      <w:r w:rsidRPr="00C40461">
        <w:rPr>
          <w:rFonts w:ascii="宋体" w:eastAsia="宋体" w:hAnsi="宋体"/>
          <w:i/>
        </w:rPr>
        <w:t>V</w:t>
      </w:r>
      <w:r w:rsidRPr="00C40461">
        <w:rPr>
          <w:rFonts w:ascii="宋体" w:eastAsia="宋体" w:hAnsi="宋体"/>
          <w:vertAlign w:val="subscript"/>
        </w:rPr>
        <w:t>out</w:t>
      </w:r>
      <w:r w:rsidRPr="00642309">
        <w:rPr>
          <w:rFonts w:ascii="宋体" w:eastAsia="宋体" w:hAnsi="宋体"/>
        </w:rPr>
        <w:t>=</w:t>
      </w:r>
      <w:r w:rsidRPr="00026E35">
        <w:rPr>
          <w:rFonts w:ascii="宋体" w:eastAsia="宋体" w:hAnsi="宋体"/>
          <w:i/>
        </w:rPr>
        <w:t>I</w:t>
      </w:r>
      <w:r w:rsidRPr="00642309">
        <w:rPr>
          <w:rFonts w:ascii="宋体" w:eastAsia="宋体" w:hAnsi="宋体"/>
        </w:rPr>
        <w:t>×</w:t>
      </w:r>
      <w:r w:rsidRPr="00C40461">
        <w:rPr>
          <w:rFonts w:ascii="宋体" w:eastAsia="宋体" w:hAnsi="宋体"/>
          <w:i/>
        </w:rPr>
        <w:t>R</w:t>
      </w:r>
      <w:r w:rsidRPr="009A550E">
        <w:rPr>
          <w:rFonts w:ascii="宋体" w:eastAsia="宋体" w:hAnsi="宋体"/>
          <w:i/>
          <w:vertAlign w:val="subscript"/>
        </w:rPr>
        <w:t>f</w:t>
      </w:r>
      <w:r w:rsidR="009A550E">
        <w:rPr>
          <w:rFonts w:ascii="宋体" w:eastAsia="宋体" w:hAnsi="宋体" w:hint="eastAsia"/>
          <w:i/>
          <w:vertAlign w:val="subscript"/>
        </w:rPr>
        <w:t xml:space="preserve">                                   </w:t>
      </w:r>
      <w:r w:rsidRPr="00642309">
        <w:rPr>
          <w:rFonts w:ascii="宋体" w:eastAsia="宋体" w:hAnsi="宋体"/>
        </w:rPr>
        <w:t>（1）</w:t>
      </w:r>
    </w:p>
    <w:p w:rsidR="00642309" w:rsidRPr="00642309" w:rsidRDefault="00642309" w:rsidP="00642309">
      <w:pPr>
        <w:rPr>
          <w:rFonts w:ascii="宋体" w:eastAsia="宋体" w:hAnsi="宋体"/>
        </w:rPr>
      </w:pPr>
      <w:r w:rsidRPr="00642309">
        <w:rPr>
          <w:rFonts w:ascii="宋体" w:eastAsia="宋体" w:hAnsi="宋体"/>
        </w:rPr>
        <w:tab/>
        <w:t>TIA的噪声模型如图2所示，由此得出的信噪</w:t>
      </w:r>
      <w:r w:rsidRPr="00642309">
        <w:rPr>
          <w:rFonts w:ascii="宋体" w:eastAsia="宋体" w:hAnsi="宋体" w:hint="eastAsia"/>
        </w:rPr>
        <w:t>比（</w:t>
      </w:r>
      <w:r w:rsidRPr="00642309">
        <w:rPr>
          <w:rFonts w:ascii="宋体" w:eastAsia="宋体" w:hAnsi="宋体"/>
        </w:rPr>
        <w:t>SNR）公式为：</w:t>
      </w:r>
    </w:p>
    <w:p w:rsidR="000A04AD" w:rsidRPr="000A04AD" w:rsidRDefault="009A550E" w:rsidP="00026E3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39896" cy="551711"/>
            <wp:effectExtent l="19050" t="0" r="8104" b="0"/>
            <wp:docPr id="3" name="图片 3" descr="C:\Documents and Settings\longyin\Application Data\Tencent\Users\65520456\QQ\WinTemp\RichOle\7{0KP~~O4($HTI2FV{3~_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7{0KP~~O4($HTI2FV{3~_CS.png"/>
                    <pic:cNvPicPr>
                      <a:picLocks noChangeAspect="1" noChangeArrowheads="1"/>
                    </pic:cNvPicPr>
                  </pic:nvPicPr>
                  <pic:blipFill>
                    <a:blip r:embed="rId7"/>
                    <a:srcRect/>
                    <a:stretch>
                      <a:fillRect/>
                    </a:stretch>
                  </pic:blipFill>
                  <pic:spPr bwMode="auto">
                    <a:xfrm>
                      <a:off x="0" y="0"/>
                      <a:ext cx="3040117" cy="551751"/>
                    </a:xfrm>
                    <a:prstGeom prst="rect">
                      <a:avLst/>
                    </a:prstGeom>
                    <a:noFill/>
                    <a:ln w="9525">
                      <a:noFill/>
                      <a:miter lim="800000"/>
                      <a:headEnd/>
                      <a:tailEnd/>
                    </a:ln>
                  </pic:spPr>
                </pic:pic>
              </a:graphicData>
            </a:graphic>
          </wp:inline>
        </w:drawing>
      </w:r>
    </w:p>
    <w:p w:rsidR="00026E35" w:rsidRPr="00026E35" w:rsidRDefault="00026E35" w:rsidP="00026E3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76136" cy="929030"/>
            <wp:effectExtent l="19050" t="0" r="5164" b="0"/>
            <wp:docPr id="19" name="图片 19" descr="C:\Documents and Settings\longyin\Application Data\Tencent\Users\65520456\QQ\WinTemp\RichOle\4)~_{5{ULX(J)]X[MRPOR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4)~_{5{ULX(J)]X[MRPOR41.png"/>
                    <pic:cNvPicPr>
                      <a:picLocks noChangeAspect="1" noChangeArrowheads="1"/>
                    </pic:cNvPicPr>
                  </pic:nvPicPr>
                  <pic:blipFill>
                    <a:blip r:embed="rId8"/>
                    <a:srcRect/>
                    <a:stretch>
                      <a:fillRect/>
                    </a:stretch>
                  </pic:blipFill>
                  <pic:spPr bwMode="auto">
                    <a:xfrm>
                      <a:off x="0" y="0"/>
                      <a:ext cx="2776017" cy="928990"/>
                    </a:xfrm>
                    <a:prstGeom prst="rect">
                      <a:avLst/>
                    </a:prstGeom>
                    <a:noFill/>
                    <a:ln w="9525">
                      <a:noFill/>
                      <a:miter lim="800000"/>
                      <a:headEnd/>
                      <a:tailEnd/>
                    </a:ln>
                  </pic:spPr>
                </pic:pic>
              </a:graphicData>
            </a:graphic>
          </wp:inline>
        </w:drawing>
      </w:r>
    </w:p>
    <w:p w:rsidR="000A04AD" w:rsidRPr="00107EA7" w:rsidRDefault="00026E35" w:rsidP="00026E35">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2  跨阻型放大器噪声模型</w:t>
      </w:r>
    </w:p>
    <w:p w:rsidR="00642309" w:rsidRPr="00642309" w:rsidRDefault="00642309" w:rsidP="00642309">
      <w:pPr>
        <w:rPr>
          <w:rFonts w:ascii="宋体" w:eastAsia="宋体" w:hAnsi="宋体"/>
        </w:rPr>
      </w:pPr>
      <w:r w:rsidRPr="00642309">
        <w:rPr>
          <w:rFonts w:ascii="宋体" w:eastAsia="宋体" w:hAnsi="宋体" w:hint="eastAsia"/>
        </w:rPr>
        <w:t>其中，</w:t>
      </w:r>
      <w:r w:rsidRPr="00642309">
        <w:rPr>
          <w:rFonts w:ascii="宋体" w:eastAsia="宋体" w:hAnsi="宋体"/>
        </w:rPr>
        <w:t>4</w:t>
      </w:r>
      <w:r w:rsidRPr="00C40461">
        <w:rPr>
          <w:rFonts w:ascii="宋体" w:eastAsia="宋体" w:hAnsi="宋体"/>
          <w:i/>
        </w:rPr>
        <w:t>kTR</w:t>
      </w:r>
      <w:r w:rsidRPr="00C40461">
        <w:rPr>
          <w:rFonts w:ascii="宋体" w:eastAsia="宋体" w:hAnsi="宋体"/>
          <w:vertAlign w:val="subscript"/>
        </w:rPr>
        <w:t>f</w:t>
      </w:r>
      <w:r w:rsidRPr="00642309">
        <w:rPr>
          <w:rFonts w:ascii="宋体" w:eastAsia="宋体" w:hAnsi="宋体"/>
        </w:rPr>
        <w:t>为电阻的热噪声，</w:t>
      </w:r>
      <m:oMath>
        <m:sSubSup>
          <m:sSubSupPr>
            <m:ctrlPr>
              <w:rPr>
                <w:rFonts w:ascii="Cambria Math" w:eastAsia="宋体" w:hAnsi="Cambria Math"/>
                <w:i/>
              </w:rPr>
            </m:ctrlPr>
          </m:sSubSupPr>
          <m:e>
            <m:r>
              <w:rPr>
                <w:rFonts w:ascii="Cambria Math" w:eastAsia="宋体" w:hAnsi="Cambria Math"/>
              </w:rPr>
              <m:t>v</m:t>
            </m:r>
          </m:e>
          <m:sub>
            <m:r>
              <w:rPr>
                <w:rFonts w:ascii="Cambria Math" w:eastAsia="宋体" w:hAnsi="Cambria Math"/>
              </w:rPr>
              <m:t>n</m:t>
            </m:r>
          </m:sub>
          <m:sup>
            <m:r>
              <m:rPr>
                <m:sty m:val="p"/>
              </m:rPr>
              <w:rPr>
                <w:rFonts w:ascii="Cambria Math" w:eastAsia="宋体" w:hAnsi="Cambria Math"/>
              </w:rPr>
              <m:t>2</m:t>
            </m:r>
          </m:sup>
        </m:sSubSup>
      </m:oMath>
      <w:r w:rsidRPr="00642309">
        <w:rPr>
          <w:rFonts w:ascii="宋体" w:eastAsia="宋体" w:hAnsi="宋体"/>
        </w:rPr>
        <w:t>为正端电压引入的噪声，（</w:t>
      </w:r>
      <w:r w:rsidRPr="00C40461">
        <w:rPr>
          <w:rFonts w:ascii="宋体" w:eastAsia="宋体" w:hAnsi="宋体"/>
          <w:i/>
        </w:rPr>
        <w:t>i</w:t>
      </w:r>
      <w:r w:rsidRPr="00101422">
        <w:rPr>
          <w:rFonts w:ascii="宋体" w:eastAsia="宋体" w:hAnsi="宋体"/>
          <w:i/>
          <w:vertAlign w:val="subscript"/>
        </w:rPr>
        <w:t>n</w:t>
      </w:r>
      <w:r w:rsidRPr="00C40461">
        <w:rPr>
          <w:rFonts w:ascii="宋体" w:eastAsia="宋体" w:hAnsi="宋体"/>
          <w:i/>
        </w:rPr>
        <w:t>R</w:t>
      </w:r>
      <w:r w:rsidRPr="00101422">
        <w:rPr>
          <w:rFonts w:ascii="宋体" w:eastAsia="宋体" w:hAnsi="宋体"/>
          <w:vertAlign w:val="subscript"/>
        </w:rPr>
        <w:t>f</w:t>
      </w:r>
      <w:r w:rsidRPr="00642309">
        <w:rPr>
          <w:rFonts w:ascii="宋体" w:eastAsia="宋体" w:hAnsi="宋体"/>
        </w:rPr>
        <w:t>）</w:t>
      </w:r>
      <w:r w:rsidRPr="00101422">
        <w:rPr>
          <w:rFonts w:ascii="宋体" w:eastAsia="宋体" w:hAnsi="宋体"/>
          <w:vertAlign w:val="superscript"/>
        </w:rPr>
        <w:t>2</w:t>
      </w:r>
      <w:r w:rsidRPr="00642309">
        <w:rPr>
          <w:rFonts w:ascii="宋体" w:eastAsia="宋体" w:hAnsi="宋体"/>
        </w:rPr>
        <w:t>为负端电流引入的噪声，</w:t>
      </w:r>
      <w:r w:rsidRPr="00C40461">
        <w:rPr>
          <w:rFonts w:ascii="宋体" w:eastAsia="宋体" w:hAnsi="宋体"/>
          <w:i/>
        </w:rPr>
        <w:t>i</w:t>
      </w:r>
      <w:r w:rsidRPr="00026E35">
        <w:rPr>
          <w:rFonts w:ascii="宋体" w:eastAsia="宋体" w:hAnsi="宋体"/>
          <w:i/>
          <w:vertAlign w:val="subscript"/>
        </w:rPr>
        <w:t>n</w:t>
      </w:r>
      <w:r w:rsidRPr="00642309">
        <w:rPr>
          <w:rFonts w:ascii="宋体" w:eastAsia="宋体" w:hAnsi="宋体"/>
        </w:rPr>
        <w:t>是APD的电流噪声，输入端</w:t>
      </w:r>
      <w:r w:rsidRPr="00C40461">
        <w:rPr>
          <w:rFonts w:ascii="宋体" w:eastAsia="宋体" w:hAnsi="宋体"/>
          <w:i/>
        </w:rPr>
        <w:t>电容C</w:t>
      </w:r>
      <w:r w:rsidRPr="00026E35">
        <w:rPr>
          <w:rFonts w:ascii="宋体" w:eastAsia="宋体" w:hAnsi="宋体"/>
          <w:vertAlign w:val="subscript"/>
        </w:rPr>
        <w:t>in</w:t>
      </w:r>
      <w:r w:rsidRPr="00642309">
        <w:rPr>
          <w:rFonts w:ascii="宋体" w:eastAsia="宋体" w:hAnsi="宋体"/>
        </w:rPr>
        <w:t>约为60 pF</w:t>
      </w:r>
      <w:r w:rsidRPr="000A04AD">
        <w:rPr>
          <w:rFonts w:ascii="宋体" w:eastAsia="宋体" w:hAnsi="宋体"/>
          <w:vertAlign w:val="superscript"/>
        </w:rPr>
        <w:t>[6]</w:t>
      </w:r>
      <w:r w:rsidRPr="00642309">
        <w:rPr>
          <w:rFonts w:ascii="宋体" w:eastAsia="宋体" w:hAnsi="宋体"/>
        </w:rPr>
        <w:t>，TIA的-3 dB带宽</w:t>
      </w:r>
      <w:r w:rsidRPr="00101422">
        <w:rPr>
          <w:rFonts w:ascii="宋体" w:eastAsia="宋体" w:hAnsi="宋体"/>
          <w:i/>
        </w:rPr>
        <w:t>f</w:t>
      </w:r>
      <w:r w:rsidR="00101422" w:rsidRPr="00101422">
        <w:rPr>
          <w:rFonts w:ascii="宋体" w:eastAsia="宋体" w:hAnsi="宋体"/>
          <w:vertAlign w:val="subscript"/>
        </w:rPr>
        <w:t>-3 dB</w:t>
      </w:r>
      <w:r w:rsidRPr="00642309">
        <w:rPr>
          <w:rFonts w:ascii="宋体" w:eastAsia="宋体" w:hAnsi="宋体"/>
        </w:rPr>
        <w:t>为：</w:t>
      </w:r>
    </w:p>
    <w:p w:rsidR="00642309" w:rsidRPr="009A550E" w:rsidRDefault="009A550E" w:rsidP="009A550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57997" cy="371633"/>
            <wp:effectExtent l="19050" t="0" r="0" b="0"/>
            <wp:docPr id="5" name="图片 5" descr="C:\Documents and Settings\longyin\Application Data\Tencent\Users\65520456\QQ\WinTemp\RichOle\M41ATM5127KMG_NWG~BFG5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M41ATM5127KMG_NWG~BFG5L.png"/>
                    <pic:cNvPicPr>
                      <a:picLocks noChangeAspect="1" noChangeArrowheads="1"/>
                    </pic:cNvPicPr>
                  </pic:nvPicPr>
                  <pic:blipFill>
                    <a:blip r:embed="rId9"/>
                    <a:srcRect/>
                    <a:stretch>
                      <a:fillRect/>
                    </a:stretch>
                  </pic:blipFill>
                  <pic:spPr bwMode="auto">
                    <a:xfrm>
                      <a:off x="0" y="0"/>
                      <a:ext cx="3259297" cy="371781"/>
                    </a:xfrm>
                    <a:prstGeom prst="rect">
                      <a:avLst/>
                    </a:prstGeom>
                    <a:noFill/>
                    <a:ln w="9525">
                      <a:noFill/>
                      <a:miter lim="800000"/>
                      <a:headEnd/>
                      <a:tailEnd/>
                    </a:ln>
                  </pic:spPr>
                </pic:pic>
              </a:graphicData>
            </a:graphic>
          </wp:inline>
        </w:drawing>
      </w:r>
    </w:p>
    <w:p w:rsidR="00642309" w:rsidRPr="00642309" w:rsidRDefault="00642309" w:rsidP="00642309">
      <w:pPr>
        <w:rPr>
          <w:rFonts w:ascii="宋体" w:eastAsia="宋体" w:hAnsi="宋体"/>
        </w:rPr>
      </w:pPr>
      <w:r w:rsidRPr="00642309">
        <w:rPr>
          <w:rFonts w:ascii="宋体" w:eastAsia="宋体" w:hAnsi="宋体" w:hint="eastAsia"/>
        </w:rPr>
        <w:t>其中，</w:t>
      </w:r>
      <w:r w:rsidRPr="00642309">
        <w:rPr>
          <w:rFonts w:ascii="宋体" w:eastAsia="宋体" w:hAnsi="宋体"/>
        </w:rPr>
        <w:t>GBP是增益带宽积，反馈电阻设置</w:t>
      </w:r>
      <w:r w:rsidRPr="00C40461">
        <w:rPr>
          <w:rFonts w:ascii="宋体" w:eastAsia="宋体" w:hAnsi="宋体"/>
          <w:i/>
        </w:rPr>
        <w:t>R</w:t>
      </w:r>
      <w:r w:rsidRPr="009A550E">
        <w:rPr>
          <w:rFonts w:ascii="宋体" w:eastAsia="宋体" w:hAnsi="宋体"/>
          <w:i/>
          <w:vertAlign w:val="subscript"/>
        </w:rPr>
        <w:t>f</w:t>
      </w:r>
      <w:r w:rsidRPr="00642309">
        <w:rPr>
          <w:rFonts w:ascii="宋体" w:eastAsia="宋体" w:hAnsi="宋体"/>
        </w:rPr>
        <w:t>=2 kΩ，</w:t>
      </w:r>
      <w:r w:rsidRPr="00C40461">
        <w:rPr>
          <w:rFonts w:ascii="宋体" w:eastAsia="宋体" w:hAnsi="宋体"/>
          <w:i/>
        </w:rPr>
        <w:t>f</w:t>
      </w:r>
      <w:r w:rsidRPr="009A550E">
        <w:rPr>
          <w:rFonts w:ascii="宋体" w:eastAsia="宋体" w:hAnsi="宋体"/>
          <w:i/>
          <w:vertAlign w:val="subscript"/>
        </w:rPr>
        <w:t>-3dB</w:t>
      </w:r>
      <w:r w:rsidRPr="00642309">
        <w:rPr>
          <w:rFonts w:ascii="宋体" w:eastAsia="宋体" w:hAnsi="宋体"/>
        </w:rPr>
        <w:t>=84 MHz。由于前端输入电容</w:t>
      </w:r>
      <w:r w:rsidRPr="00C40461">
        <w:rPr>
          <w:rFonts w:ascii="宋体" w:eastAsia="宋体" w:hAnsi="宋体"/>
          <w:i/>
        </w:rPr>
        <w:t>C</w:t>
      </w:r>
      <w:r w:rsidRPr="009A550E">
        <w:rPr>
          <w:rFonts w:ascii="宋体" w:eastAsia="宋体" w:hAnsi="宋体"/>
          <w:i/>
          <w:vertAlign w:val="subscript"/>
        </w:rPr>
        <w:t>in</w:t>
      </w:r>
      <w:r w:rsidRPr="00642309">
        <w:rPr>
          <w:rFonts w:ascii="宋体" w:eastAsia="宋体" w:hAnsi="宋体"/>
        </w:rPr>
        <w:t>和</w:t>
      </w:r>
      <w:r w:rsidRPr="00C40461">
        <w:rPr>
          <w:rFonts w:ascii="宋体" w:eastAsia="宋体" w:hAnsi="宋体"/>
          <w:i/>
        </w:rPr>
        <w:t>R</w:t>
      </w:r>
      <w:r w:rsidRPr="009A550E">
        <w:rPr>
          <w:rFonts w:ascii="宋体" w:eastAsia="宋体" w:hAnsi="宋体"/>
          <w:i/>
          <w:vertAlign w:val="subscript"/>
        </w:rPr>
        <w:t>f</w:t>
      </w:r>
      <w:r w:rsidRPr="00642309">
        <w:rPr>
          <w:rFonts w:ascii="宋体" w:eastAsia="宋体" w:hAnsi="宋体"/>
        </w:rPr>
        <w:t>在噪声增益中会形成一个零点，导致运放不稳定，引起自激，因此需要在反馈电阻</w:t>
      </w:r>
      <w:r w:rsidRPr="00C40461">
        <w:rPr>
          <w:rFonts w:ascii="宋体" w:eastAsia="宋体" w:hAnsi="宋体"/>
          <w:i/>
        </w:rPr>
        <w:t>R</w:t>
      </w:r>
      <w:r w:rsidRPr="00101422">
        <w:rPr>
          <w:rFonts w:ascii="宋体" w:eastAsia="宋体" w:hAnsi="宋体"/>
          <w:i/>
          <w:vertAlign w:val="subscript"/>
        </w:rPr>
        <w:t>f</w:t>
      </w:r>
      <w:r w:rsidRPr="00642309">
        <w:rPr>
          <w:rFonts w:ascii="宋体" w:eastAsia="宋体" w:hAnsi="宋体"/>
        </w:rPr>
        <w:t>上并联一个补偿电容</w:t>
      </w:r>
      <w:r w:rsidRPr="00C40461">
        <w:rPr>
          <w:rFonts w:ascii="宋体" w:eastAsia="宋体" w:hAnsi="宋体"/>
          <w:i/>
        </w:rPr>
        <w:t>C</w:t>
      </w:r>
      <w:r w:rsidRPr="009A550E">
        <w:rPr>
          <w:rFonts w:ascii="宋体" w:eastAsia="宋体" w:hAnsi="宋体"/>
          <w:i/>
          <w:vertAlign w:val="subscript"/>
        </w:rPr>
        <w:t>f</w:t>
      </w:r>
      <w:r w:rsidRPr="00642309">
        <w:rPr>
          <w:rFonts w:ascii="宋体" w:eastAsia="宋体" w:hAnsi="宋体"/>
        </w:rPr>
        <w:t>，为获得最大平坦度的闭环巴特沃斯响应，</w:t>
      </w:r>
      <w:r w:rsidRPr="00C40461">
        <w:rPr>
          <w:rFonts w:ascii="宋体" w:eastAsia="宋体" w:hAnsi="宋体"/>
          <w:i/>
        </w:rPr>
        <w:t>C</w:t>
      </w:r>
      <w:r w:rsidRPr="009A550E">
        <w:rPr>
          <w:rFonts w:ascii="宋体" w:eastAsia="宋体" w:hAnsi="宋体"/>
          <w:i/>
          <w:vertAlign w:val="subscript"/>
        </w:rPr>
        <w:t>f</w:t>
      </w:r>
      <w:r w:rsidRPr="00642309">
        <w:rPr>
          <w:rFonts w:ascii="宋体" w:eastAsia="宋体" w:hAnsi="宋体"/>
        </w:rPr>
        <w:t>的取值如式（4）所示，经计算</w:t>
      </w:r>
      <w:r w:rsidRPr="00C40461">
        <w:rPr>
          <w:rFonts w:ascii="宋体" w:eastAsia="宋体" w:hAnsi="宋体"/>
          <w:i/>
        </w:rPr>
        <w:t>C</w:t>
      </w:r>
      <w:r w:rsidRPr="009A550E">
        <w:rPr>
          <w:rFonts w:ascii="宋体" w:eastAsia="宋体" w:hAnsi="宋体"/>
          <w:i/>
          <w:vertAlign w:val="subscript"/>
        </w:rPr>
        <w:t>f</w:t>
      </w:r>
      <w:r w:rsidRPr="00642309">
        <w:rPr>
          <w:rFonts w:ascii="宋体" w:eastAsia="宋体" w:hAnsi="宋体"/>
        </w:rPr>
        <w:t>=0.92 pF。</w:t>
      </w:r>
    </w:p>
    <w:p w:rsidR="00642309" w:rsidRPr="009A550E" w:rsidRDefault="009A550E" w:rsidP="009A550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39505" cy="375675"/>
            <wp:effectExtent l="19050" t="0" r="8495" b="0"/>
            <wp:docPr id="9" name="图片 9" descr="C:\Documents and Settings\longyin\Application Data\Tencent\Users\65520456\QQ\WinTemp\RichOle\[8$G8MWS8VBD3_ZS@OFQZ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8$G8MWS8VBD3_ZS@OFQZAM.png"/>
                    <pic:cNvPicPr>
                      <a:picLocks noChangeAspect="1" noChangeArrowheads="1"/>
                    </pic:cNvPicPr>
                  </pic:nvPicPr>
                  <pic:blipFill>
                    <a:blip r:embed="rId10"/>
                    <a:srcRect/>
                    <a:stretch>
                      <a:fillRect/>
                    </a:stretch>
                  </pic:blipFill>
                  <pic:spPr bwMode="auto">
                    <a:xfrm>
                      <a:off x="0" y="0"/>
                      <a:ext cx="3040317" cy="375775"/>
                    </a:xfrm>
                    <a:prstGeom prst="rect">
                      <a:avLst/>
                    </a:prstGeom>
                    <a:noFill/>
                    <a:ln w="9525">
                      <a:noFill/>
                      <a:miter lim="800000"/>
                      <a:headEnd/>
                      <a:tailEnd/>
                    </a:ln>
                  </pic:spPr>
                </pic:pic>
              </a:graphicData>
            </a:graphic>
          </wp:inline>
        </w:drawing>
      </w:r>
    </w:p>
    <w:p w:rsidR="00642309" w:rsidRPr="005C49E7" w:rsidRDefault="00642309" w:rsidP="00642309">
      <w:pPr>
        <w:rPr>
          <w:rFonts w:ascii="方正黑体_GBK" w:eastAsia="方正黑体_GBK" w:hAnsi="Times New Roman" w:cs="Times New Roman"/>
          <w:szCs w:val="21"/>
        </w:rPr>
      </w:pPr>
      <w:r w:rsidRPr="005C49E7">
        <w:rPr>
          <w:rFonts w:ascii="方正黑体_GBK" w:eastAsia="方正黑体_GBK" w:hAnsi="Times New Roman" w:cs="Times New Roman"/>
          <w:szCs w:val="21"/>
        </w:rPr>
        <w:t>1.4 后级放大设计</w:t>
      </w:r>
    </w:p>
    <w:p w:rsidR="00642309" w:rsidRDefault="00642309" w:rsidP="00642309">
      <w:pPr>
        <w:rPr>
          <w:rFonts w:ascii="宋体" w:eastAsia="宋体" w:hAnsi="宋体" w:hint="eastAsia"/>
        </w:rPr>
      </w:pPr>
      <w:r w:rsidRPr="00642309">
        <w:rPr>
          <w:rFonts w:ascii="宋体" w:eastAsia="宋体" w:hAnsi="宋体" w:hint="eastAsia"/>
        </w:rPr>
        <w:t xml:space="preserve">　　为了获得高增益和高带宽，需要对</w:t>
      </w:r>
      <w:r w:rsidRPr="00642309">
        <w:rPr>
          <w:rFonts w:ascii="宋体" w:eastAsia="宋体" w:hAnsi="宋体"/>
        </w:rPr>
        <w:t>APD输出的电压信号进行后级放大，本文设计的后级放大电路图如图3所示。后级放大部分的设计采用德州仪器OPA847作为放大芯片，OPA847具有3.9 GHz的增益带宽积，压摆率为950 V/μs，芯片的工作电流为18.1 mA时，有极低的输入电压噪声，仅为0.85 nV/</w:t>
      </w:r>
      <m:oMath>
        <m:rad>
          <m:radPr>
            <m:degHide m:val="on"/>
            <m:ctrlPr>
              <w:rPr>
                <w:rFonts w:ascii="Cambria Math" w:eastAsia="宋体" w:hAnsi="Cambria Math"/>
              </w:rPr>
            </m:ctrlPr>
          </m:radPr>
          <m:deg/>
          <m:e>
            <m:r>
              <m:rPr>
                <m:sty m:val="p"/>
              </m:rPr>
              <w:rPr>
                <w:rFonts w:ascii="Cambria Math" w:eastAsia="宋体" w:hAnsi="Cambria Math"/>
              </w:rPr>
              <m:t>Hz</m:t>
            </m:r>
          </m:e>
        </m:rad>
      </m:oMath>
      <w:r w:rsidRPr="00642309">
        <w:rPr>
          <w:rFonts w:ascii="宋体" w:eastAsia="宋体" w:hAnsi="宋体"/>
        </w:rPr>
        <w:t>，可获得80 MHz的带宽和35 dB左右的增益。OPA847 是电压反馈型运放，其构建的反相放大器抑制噪声能力强，且易实现特征阻抗匹配，该芯片放大倍数大于12时，系统增益稳定</w:t>
      </w:r>
      <w:r w:rsidRPr="009A550E">
        <w:rPr>
          <w:rFonts w:ascii="宋体" w:eastAsia="宋体" w:hAnsi="宋体"/>
          <w:vertAlign w:val="superscript"/>
        </w:rPr>
        <w:t>[7]</w:t>
      </w:r>
      <w:r w:rsidRPr="00642309">
        <w:rPr>
          <w:rFonts w:ascii="宋体" w:eastAsia="宋体" w:hAnsi="宋体"/>
        </w:rPr>
        <w:t>。为获得稳定的16倍放</w:t>
      </w:r>
      <w:r w:rsidRPr="00642309">
        <w:rPr>
          <w:rFonts w:ascii="宋体" w:eastAsia="宋体" w:hAnsi="宋体" w:hint="eastAsia"/>
        </w:rPr>
        <w:t>大倍数，图</w:t>
      </w:r>
      <w:r w:rsidRPr="00642309">
        <w:rPr>
          <w:rFonts w:ascii="宋体" w:eastAsia="宋体" w:hAnsi="宋体"/>
        </w:rPr>
        <w:t>3</w:t>
      </w:r>
      <w:r w:rsidRPr="00642309">
        <w:rPr>
          <w:rFonts w:ascii="宋体" w:eastAsia="宋体" w:hAnsi="宋体"/>
        </w:rPr>
        <w:lastRenderedPageBreak/>
        <w:t>中取</w:t>
      </w:r>
      <w:r w:rsidRPr="00C40461">
        <w:rPr>
          <w:rFonts w:ascii="宋体" w:eastAsia="宋体" w:hAnsi="宋体"/>
          <w:i/>
        </w:rPr>
        <w:t>R</w:t>
      </w:r>
      <w:r w:rsidRPr="009A550E">
        <w:rPr>
          <w:rFonts w:ascii="宋体" w:eastAsia="宋体" w:hAnsi="宋体"/>
          <w:i/>
          <w:vertAlign w:val="subscript"/>
        </w:rPr>
        <w:t>g</w:t>
      </w:r>
      <w:r w:rsidRPr="00642309">
        <w:rPr>
          <w:rFonts w:ascii="宋体" w:eastAsia="宋体" w:hAnsi="宋体"/>
        </w:rPr>
        <w:t>=50 Ω，</w:t>
      </w:r>
      <w:r w:rsidRPr="00C40461">
        <w:rPr>
          <w:rFonts w:ascii="宋体" w:eastAsia="宋体" w:hAnsi="宋体"/>
          <w:i/>
        </w:rPr>
        <w:t>R</w:t>
      </w:r>
      <w:r w:rsidRPr="009A550E">
        <w:rPr>
          <w:rFonts w:ascii="宋体" w:eastAsia="宋体" w:hAnsi="宋体"/>
          <w:i/>
          <w:vertAlign w:val="subscript"/>
        </w:rPr>
        <w:t>f</w:t>
      </w:r>
      <w:r w:rsidRPr="00642309">
        <w:rPr>
          <w:rFonts w:ascii="宋体" w:eastAsia="宋体" w:hAnsi="宋体"/>
        </w:rPr>
        <w:t>=750 Ω，电路的增益为24 dB，计算可得电路带宽为260 MHz。</w:t>
      </w:r>
    </w:p>
    <w:p w:rsidR="00553704" w:rsidRDefault="00026E35" w:rsidP="00026E35">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843212" cy="848563"/>
            <wp:effectExtent l="19050" t="0" r="0" b="0"/>
            <wp:docPr id="21" name="图片 21" descr="C:\Documents and Settings\longyin\Application Data\Tencent\Users\65520456\QQ\WinTemp\RichOle\W3020BO_UH_`GV1Y(NU0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longyin\Application Data\Tencent\Users\65520456\QQ\WinTemp\RichOle\W3020BO_UH_`GV1Y(NU0B$G.png"/>
                    <pic:cNvPicPr>
                      <a:picLocks noChangeAspect="1" noChangeArrowheads="1"/>
                    </pic:cNvPicPr>
                  </pic:nvPicPr>
                  <pic:blipFill>
                    <a:blip r:embed="rId11"/>
                    <a:srcRect/>
                    <a:stretch>
                      <a:fillRect/>
                    </a:stretch>
                  </pic:blipFill>
                  <pic:spPr bwMode="auto">
                    <a:xfrm>
                      <a:off x="0" y="0"/>
                      <a:ext cx="2843083" cy="848525"/>
                    </a:xfrm>
                    <a:prstGeom prst="rect">
                      <a:avLst/>
                    </a:prstGeom>
                    <a:noFill/>
                    <a:ln w="9525">
                      <a:noFill/>
                      <a:miter lim="800000"/>
                      <a:headEnd/>
                      <a:tailEnd/>
                    </a:ln>
                  </pic:spPr>
                </pic:pic>
              </a:graphicData>
            </a:graphic>
          </wp:inline>
        </w:drawing>
      </w:r>
    </w:p>
    <w:p w:rsidR="00026E35" w:rsidRPr="00026E35" w:rsidRDefault="00553704" w:rsidP="00026E35">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3  高带宽大增益放大电路图</w:t>
      </w:r>
    </w:p>
    <w:p w:rsidR="00026E35" w:rsidRPr="00642309" w:rsidRDefault="00026E35" w:rsidP="00642309">
      <w:pPr>
        <w:rPr>
          <w:rFonts w:ascii="宋体" w:eastAsia="宋体" w:hAnsi="宋体"/>
        </w:rPr>
      </w:pPr>
    </w:p>
    <w:p w:rsidR="00642309" w:rsidRPr="005C49E7" w:rsidRDefault="00642309" w:rsidP="00642309">
      <w:pPr>
        <w:rPr>
          <w:rFonts w:ascii="方正黑体_GBK" w:eastAsia="方正黑体_GBK" w:hAnsi="Times New Roman" w:cs="Times New Roman"/>
          <w:szCs w:val="21"/>
        </w:rPr>
      </w:pPr>
      <w:r w:rsidRPr="005C49E7">
        <w:rPr>
          <w:rFonts w:ascii="方正黑体_GBK" w:eastAsia="方正黑体_GBK" w:hAnsi="Times New Roman" w:cs="Times New Roman"/>
          <w:szCs w:val="21"/>
        </w:rPr>
        <w:t>1.5 单端转差分</w:t>
      </w:r>
    </w:p>
    <w:p w:rsidR="00642309" w:rsidRPr="00642309" w:rsidRDefault="00642309" w:rsidP="00642309">
      <w:pPr>
        <w:rPr>
          <w:rFonts w:ascii="宋体" w:eastAsia="宋体" w:hAnsi="宋体"/>
        </w:rPr>
      </w:pPr>
      <w:r w:rsidRPr="00642309">
        <w:rPr>
          <w:rFonts w:ascii="宋体" w:eastAsia="宋体" w:hAnsi="宋体" w:hint="eastAsia"/>
        </w:rPr>
        <w:t xml:space="preserve">　　后续电路对信号进行限幅放大前，需要使用全差分放大器实现单端到差分信号的转变。差分信号是一对幅度相同、相位相反的信号，可以抑制共模噪声和偶次谐波，提高系统的</w:t>
      </w:r>
      <w:r w:rsidRPr="00642309">
        <w:rPr>
          <w:rFonts w:ascii="宋体" w:eastAsia="宋体" w:hAnsi="宋体"/>
        </w:rPr>
        <w:t>SNR和总谐波失真性能</w:t>
      </w:r>
      <w:r w:rsidRPr="009A550E">
        <w:rPr>
          <w:rFonts w:ascii="宋体" w:eastAsia="宋体" w:hAnsi="宋体"/>
          <w:vertAlign w:val="superscript"/>
        </w:rPr>
        <w:t>[8]</w:t>
      </w:r>
      <w:r w:rsidRPr="00642309">
        <w:rPr>
          <w:rFonts w:ascii="宋体" w:eastAsia="宋体" w:hAnsi="宋体"/>
        </w:rPr>
        <w:t>。基于全差分放大器的单端转差分电路如图4所示，式（5）~式（9）是全差分放大器双通道的数学表达式。</w:t>
      </w:r>
    </w:p>
    <w:p w:rsidR="00101422" w:rsidRPr="00101422" w:rsidRDefault="00101422" w:rsidP="0010142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38780" cy="1551827"/>
            <wp:effectExtent l="19050" t="0" r="4420" b="0"/>
            <wp:docPr id="13" name="图片 13" descr="C:\Documents and Settings\longyin\Application Data\Tencent\Users\65520456\QQ\WinTemp\RichOle\T@RS[W`Z6]8N$}BP2_9M6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T@RS[W`Z6]8N$}BP2_9M68A.png"/>
                    <pic:cNvPicPr>
                      <a:picLocks noChangeAspect="1" noChangeArrowheads="1"/>
                    </pic:cNvPicPr>
                  </pic:nvPicPr>
                  <pic:blipFill>
                    <a:blip r:embed="rId12"/>
                    <a:srcRect/>
                    <a:stretch>
                      <a:fillRect/>
                    </a:stretch>
                  </pic:blipFill>
                  <pic:spPr bwMode="auto">
                    <a:xfrm>
                      <a:off x="0" y="0"/>
                      <a:ext cx="2741137" cy="1553163"/>
                    </a:xfrm>
                    <a:prstGeom prst="rect">
                      <a:avLst/>
                    </a:prstGeom>
                    <a:noFill/>
                    <a:ln w="9525">
                      <a:noFill/>
                      <a:miter lim="800000"/>
                      <a:headEnd/>
                      <a:tailEnd/>
                    </a:ln>
                  </pic:spPr>
                </pic:pic>
              </a:graphicData>
            </a:graphic>
          </wp:inline>
        </w:drawing>
      </w:r>
    </w:p>
    <w:p w:rsidR="00642309" w:rsidRDefault="00642309" w:rsidP="00101422">
      <w:pPr>
        <w:rPr>
          <w:rFonts w:ascii="宋体" w:eastAsia="宋体" w:hAnsi="宋体" w:hint="eastAsia"/>
        </w:rPr>
      </w:pPr>
      <w:r w:rsidRPr="00642309">
        <w:rPr>
          <w:rFonts w:ascii="宋体" w:eastAsia="宋体" w:hAnsi="宋体" w:hint="eastAsia"/>
        </w:rPr>
        <w:t>其中，</w:t>
      </w:r>
      <w:r w:rsidRPr="00C40461">
        <w:rPr>
          <w:rFonts w:ascii="宋体" w:eastAsia="宋体" w:hAnsi="宋体"/>
          <w:i/>
        </w:rPr>
        <w:t>V</w:t>
      </w:r>
      <w:r w:rsidRPr="00101422">
        <w:rPr>
          <w:rFonts w:ascii="宋体" w:eastAsia="宋体" w:hAnsi="宋体"/>
          <w:vertAlign w:val="subscript"/>
        </w:rPr>
        <w:t>ocm</w:t>
      </w:r>
      <w:r w:rsidRPr="00642309">
        <w:rPr>
          <w:rFonts w:ascii="宋体" w:eastAsia="宋体" w:hAnsi="宋体"/>
        </w:rPr>
        <w:t>是共模电压，</w:t>
      </w:r>
      <w:r w:rsidRPr="00C40461">
        <w:rPr>
          <w:rFonts w:ascii="宋体" w:eastAsia="宋体" w:hAnsi="宋体"/>
          <w:i/>
        </w:rPr>
        <w:t>V</w:t>
      </w:r>
      <w:r w:rsidRPr="00101422">
        <w:rPr>
          <w:rFonts w:ascii="宋体" w:eastAsia="宋体" w:hAnsi="宋体"/>
          <w:vertAlign w:val="subscript"/>
        </w:rPr>
        <w:t>od</w:t>
      </w:r>
      <w:r w:rsidRPr="00642309">
        <w:rPr>
          <w:rFonts w:ascii="宋体" w:eastAsia="宋体" w:hAnsi="宋体"/>
        </w:rPr>
        <w:t>是差分信号，</w:t>
      </w:r>
      <w:r w:rsidRPr="00C40461">
        <w:rPr>
          <w:rFonts w:ascii="宋体" w:eastAsia="宋体" w:hAnsi="宋体"/>
          <w:i/>
        </w:rPr>
        <w:t>V</w:t>
      </w:r>
      <w:r w:rsidRPr="009A550E">
        <w:rPr>
          <w:rFonts w:ascii="宋体" w:eastAsia="宋体" w:hAnsi="宋体"/>
          <w:vertAlign w:val="subscript"/>
        </w:rPr>
        <w:t>od</w:t>
      </w:r>
      <w:r w:rsidRPr="00642309">
        <w:rPr>
          <w:rFonts w:ascii="宋体" w:eastAsia="宋体" w:hAnsi="宋体"/>
        </w:rPr>
        <w:t>=</w:t>
      </w:r>
      <w:r w:rsidRPr="00C40461">
        <w:rPr>
          <w:rFonts w:ascii="宋体" w:eastAsia="宋体" w:hAnsi="宋体"/>
          <w:i/>
        </w:rPr>
        <w:t>V</w:t>
      </w:r>
      <w:r w:rsidRPr="009A550E">
        <w:rPr>
          <w:rFonts w:ascii="宋体" w:eastAsia="宋体" w:hAnsi="宋体"/>
          <w:vertAlign w:val="subscript"/>
        </w:rPr>
        <w:t>out+</w:t>
      </w:r>
      <w:r w:rsidRPr="00642309">
        <w:rPr>
          <w:rFonts w:ascii="宋体" w:eastAsia="宋体" w:hAnsi="宋体"/>
        </w:rPr>
        <w:t>-</w:t>
      </w:r>
      <w:r w:rsidRPr="00C40461">
        <w:rPr>
          <w:rFonts w:ascii="宋体" w:eastAsia="宋体" w:hAnsi="宋体"/>
          <w:i/>
        </w:rPr>
        <w:t>V</w:t>
      </w:r>
      <w:r w:rsidRPr="009A550E">
        <w:rPr>
          <w:rFonts w:ascii="宋体" w:eastAsia="宋体" w:hAnsi="宋体"/>
          <w:vertAlign w:val="subscript"/>
        </w:rPr>
        <w:t>out-</w:t>
      </w:r>
      <w:r w:rsidRPr="00642309">
        <w:rPr>
          <w:rFonts w:ascii="宋体" w:eastAsia="宋体" w:hAnsi="宋体"/>
        </w:rPr>
        <w:t>，选用-3 dB带宽为1000 MHz的ADA4938-1高带宽芯片，</w:t>
      </w:r>
      <w:r w:rsidRPr="00C40461">
        <w:rPr>
          <w:rFonts w:ascii="宋体" w:eastAsia="宋体" w:hAnsi="宋体"/>
          <w:i/>
        </w:rPr>
        <w:t>R</w:t>
      </w:r>
      <w:r w:rsidRPr="009A550E">
        <w:rPr>
          <w:rFonts w:ascii="宋体" w:eastAsia="宋体" w:hAnsi="宋体"/>
          <w:vertAlign w:val="subscript"/>
        </w:rPr>
        <w:t>f2</w:t>
      </w:r>
      <w:r w:rsidRPr="00642309">
        <w:rPr>
          <w:rFonts w:ascii="宋体" w:eastAsia="宋体" w:hAnsi="宋体"/>
        </w:rPr>
        <w:t>=</w:t>
      </w:r>
      <w:r w:rsidRPr="00C40461">
        <w:rPr>
          <w:rFonts w:ascii="宋体" w:eastAsia="宋体" w:hAnsi="宋体"/>
          <w:i/>
        </w:rPr>
        <w:t>R</w:t>
      </w:r>
      <w:r w:rsidRPr="009A550E">
        <w:rPr>
          <w:rFonts w:ascii="宋体" w:eastAsia="宋体" w:hAnsi="宋体"/>
          <w:vertAlign w:val="subscript"/>
        </w:rPr>
        <w:t>f1</w:t>
      </w:r>
      <w:r w:rsidRPr="00642309">
        <w:rPr>
          <w:rFonts w:ascii="宋体" w:eastAsia="宋体" w:hAnsi="宋体"/>
        </w:rPr>
        <w:t>=500 Ω，</w:t>
      </w:r>
      <w:r w:rsidRPr="00C40461">
        <w:rPr>
          <w:rFonts w:ascii="宋体" w:eastAsia="宋体" w:hAnsi="宋体"/>
          <w:i/>
        </w:rPr>
        <w:t>R</w:t>
      </w:r>
      <w:r w:rsidRPr="009A550E">
        <w:rPr>
          <w:rFonts w:ascii="宋体" w:eastAsia="宋体" w:hAnsi="宋体"/>
          <w:vertAlign w:val="subscript"/>
        </w:rPr>
        <w:t>g2</w:t>
      </w:r>
      <w:r w:rsidRPr="00642309">
        <w:rPr>
          <w:rFonts w:ascii="宋体" w:eastAsia="宋体" w:hAnsi="宋体"/>
        </w:rPr>
        <w:t>=</w:t>
      </w:r>
      <w:r w:rsidRPr="00C40461">
        <w:rPr>
          <w:rFonts w:ascii="宋体" w:eastAsia="宋体" w:hAnsi="宋体"/>
          <w:i/>
        </w:rPr>
        <w:t>R</w:t>
      </w:r>
      <w:r w:rsidRPr="009A550E">
        <w:rPr>
          <w:rFonts w:ascii="宋体" w:eastAsia="宋体" w:hAnsi="宋体"/>
          <w:vertAlign w:val="subscript"/>
        </w:rPr>
        <w:t>g1</w:t>
      </w:r>
      <w:r w:rsidRPr="00642309">
        <w:rPr>
          <w:rFonts w:ascii="宋体" w:eastAsia="宋体" w:hAnsi="宋体"/>
        </w:rPr>
        <w:t>=50 Ω，单端转差分电路增益为20 dB，此时带宽依然有100 MHz。</w:t>
      </w:r>
    </w:p>
    <w:p w:rsidR="00026E35" w:rsidRDefault="00026E35" w:rsidP="00026E35">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592476" cy="941959"/>
            <wp:effectExtent l="19050" t="0" r="0" b="0"/>
            <wp:docPr id="23" name="图片 23" descr="C:\Documents and Settings\longyin\Application Data\Tencent\Users\65520456\QQ\WinTemp\RichOle\62$K5URHUX{]N@@$S(JEAF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longyin\Application Data\Tencent\Users\65520456\QQ\WinTemp\RichOle\62$K5URHUX{]N@@$S(JEAFI.png"/>
                    <pic:cNvPicPr>
                      <a:picLocks noChangeAspect="1" noChangeArrowheads="1"/>
                    </pic:cNvPicPr>
                  </pic:nvPicPr>
                  <pic:blipFill>
                    <a:blip r:embed="rId13"/>
                    <a:srcRect/>
                    <a:stretch>
                      <a:fillRect/>
                    </a:stretch>
                  </pic:blipFill>
                  <pic:spPr bwMode="auto">
                    <a:xfrm>
                      <a:off x="0" y="0"/>
                      <a:ext cx="2592815" cy="942082"/>
                    </a:xfrm>
                    <a:prstGeom prst="rect">
                      <a:avLst/>
                    </a:prstGeom>
                    <a:noFill/>
                    <a:ln w="9525">
                      <a:noFill/>
                      <a:miter lim="800000"/>
                      <a:headEnd/>
                      <a:tailEnd/>
                    </a:ln>
                  </pic:spPr>
                </pic:pic>
              </a:graphicData>
            </a:graphic>
          </wp:inline>
        </w:drawing>
      </w:r>
    </w:p>
    <w:p w:rsidR="00553704" w:rsidRPr="00026E35" w:rsidRDefault="00553704" w:rsidP="00026E35">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4  基于全差分放大器的单端转差分电路图</w:t>
      </w:r>
    </w:p>
    <w:p w:rsidR="00026E35" w:rsidRPr="00642309" w:rsidRDefault="00026E35" w:rsidP="00101422">
      <w:pPr>
        <w:rPr>
          <w:rFonts w:ascii="宋体" w:eastAsia="宋体" w:hAnsi="宋体"/>
        </w:rPr>
      </w:pPr>
    </w:p>
    <w:p w:rsidR="00642309" w:rsidRPr="00101422" w:rsidRDefault="00642309" w:rsidP="00642309">
      <w:pPr>
        <w:rPr>
          <w:rFonts w:ascii="方正黑体_GBK" w:eastAsia="方正黑体_GBK" w:hAnsi="Times New Roman" w:cs="Times New Roman"/>
          <w:szCs w:val="21"/>
        </w:rPr>
      </w:pPr>
      <w:r w:rsidRPr="00101422">
        <w:rPr>
          <w:rFonts w:ascii="方正黑体_GBK" w:eastAsia="方正黑体_GBK" w:hAnsi="Times New Roman" w:cs="Times New Roman"/>
          <w:szCs w:val="21"/>
        </w:rPr>
        <w:t>1.6 限幅放大与电平转换</w:t>
      </w:r>
    </w:p>
    <w:p w:rsidR="00642309" w:rsidRDefault="00642309" w:rsidP="00642309">
      <w:pPr>
        <w:rPr>
          <w:rFonts w:ascii="宋体" w:eastAsia="宋体" w:hAnsi="宋体" w:hint="eastAsia"/>
        </w:rPr>
      </w:pPr>
      <w:r w:rsidRPr="00642309">
        <w:rPr>
          <w:rFonts w:ascii="宋体" w:eastAsia="宋体" w:hAnsi="宋体" w:hint="eastAsia"/>
        </w:rPr>
        <w:t xml:space="preserve">　　在限幅放大器</w:t>
      </w:r>
      <w:r w:rsidRPr="00101422">
        <w:rPr>
          <w:rFonts w:ascii="宋体" w:eastAsia="宋体" w:hAnsi="宋体"/>
          <w:vertAlign w:val="superscript"/>
        </w:rPr>
        <w:t>[7]</w:t>
      </w:r>
      <w:r w:rsidRPr="00642309">
        <w:rPr>
          <w:rFonts w:ascii="宋体" w:eastAsia="宋体" w:hAnsi="宋体"/>
        </w:rPr>
        <w:t>的输入端，使用电阻电容构成一阶RC滤波器，</w:t>
      </w:r>
      <w:r w:rsidRPr="00C40461">
        <w:rPr>
          <w:rFonts w:ascii="宋体" w:eastAsia="宋体" w:hAnsi="宋体"/>
          <w:i/>
        </w:rPr>
        <w:t>R</w:t>
      </w:r>
      <w:r w:rsidRPr="009A550E">
        <w:rPr>
          <w:rFonts w:ascii="宋体" w:eastAsia="宋体" w:hAnsi="宋体"/>
          <w:vertAlign w:val="subscript"/>
        </w:rPr>
        <w:t>1</w:t>
      </w:r>
      <w:r w:rsidRPr="00642309">
        <w:rPr>
          <w:rFonts w:ascii="宋体" w:eastAsia="宋体" w:hAnsi="宋体"/>
        </w:rPr>
        <w:t>=</w:t>
      </w:r>
      <w:r w:rsidRPr="00C40461">
        <w:rPr>
          <w:rFonts w:ascii="宋体" w:eastAsia="宋体" w:hAnsi="宋体"/>
          <w:i/>
        </w:rPr>
        <w:t>R</w:t>
      </w:r>
      <w:r w:rsidRPr="009A550E">
        <w:rPr>
          <w:rFonts w:ascii="宋体" w:eastAsia="宋体" w:hAnsi="宋体"/>
          <w:vertAlign w:val="subscript"/>
        </w:rPr>
        <w:t>2</w:t>
      </w:r>
      <w:r w:rsidRPr="00642309">
        <w:rPr>
          <w:rFonts w:ascii="宋体" w:eastAsia="宋体" w:hAnsi="宋体"/>
        </w:rPr>
        <w:t>=400 Ω，</w:t>
      </w:r>
      <w:r w:rsidRPr="00C40461">
        <w:rPr>
          <w:rFonts w:ascii="宋体" w:eastAsia="宋体" w:hAnsi="宋体"/>
          <w:i/>
        </w:rPr>
        <w:t>C</w:t>
      </w:r>
      <w:r w:rsidRPr="009A550E">
        <w:rPr>
          <w:rFonts w:ascii="宋体" w:eastAsia="宋体" w:hAnsi="宋体"/>
          <w:vertAlign w:val="subscript"/>
        </w:rPr>
        <w:t>1</w:t>
      </w:r>
      <w:r w:rsidRPr="00642309">
        <w:rPr>
          <w:rFonts w:ascii="宋体" w:eastAsia="宋体" w:hAnsi="宋体"/>
        </w:rPr>
        <w:t>=</w:t>
      </w:r>
      <w:r w:rsidRPr="00C40461">
        <w:rPr>
          <w:rFonts w:ascii="宋体" w:eastAsia="宋体" w:hAnsi="宋体"/>
          <w:i/>
        </w:rPr>
        <w:t>C</w:t>
      </w:r>
      <w:r w:rsidRPr="009A550E">
        <w:rPr>
          <w:rFonts w:ascii="宋体" w:eastAsia="宋体" w:hAnsi="宋体"/>
          <w:vertAlign w:val="subscript"/>
        </w:rPr>
        <w:t>2</w:t>
      </w:r>
      <w:r w:rsidRPr="00642309">
        <w:rPr>
          <w:rFonts w:ascii="宋体" w:eastAsia="宋体" w:hAnsi="宋体"/>
        </w:rPr>
        <w:t>=0.1 μF，构成高通滤波器，截止频率为5 kHz。限幅放大器输出为差分正射极耦合逻辑（PECL）电平，为了接入现场可编程门阵列（FPGA）或单片机中，需要将其转换为LVTTL电平</w:t>
      </w:r>
      <w:r w:rsidRPr="00101422">
        <w:rPr>
          <w:rFonts w:ascii="宋体" w:eastAsia="宋体" w:hAnsi="宋体"/>
          <w:vertAlign w:val="superscript"/>
        </w:rPr>
        <w:t>[9]</w:t>
      </w:r>
      <w:r w:rsidRPr="00642309">
        <w:rPr>
          <w:rFonts w:ascii="宋体" w:eastAsia="宋体" w:hAnsi="宋体"/>
        </w:rPr>
        <w:t>。本文选用Micrel公司的SY100EPT21L芯片，带宽为275 MHz，差分PECL电平输入，LVTTL电平输出。限幅放大器输出信号接入SY100EPT21L芯片前需要与电平转换芯片进行交流耦合，耦合电路图如图5所示，</w:t>
      </w:r>
      <w:r w:rsidRPr="00C40461">
        <w:rPr>
          <w:rFonts w:ascii="宋体" w:eastAsia="宋体" w:hAnsi="宋体"/>
          <w:i/>
        </w:rPr>
        <w:t>C</w:t>
      </w:r>
      <w:r w:rsidRPr="00026977">
        <w:rPr>
          <w:rFonts w:ascii="宋体" w:eastAsia="宋体" w:hAnsi="宋体"/>
          <w:vertAlign w:val="subscript"/>
        </w:rPr>
        <w:t>3</w:t>
      </w:r>
      <w:r w:rsidRPr="00642309">
        <w:rPr>
          <w:rFonts w:ascii="宋体" w:eastAsia="宋体" w:hAnsi="宋体"/>
        </w:rPr>
        <w:t>=</w:t>
      </w:r>
      <w:r w:rsidRPr="00C40461">
        <w:rPr>
          <w:rFonts w:ascii="宋体" w:eastAsia="宋体" w:hAnsi="宋体"/>
          <w:i/>
        </w:rPr>
        <w:t>C</w:t>
      </w:r>
      <w:r w:rsidRPr="00026977">
        <w:rPr>
          <w:rFonts w:ascii="宋体" w:eastAsia="宋体" w:hAnsi="宋体"/>
          <w:vertAlign w:val="subscript"/>
        </w:rPr>
        <w:t>4</w:t>
      </w:r>
      <w:r w:rsidRPr="00642309">
        <w:rPr>
          <w:rFonts w:ascii="宋体" w:eastAsia="宋体" w:hAnsi="宋体"/>
        </w:rPr>
        <w:t>=0.1 μF，</w:t>
      </w:r>
      <w:r w:rsidRPr="00C40461">
        <w:rPr>
          <w:rFonts w:ascii="宋体" w:eastAsia="宋体" w:hAnsi="宋体"/>
          <w:i/>
        </w:rPr>
        <w:t>R</w:t>
      </w:r>
      <w:r w:rsidRPr="00026977">
        <w:rPr>
          <w:rFonts w:ascii="宋体" w:eastAsia="宋体" w:hAnsi="宋体"/>
          <w:vertAlign w:val="subscript"/>
        </w:rPr>
        <w:t>3</w:t>
      </w:r>
      <w:r w:rsidRPr="00642309">
        <w:rPr>
          <w:rFonts w:ascii="宋体" w:eastAsia="宋体" w:hAnsi="宋体"/>
        </w:rPr>
        <w:t>=</w:t>
      </w:r>
      <w:r w:rsidRPr="00C40461">
        <w:rPr>
          <w:rFonts w:ascii="宋体" w:eastAsia="宋体" w:hAnsi="宋体"/>
          <w:i/>
        </w:rPr>
        <w:t>R</w:t>
      </w:r>
      <w:r w:rsidRPr="00026977">
        <w:rPr>
          <w:rFonts w:ascii="宋体" w:eastAsia="宋体" w:hAnsi="宋体"/>
          <w:vertAlign w:val="subscript"/>
        </w:rPr>
        <w:t>4</w:t>
      </w:r>
      <w:r w:rsidRPr="00642309">
        <w:rPr>
          <w:rFonts w:ascii="宋体" w:eastAsia="宋体" w:hAnsi="宋体"/>
        </w:rPr>
        <w:t>=82 Ω，</w:t>
      </w:r>
      <w:r w:rsidRPr="00026977">
        <w:rPr>
          <w:rFonts w:ascii="宋体" w:eastAsia="宋体" w:hAnsi="宋体"/>
          <w:i/>
        </w:rPr>
        <w:t>R</w:t>
      </w:r>
      <w:r w:rsidRPr="00026977">
        <w:rPr>
          <w:rFonts w:ascii="宋体" w:eastAsia="宋体" w:hAnsi="宋体"/>
          <w:vertAlign w:val="subscript"/>
        </w:rPr>
        <w:t>5</w:t>
      </w:r>
      <w:r w:rsidRPr="00642309">
        <w:rPr>
          <w:rFonts w:ascii="宋体" w:eastAsia="宋体" w:hAnsi="宋体"/>
        </w:rPr>
        <w:t>=</w:t>
      </w:r>
      <w:r w:rsidRPr="00026977">
        <w:rPr>
          <w:rFonts w:ascii="宋体" w:eastAsia="宋体" w:hAnsi="宋体"/>
        </w:rPr>
        <w:t>R</w:t>
      </w:r>
      <w:r w:rsidRPr="00026977">
        <w:rPr>
          <w:rFonts w:ascii="宋体" w:eastAsia="宋体" w:hAnsi="宋体"/>
          <w:vertAlign w:val="subscript"/>
        </w:rPr>
        <w:t>6</w:t>
      </w:r>
      <w:r w:rsidRPr="00642309">
        <w:rPr>
          <w:rFonts w:ascii="宋体" w:eastAsia="宋体" w:hAnsi="宋体"/>
        </w:rPr>
        <w:t>=130 Ω。</w:t>
      </w:r>
    </w:p>
    <w:p w:rsidR="00026E35" w:rsidRDefault="00026E35" w:rsidP="00026E35">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950921" cy="1364659"/>
            <wp:effectExtent l="19050" t="0" r="1829" b="0"/>
            <wp:docPr id="25" name="图片 25" descr="C:\Documents and Settings\longyin\Application Data\Tencent\Users\65520456\QQ\WinTemp\RichOle\BI]WGS0$HSW8FD)GFE(ZBV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longyin\Application Data\Tencent\Users\65520456\QQ\WinTemp\RichOle\BI]WGS0$HSW8FD)GFE(ZBV6.png"/>
                    <pic:cNvPicPr>
                      <a:picLocks noChangeAspect="1" noChangeArrowheads="1"/>
                    </pic:cNvPicPr>
                  </pic:nvPicPr>
                  <pic:blipFill>
                    <a:blip r:embed="rId14"/>
                    <a:srcRect/>
                    <a:stretch>
                      <a:fillRect/>
                    </a:stretch>
                  </pic:blipFill>
                  <pic:spPr bwMode="auto">
                    <a:xfrm>
                      <a:off x="0" y="0"/>
                      <a:ext cx="2951134" cy="1364758"/>
                    </a:xfrm>
                    <a:prstGeom prst="rect">
                      <a:avLst/>
                    </a:prstGeom>
                    <a:noFill/>
                    <a:ln w="9525">
                      <a:noFill/>
                      <a:miter lim="800000"/>
                      <a:headEnd/>
                      <a:tailEnd/>
                    </a:ln>
                  </pic:spPr>
                </pic:pic>
              </a:graphicData>
            </a:graphic>
          </wp:inline>
        </w:drawing>
      </w:r>
    </w:p>
    <w:p w:rsidR="00553704" w:rsidRPr="00107EA7" w:rsidRDefault="00553704" w:rsidP="00026E35">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5  限幅放大器与电平转换芯片的交流耦合电路图</w:t>
      </w:r>
    </w:p>
    <w:p w:rsidR="00642309" w:rsidRPr="00642309" w:rsidRDefault="00642309" w:rsidP="00642309">
      <w:pPr>
        <w:rPr>
          <w:rFonts w:ascii="宋体" w:eastAsia="宋体" w:hAnsi="宋体"/>
        </w:rPr>
      </w:pPr>
    </w:p>
    <w:p w:rsidR="00642309" w:rsidRPr="005C49E7" w:rsidRDefault="00642309" w:rsidP="00642309">
      <w:pPr>
        <w:rPr>
          <w:rFonts w:ascii="方正黑体_GBK" w:eastAsia="方正黑体_GBK"/>
          <w:sz w:val="24"/>
          <w:szCs w:val="24"/>
        </w:rPr>
      </w:pPr>
      <w:r w:rsidRPr="005C49E7">
        <w:rPr>
          <w:rFonts w:ascii="方正黑体_GBK" w:eastAsia="方正黑体_GBK"/>
          <w:sz w:val="24"/>
          <w:szCs w:val="24"/>
        </w:rPr>
        <w:lastRenderedPageBreak/>
        <w:t>2 系统测试</w:t>
      </w:r>
    </w:p>
    <w:p w:rsidR="00642309" w:rsidRDefault="00642309" w:rsidP="00642309">
      <w:pPr>
        <w:rPr>
          <w:rFonts w:ascii="宋体" w:eastAsia="宋体" w:hAnsi="宋体" w:hint="eastAsia"/>
        </w:rPr>
      </w:pPr>
      <w:r w:rsidRPr="00642309">
        <w:rPr>
          <w:rFonts w:ascii="宋体" w:eastAsia="宋体" w:hAnsi="宋体" w:hint="eastAsia"/>
        </w:rPr>
        <w:t xml:space="preserve">　　本文根据设计方案制板搭建系统链路，大面积</w:t>
      </w:r>
      <w:r w:rsidRPr="00642309">
        <w:rPr>
          <w:rFonts w:ascii="宋体" w:eastAsia="宋体" w:hAnsi="宋体"/>
        </w:rPr>
        <w:t>APD接收电路设计系统测试环境如图6所示。发送端由任意波形发生器和带调制电路的LED灯矩阵构成，接收端为大面积APD接收电路，测试距离为80 cm。短距离测试条件中，接收端不安置光学天线，在APD前安置透光率为1%衰减片对信号光进行衰减。通过任意波形发生器控制LED发送6 MHz的非归零开关键</w:t>
      </w:r>
      <w:r w:rsidRPr="00642309">
        <w:rPr>
          <w:rFonts w:ascii="宋体" w:eastAsia="宋体" w:hAnsi="宋体" w:hint="eastAsia"/>
        </w:rPr>
        <w:t>控（</w:t>
      </w:r>
      <w:r w:rsidRPr="00642309">
        <w:rPr>
          <w:rFonts w:ascii="宋体" w:eastAsia="宋体" w:hAnsi="宋体"/>
        </w:rPr>
        <w:t>NRZ-OOK）方波，示波器端显示的输出信号如图7所示。可以看出，信号恢复良好，正占空比为49.95%。采用误码仪和码长为7伪随机序列码（PRBS7）对系统链路进行验证，可实现12 Mb/s速率零误码传输。</w:t>
      </w:r>
    </w:p>
    <w:p w:rsidR="00553704" w:rsidRDefault="00553704" w:rsidP="00553704">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928975" cy="1472847"/>
            <wp:effectExtent l="19050" t="0" r="4725" b="0"/>
            <wp:docPr id="27" name="图片 27" descr="C:\Documents and Settings\longyin\Application Data\Tencent\Users\65520456\QQ\WinTemp\RichOle\%4~@ZU}AYQ5`YBBNPH81(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longyin\Application Data\Tencent\Users\65520456\QQ\WinTemp\RichOle\%4~@ZU}AYQ5`YBBNPH81(HS.png"/>
                    <pic:cNvPicPr>
                      <a:picLocks noChangeAspect="1" noChangeArrowheads="1"/>
                    </pic:cNvPicPr>
                  </pic:nvPicPr>
                  <pic:blipFill>
                    <a:blip r:embed="rId15"/>
                    <a:srcRect/>
                    <a:stretch>
                      <a:fillRect/>
                    </a:stretch>
                  </pic:blipFill>
                  <pic:spPr bwMode="auto">
                    <a:xfrm>
                      <a:off x="0" y="0"/>
                      <a:ext cx="2928779" cy="1472749"/>
                    </a:xfrm>
                    <a:prstGeom prst="rect">
                      <a:avLst/>
                    </a:prstGeom>
                    <a:noFill/>
                    <a:ln w="9525">
                      <a:noFill/>
                      <a:miter lim="800000"/>
                      <a:headEnd/>
                      <a:tailEnd/>
                    </a:ln>
                  </pic:spPr>
                </pic:pic>
              </a:graphicData>
            </a:graphic>
          </wp:inline>
        </w:drawing>
      </w:r>
    </w:p>
    <w:p w:rsidR="00553704" w:rsidRPr="00553704" w:rsidRDefault="00553704" w:rsidP="00553704">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6  系统测试环境</w:t>
      </w:r>
    </w:p>
    <w:p w:rsidR="00553704" w:rsidRDefault="00553704" w:rsidP="00553704">
      <w:pPr>
        <w:jc w:val="center"/>
        <w:rPr>
          <w:rFonts w:ascii="宋体" w:eastAsia="宋体" w:hAnsi="宋体" w:hint="eastAsia"/>
        </w:rPr>
      </w:pPr>
      <w:r>
        <w:rPr>
          <w:rFonts w:ascii="宋体" w:eastAsia="宋体" w:hAnsi="宋体" w:cs="宋体"/>
          <w:noProof/>
          <w:kern w:val="0"/>
          <w:sz w:val="24"/>
          <w:szCs w:val="24"/>
        </w:rPr>
        <w:drawing>
          <wp:inline distT="0" distB="0" distL="0" distR="0">
            <wp:extent cx="2929082" cy="1294790"/>
            <wp:effectExtent l="19050" t="0" r="4618" b="0"/>
            <wp:docPr id="2" name="图片 29" descr="C:\Documents and Settings\longyin\Application Data\Tencent\Users\65520456\QQ\WinTemp\RichOle\}V4J%F]08JO5[L5]XS5KQX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longyin\Application Data\Tencent\Users\65520456\QQ\WinTemp\RichOle\}V4J%F]08JO5[L5]XS5KQX4.png"/>
                    <pic:cNvPicPr>
                      <a:picLocks noChangeAspect="1" noChangeArrowheads="1"/>
                    </pic:cNvPicPr>
                  </pic:nvPicPr>
                  <pic:blipFill>
                    <a:blip r:embed="rId16"/>
                    <a:srcRect/>
                    <a:stretch>
                      <a:fillRect/>
                    </a:stretch>
                  </pic:blipFill>
                  <pic:spPr bwMode="auto">
                    <a:xfrm>
                      <a:off x="0" y="0"/>
                      <a:ext cx="2929294" cy="1294884"/>
                    </a:xfrm>
                    <a:prstGeom prst="rect">
                      <a:avLst/>
                    </a:prstGeom>
                    <a:noFill/>
                    <a:ln w="9525">
                      <a:noFill/>
                      <a:miter lim="800000"/>
                      <a:headEnd/>
                      <a:tailEnd/>
                    </a:ln>
                  </pic:spPr>
                </pic:pic>
              </a:graphicData>
            </a:graphic>
          </wp:inline>
        </w:drawing>
      </w:r>
    </w:p>
    <w:p w:rsidR="00553704" w:rsidRPr="00107EA7" w:rsidRDefault="00553704" w:rsidP="00107EA7">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7  6 MHz测试输出信号</w:t>
      </w:r>
    </w:p>
    <w:p w:rsidR="00642309" w:rsidRDefault="00642309" w:rsidP="00642309">
      <w:pPr>
        <w:rPr>
          <w:rFonts w:ascii="宋体" w:eastAsia="宋体" w:hAnsi="宋体" w:hint="eastAsia"/>
        </w:rPr>
      </w:pPr>
      <w:r w:rsidRPr="00642309">
        <w:rPr>
          <w:rFonts w:ascii="宋体" w:eastAsia="宋体" w:hAnsi="宋体" w:hint="eastAsia"/>
        </w:rPr>
        <w:t xml:space="preserve">　　灵敏度和带宽测试环境如图</w:t>
      </w:r>
      <w:r w:rsidRPr="00642309">
        <w:rPr>
          <w:rFonts w:ascii="宋体" w:eastAsia="宋体" w:hAnsi="宋体"/>
        </w:rPr>
        <w:t>8所示。由于LED带宽限制，本文采用波长为450 nm、带宽达60 MHz的蓝色激光（LD）在80 cm×50 cm×60 cm的暗箱中对APD进行灵敏度与带宽测试。调节激光透镜发送点状激光，调节激光器供电电压得到不同的输出光强；采用-30 dBm固定衰减片对光进行衰减，大面积APD接收电路对采集的光信号进行光/电转换及后续处理输出。</w:t>
      </w:r>
    </w:p>
    <w:p w:rsidR="00553704" w:rsidRPr="00553704" w:rsidRDefault="00553704" w:rsidP="00553704">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54299" cy="1660551"/>
            <wp:effectExtent l="19050" t="0" r="0" b="0"/>
            <wp:docPr id="31" name="图片 31" descr="C:\Documents and Settings\longyin\Application Data\Tencent\Users\65520456\QQ\WinTemp\RichOle\[DUHLI4VI3E@CF@1J(OD~K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longyin\Application Data\Tencent\Users\65520456\QQ\WinTemp\RichOle\[DUHLI4VI3E@CF@1J(OD~KW.png"/>
                    <pic:cNvPicPr>
                      <a:picLocks noChangeAspect="1" noChangeArrowheads="1"/>
                    </pic:cNvPicPr>
                  </pic:nvPicPr>
                  <pic:blipFill>
                    <a:blip r:embed="rId17"/>
                    <a:srcRect/>
                    <a:stretch>
                      <a:fillRect/>
                    </a:stretch>
                  </pic:blipFill>
                  <pic:spPr bwMode="auto">
                    <a:xfrm>
                      <a:off x="0" y="0"/>
                      <a:ext cx="2956112" cy="1661570"/>
                    </a:xfrm>
                    <a:prstGeom prst="rect">
                      <a:avLst/>
                    </a:prstGeom>
                    <a:noFill/>
                    <a:ln w="9525">
                      <a:noFill/>
                      <a:miter lim="800000"/>
                      <a:headEnd/>
                      <a:tailEnd/>
                    </a:ln>
                  </pic:spPr>
                </pic:pic>
              </a:graphicData>
            </a:graphic>
          </wp:inline>
        </w:drawing>
      </w:r>
    </w:p>
    <w:p w:rsidR="00553704" w:rsidRPr="00107EA7" w:rsidRDefault="00553704" w:rsidP="00107EA7">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8  灵敏度和带宽测试环境</w:t>
      </w:r>
    </w:p>
    <w:p w:rsidR="00642309" w:rsidRDefault="00642309" w:rsidP="00642309">
      <w:pPr>
        <w:rPr>
          <w:rFonts w:ascii="宋体" w:eastAsia="宋体" w:hAnsi="宋体" w:hint="eastAsia"/>
        </w:rPr>
      </w:pPr>
      <w:r w:rsidRPr="00642309">
        <w:rPr>
          <w:rFonts w:ascii="宋体" w:eastAsia="宋体" w:hAnsi="宋体" w:hint="eastAsia"/>
        </w:rPr>
        <w:t xml:space="preserve">　　波长为</w:t>
      </w:r>
      <w:r w:rsidRPr="00642309">
        <w:rPr>
          <w:rFonts w:ascii="宋体" w:eastAsia="宋体" w:hAnsi="宋体"/>
        </w:rPr>
        <w:t>450 nm的蓝色LD发送30 MHz的NRZ-OOK方波，使用空间光功率计测得激光管输出光强为-5 dBm，经过衰减片衰减后光强为-35 dBm，示波器端显示的30 MHz测试输出信号如图9所示。可以看出，信号恢复良好，正占空比为50.15%，可实现60 Mb/s的光信号采集处理。</w:t>
      </w:r>
    </w:p>
    <w:p w:rsidR="00553704" w:rsidRPr="00553704" w:rsidRDefault="00553704" w:rsidP="00553704">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811932" cy="1362443"/>
            <wp:effectExtent l="19050" t="0" r="7468" b="0"/>
            <wp:docPr id="33" name="图片 33" descr="C:\Documents and Settings\longyin\Application Data\Tencent\Users\65520456\QQ\WinTemp\RichOle\OZ95AP326V]RY}))85V}}S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Documents and Settings\longyin\Application Data\Tencent\Users\65520456\QQ\WinTemp\RichOle\OZ95AP326V]RY}))85V}}SW.png"/>
                    <pic:cNvPicPr>
                      <a:picLocks noChangeAspect="1" noChangeArrowheads="1"/>
                    </pic:cNvPicPr>
                  </pic:nvPicPr>
                  <pic:blipFill>
                    <a:blip r:embed="rId18"/>
                    <a:srcRect/>
                    <a:stretch>
                      <a:fillRect/>
                    </a:stretch>
                  </pic:blipFill>
                  <pic:spPr bwMode="auto">
                    <a:xfrm>
                      <a:off x="0" y="0"/>
                      <a:ext cx="2811932" cy="1362443"/>
                    </a:xfrm>
                    <a:prstGeom prst="rect">
                      <a:avLst/>
                    </a:prstGeom>
                    <a:noFill/>
                    <a:ln w="9525">
                      <a:noFill/>
                      <a:miter lim="800000"/>
                      <a:headEnd/>
                      <a:tailEnd/>
                    </a:ln>
                  </pic:spPr>
                </pic:pic>
              </a:graphicData>
            </a:graphic>
          </wp:inline>
        </w:drawing>
      </w:r>
    </w:p>
    <w:p w:rsidR="00553704" w:rsidRPr="00107EA7" w:rsidRDefault="00553704" w:rsidP="00107EA7">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9  30 MHz测试输出信号</w:t>
      </w:r>
    </w:p>
    <w:p w:rsidR="00642309" w:rsidRPr="00642309" w:rsidRDefault="00642309" w:rsidP="00642309">
      <w:pPr>
        <w:rPr>
          <w:rFonts w:ascii="宋体" w:eastAsia="宋体" w:hAnsi="宋体"/>
        </w:rPr>
      </w:pPr>
      <w:r w:rsidRPr="00642309">
        <w:rPr>
          <w:rFonts w:ascii="宋体" w:eastAsia="宋体" w:hAnsi="宋体"/>
        </w:rPr>
        <w:tab/>
        <w:t>LD发送光信号带宽超过30 MHz后，示波器输出占空比失调逐渐严重，这是由于大面积APD的结电容较大，限制了接收电路的带宽，此时可以通过降低跨阻电路的反馈电阻来提高带宽，但接收灵敏度会随着降低。因此，在使用较低反馈电阻时增加了后续微弱信号处理设计，使所设计的大面积APD接收电路在保证灵敏度的同时依然有较高的带宽。</w:t>
      </w:r>
    </w:p>
    <w:p w:rsidR="00642309" w:rsidRDefault="00642309" w:rsidP="00642309">
      <w:pPr>
        <w:rPr>
          <w:rFonts w:ascii="宋体" w:eastAsia="宋体" w:hAnsi="宋体" w:hint="eastAsia"/>
        </w:rPr>
      </w:pPr>
      <w:r w:rsidRPr="00642309">
        <w:rPr>
          <w:rFonts w:ascii="宋体" w:eastAsia="宋体" w:hAnsi="宋体" w:hint="eastAsia"/>
        </w:rPr>
        <w:t xml:space="preserve">　　本文利用任意信号发生器产生</w:t>
      </w:r>
      <w:r w:rsidRPr="00642309">
        <w:rPr>
          <w:rFonts w:ascii="宋体" w:eastAsia="宋体" w:hAnsi="宋体"/>
        </w:rPr>
        <w:t>2 mV的60 MHz方波信号直接输入至微弱信号处理模块中，输出LVTTL电平波形，示波器端显示的60 MHz测试输出信号如图10所示。可以看出，波形恢复较好，正占空比为 50.30%。若将APD换成滨松S8664同系列的S8664-30K型号或更小面积的APD，将有效提升该电路设计的带宽；同时，此单独的微弱信号处理模块可直接用于其它光信号提取电路的后续处理，适用于实际通信。</w:t>
      </w:r>
    </w:p>
    <w:p w:rsidR="00553704" w:rsidRDefault="00553704" w:rsidP="00553704">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987497" cy="1502409"/>
            <wp:effectExtent l="19050" t="0" r="3353" b="0"/>
            <wp:docPr id="35" name="图片 35" descr="C:\Documents and Settings\longyin\Application Data\Tencent\Users\65520456\QQ\WinTemp\RichOle\J[{8[3]KK7}QG7%XNG~MUD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Documents and Settings\longyin\Application Data\Tencent\Users\65520456\QQ\WinTemp\RichOle\J[{8[3]KK7}QG7%XNG~MUDC.png"/>
                    <pic:cNvPicPr>
                      <a:picLocks noChangeAspect="1" noChangeArrowheads="1"/>
                    </pic:cNvPicPr>
                  </pic:nvPicPr>
                  <pic:blipFill>
                    <a:blip r:embed="rId19"/>
                    <a:srcRect/>
                    <a:stretch>
                      <a:fillRect/>
                    </a:stretch>
                  </pic:blipFill>
                  <pic:spPr bwMode="auto">
                    <a:xfrm>
                      <a:off x="0" y="0"/>
                      <a:ext cx="2987376" cy="1502348"/>
                    </a:xfrm>
                    <a:prstGeom prst="rect">
                      <a:avLst/>
                    </a:prstGeom>
                    <a:noFill/>
                    <a:ln w="9525">
                      <a:noFill/>
                      <a:miter lim="800000"/>
                      <a:headEnd/>
                      <a:tailEnd/>
                    </a:ln>
                  </pic:spPr>
                </pic:pic>
              </a:graphicData>
            </a:graphic>
          </wp:inline>
        </w:drawing>
      </w:r>
    </w:p>
    <w:p w:rsidR="00553704" w:rsidRPr="00107EA7" w:rsidRDefault="00553704" w:rsidP="00553704">
      <w:pPr>
        <w:widowControl/>
        <w:jc w:val="center"/>
        <w:rPr>
          <w:rFonts w:ascii="宋体" w:eastAsia="宋体" w:hAnsi="宋体" w:cs="宋体"/>
          <w:b/>
          <w:kern w:val="0"/>
          <w:sz w:val="18"/>
          <w:szCs w:val="18"/>
        </w:rPr>
      </w:pPr>
      <w:r w:rsidRPr="00107EA7">
        <w:rPr>
          <w:rFonts w:ascii="宋体" w:eastAsia="宋体" w:hAnsi="宋体" w:cs="宋体" w:hint="eastAsia"/>
          <w:b/>
          <w:kern w:val="0"/>
          <w:sz w:val="18"/>
          <w:szCs w:val="18"/>
        </w:rPr>
        <w:t>图</w:t>
      </w:r>
      <w:r w:rsidRPr="00107EA7">
        <w:rPr>
          <w:rFonts w:ascii="宋体" w:eastAsia="宋体" w:hAnsi="宋体" w:cs="宋体"/>
          <w:b/>
          <w:kern w:val="0"/>
          <w:sz w:val="18"/>
          <w:szCs w:val="18"/>
        </w:rPr>
        <w:t>10  60 MHz测试输出信号</w:t>
      </w:r>
    </w:p>
    <w:p w:rsidR="00642309" w:rsidRPr="00642309" w:rsidRDefault="00642309" w:rsidP="00642309">
      <w:pPr>
        <w:rPr>
          <w:rFonts w:ascii="宋体" w:eastAsia="宋体" w:hAnsi="宋体"/>
        </w:rPr>
      </w:pPr>
    </w:p>
    <w:p w:rsidR="00642309" w:rsidRPr="005C49E7" w:rsidRDefault="00642309" w:rsidP="00642309">
      <w:pPr>
        <w:rPr>
          <w:rFonts w:ascii="方正黑体_GBK" w:eastAsia="方正黑体_GBK"/>
          <w:sz w:val="24"/>
          <w:szCs w:val="24"/>
        </w:rPr>
      </w:pPr>
      <w:r w:rsidRPr="005C49E7">
        <w:rPr>
          <w:rFonts w:ascii="方正黑体_GBK" w:eastAsia="方正黑体_GBK"/>
          <w:sz w:val="24"/>
          <w:szCs w:val="24"/>
        </w:rPr>
        <w:t>3 结束语</w:t>
      </w:r>
    </w:p>
    <w:p w:rsidR="00642309" w:rsidRPr="00642309" w:rsidRDefault="00642309" w:rsidP="00642309">
      <w:pPr>
        <w:rPr>
          <w:rFonts w:ascii="宋体" w:eastAsia="宋体" w:hAnsi="宋体"/>
        </w:rPr>
      </w:pPr>
      <w:r w:rsidRPr="00642309">
        <w:rPr>
          <w:rFonts w:ascii="宋体" w:eastAsia="宋体" w:hAnsi="宋体" w:hint="eastAsia"/>
        </w:rPr>
        <w:t xml:space="preserve">　　光通信大面积</w:t>
      </w:r>
      <w:r w:rsidRPr="00642309">
        <w:rPr>
          <w:rFonts w:ascii="宋体" w:eastAsia="宋体" w:hAnsi="宋体"/>
        </w:rPr>
        <w:t>APD接收电路设计包括大面积APD、TIA、高增益高宽带放大器、单端转差分电路、限幅放大及电平转换电路，大面积APD接收电路可以实现60 Mb/s的可见光信息采集，灵敏度低至-35 dBm，与常用的APD相比，该设计感光面积大、灵敏度高且中心波长为600 nm更利于可见光采集，满足可见光通信及水下蓝绿光通信等技术的需求。本文设计的微弱信号处理电路可实现5 kHz~60 MHz的电平信号处理，输出易于处理的LVTTL电平。该电路具有较好的跟随和整形恢复能力，可用于实际光通信采集的后续处理，提升</w:t>
      </w:r>
      <w:r w:rsidRPr="00642309">
        <w:rPr>
          <w:rFonts w:ascii="宋体" w:eastAsia="宋体" w:hAnsi="宋体" w:hint="eastAsia"/>
        </w:rPr>
        <w:t>通信系统距离和通信稳定性，具有良好的应用前景。</w:t>
      </w:r>
    </w:p>
    <w:p w:rsidR="00642309" w:rsidRPr="00642309" w:rsidRDefault="00642309" w:rsidP="00642309">
      <w:pPr>
        <w:rPr>
          <w:rFonts w:ascii="宋体" w:eastAsia="宋体" w:hAnsi="宋体"/>
        </w:rPr>
      </w:pPr>
      <w:r w:rsidRPr="00642309">
        <w:rPr>
          <w:rFonts w:ascii="宋体" w:eastAsia="宋体" w:hAnsi="宋体" w:hint="eastAsia"/>
        </w:rPr>
        <w:t xml:space="preserve">　　</w:t>
      </w:r>
    </w:p>
    <w:p w:rsidR="00642309" w:rsidRPr="00101422" w:rsidRDefault="00642309" w:rsidP="00642309">
      <w:pPr>
        <w:rPr>
          <w:rFonts w:ascii="宋体" w:eastAsia="宋体" w:hAnsi="宋体"/>
          <w:b/>
        </w:rPr>
      </w:pPr>
      <w:r w:rsidRPr="00101422">
        <w:rPr>
          <w:rFonts w:ascii="宋体" w:eastAsia="宋体" w:hAnsi="宋体" w:hint="eastAsia"/>
          <w:b/>
        </w:rPr>
        <w:t>参考文献</w:t>
      </w:r>
      <w:r w:rsidRPr="00101422">
        <w:rPr>
          <w:rFonts w:ascii="宋体" w:eastAsia="宋体" w:hAnsi="宋体"/>
          <w:b/>
        </w:rPr>
        <w:t>:</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[1] JI Y W, WU G F, WANG C, et al. Experimental study of SPAD-based long distance outdoor VLC systems[J]. Optics Communications, 2018</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4</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 7-12.</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 xml:space="preserve">[2] </w:t>
      </w:r>
      <w:r w:rsidRPr="00101422">
        <w:rPr>
          <w:rFonts w:ascii="Times New Roman" w:eastAsia="宋体" w:hAnsi="宋体" w:cs="Times New Roman"/>
          <w:sz w:val="18"/>
          <w:szCs w:val="18"/>
        </w:rPr>
        <w:t>尚佳彬，张伟刚，王春宝，等</w:t>
      </w:r>
      <w:r w:rsidRPr="00101422">
        <w:rPr>
          <w:rFonts w:ascii="Times New Roman" w:eastAsia="宋体" w:hAnsi="Times New Roman" w:cs="Times New Roman"/>
          <w:sz w:val="18"/>
          <w:szCs w:val="18"/>
        </w:rPr>
        <w:t xml:space="preserve">. </w:t>
      </w:r>
      <w:r w:rsidRPr="00101422">
        <w:rPr>
          <w:rFonts w:ascii="Times New Roman" w:eastAsia="宋体" w:hAnsi="宋体" w:cs="Times New Roman"/>
          <w:sz w:val="18"/>
          <w:szCs w:val="18"/>
        </w:rPr>
        <w:t>光通信用光接收机技术及其进展</w:t>
      </w:r>
      <w:r w:rsidRPr="00101422">
        <w:rPr>
          <w:rFonts w:ascii="Times New Roman" w:eastAsia="宋体" w:hAnsi="Times New Roman" w:cs="Times New Roman"/>
          <w:sz w:val="18"/>
          <w:szCs w:val="18"/>
        </w:rPr>
        <w:t xml:space="preserve">[J]. </w:t>
      </w:r>
      <w:r w:rsidRPr="00101422">
        <w:rPr>
          <w:rFonts w:ascii="Times New Roman" w:eastAsia="宋体" w:hAnsi="宋体" w:cs="Times New Roman"/>
          <w:sz w:val="18"/>
          <w:szCs w:val="18"/>
        </w:rPr>
        <w:t>光通信技术，</w:t>
      </w:r>
      <w:r w:rsidRPr="00101422">
        <w:rPr>
          <w:rFonts w:ascii="Times New Roman" w:eastAsia="宋体" w:hAnsi="Times New Roman" w:cs="Times New Roman"/>
          <w:sz w:val="18"/>
          <w:szCs w:val="18"/>
        </w:rPr>
        <w:t>2009</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33</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12</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46-48.</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[3] JONATHAN B, SAM B, MAXIME G, et al. Systematic evaluation of photodetector performance for plastic scintillation dosimetry[J]. Medical physics, 2014, 41</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6</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 549-549.</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 xml:space="preserve">[4] </w:t>
      </w:r>
      <w:r w:rsidRPr="00101422">
        <w:rPr>
          <w:rFonts w:ascii="Times New Roman" w:eastAsia="宋体" w:hAnsi="宋体" w:cs="Times New Roman"/>
          <w:sz w:val="18"/>
          <w:szCs w:val="18"/>
        </w:rPr>
        <w:t>朱义君，王超，汪涛，等</w:t>
      </w:r>
      <w:r w:rsidRPr="00101422">
        <w:rPr>
          <w:rFonts w:ascii="Times New Roman" w:eastAsia="宋体" w:hAnsi="Times New Roman" w:cs="Times New Roman"/>
          <w:sz w:val="18"/>
          <w:szCs w:val="18"/>
        </w:rPr>
        <w:t xml:space="preserve">. </w:t>
      </w:r>
      <w:r w:rsidRPr="00101422">
        <w:rPr>
          <w:rFonts w:ascii="Times New Roman" w:eastAsia="宋体" w:hAnsi="宋体" w:cs="Times New Roman"/>
          <w:sz w:val="18"/>
          <w:szCs w:val="18"/>
        </w:rPr>
        <w:t>水下单光子可见光通信技术研究</w:t>
      </w:r>
      <w:r w:rsidRPr="00101422">
        <w:rPr>
          <w:rFonts w:ascii="Times New Roman" w:eastAsia="宋体" w:hAnsi="Times New Roman" w:cs="Times New Roman"/>
          <w:sz w:val="18"/>
          <w:szCs w:val="18"/>
        </w:rPr>
        <w:t>[J].</w:t>
      </w:r>
      <w:r w:rsidRPr="00101422">
        <w:rPr>
          <w:rFonts w:ascii="Times New Roman" w:eastAsia="宋体" w:hAnsi="宋体" w:cs="Times New Roman"/>
          <w:sz w:val="18"/>
          <w:szCs w:val="18"/>
        </w:rPr>
        <w:t>光通信技术，</w:t>
      </w:r>
      <w:r w:rsidRPr="00101422">
        <w:rPr>
          <w:rFonts w:ascii="Times New Roman" w:eastAsia="宋体" w:hAnsi="Times New Roman" w:cs="Times New Roman"/>
          <w:sz w:val="18"/>
          <w:szCs w:val="18"/>
        </w:rPr>
        <w:t>2020</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44</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6</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1-5.</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 xml:space="preserve">[5] </w:t>
      </w:r>
      <w:r w:rsidRPr="00101422">
        <w:rPr>
          <w:rFonts w:ascii="Times New Roman" w:eastAsia="宋体" w:hAnsi="宋体" w:cs="Times New Roman"/>
          <w:sz w:val="18"/>
          <w:szCs w:val="18"/>
        </w:rPr>
        <w:t>顾小琨，李永亮，胡伟伟，等</w:t>
      </w:r>
      <w:r w:rsidRPr="00101422">
        <w:rPr>
          <w:rFonts w:ascii="Times New Roman" w:eastAsia="宋体" w:hAnsi="Times New Roman" w:cs="Times New Roman"/>
          <w:sz w:val="18"/>
          <w:szCs w:val="18"/>
        </w:rPr>
        <w:t xml:space="preserve">. </w:t>
      </w:r>
      <w:r w:rsidRPr="00101422">
        <w:rPr>
          <w:rFonts w:ascii="Times New Roman" w:eastAsia="宋体" w:hAnsi="宋体" w:cs="Times New Roman"/>
          <w:sz w:val="18"/>
          <w:szCs w:val="18"/>
        </w:rPr>
        <w:t>激光测距系统中光电探测器的研究进展</w:t>
      </w:r>
      <w:r w:rsidRPr="00101422">
        <w:rPr>
          <w:rFonts w:ascii="Times New Roman" w:eastAsia="宋体" w:hAnsi="Times New Roman" w:cs="Times New Roman"/>
          <w:sz w:val="18"/>
          <w:szCs w:val="18"/>
        </w:rPr>
        <w:t xml:space="preserve">[J]. </w:t>
      </w:r>
      <w:r w:rsidRPr="00101422">
        <w:rPr>
          <w:rFonts w:ascii="Times New Roman" w:eastAsia="宋体" w:hAnsi="宋体" w:cs="Times New Roman"/>
          <w:sz w:val="18"/>
          <w:szCs w:val="18"/>
        </w:rPr>
        <w:t>量子光学学报，</w:t>
      </w:r>
      <w:r w:rsidRPr="00101422">
        <w:rPr>
          <w:rFonts w:ascii="Times New Roman" w:eastAsia="宋体" w:hAnsi="Times New Roman" w:cs="Times New Roman"/>
          <w:sz w:val="18"/>
          <w:szCs w:val="18"/>
        </w:rPr>
        <w:t>2019</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25</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100-108.</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 xml:space="preserve">[6] QIN J L, YAN ZH H, HUO M R, et al. Design of low-noise photodetector with a bandwidth of 130 MHz based on transimpedance </w:t>
      </w:r>
      <w:r w:rsidRPr="00101422">
        <w:rPr>
          <w:rFonts w:ascii="Times New Roman" w:eastAsia="宋体" w:hAnsi="Times New Roman" w:cs="Times New Roman"/>
          <w:sz w:val="18"/>
          <w:szCs w:val="18"/>
        </w:rPr>
        <w:lastRenderedPageBreak/>
        <w:t>amplification circuit[J]. Chinese Optics Letters, 2017,14</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12</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127-131.</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 xml:space="preserve">[7] </w:t>
      </w:r>
      <w:r w:rsidRPr="00101422">
        <w:rPr>
          <w:rFonts w:ascii="Times New Roman" w:eastAsia="宋体" w:hAnsi="宋体" w:cs="Times New Roman"/>
          <w:sz w:val="18"/>
          <w:szCs w:val="18"/>
        </w:rPr>
        <w:t>谢鑫，黄华茂，汪超，等</w:t>
      </w:r>
      <w:r w:rsidRPr="00101422">
        <w:rPr>
          <w:rFonts w:ascii="Times New Roman" w:eastAsia="宋体" w:hAnsi="Times New Roman" w:cs="Times New Roman"/>
          <w:sz w:val="18"/>
          <w:szCs w:val="18"/>
        </w:rPr>
        <w:t>. LED</w:t>
      </w:r>
      <w:r w:rsidRPr="00101422">
        <w:rPr>
          <w:rFonts w:ascii="Times New Roman" w:eastAsia="宋体" w:hAnsi="宋体" w:cs="Times New Roman"/>
          <w:sz w:val="18"/>
          <w:szCs w:val="18"/>
        </w:rPr>
        <w:t>可见光通信光电接收信号处理系统</w:t>
      </w:r>
      <w:r w:rsidRPr="00101422">
        <w:rPr>
          <w:rFonts w:ascii="Times New Roman" w:eastAsia="宋体" w:hAnsi="Times New Roman" w:cs="Times New Roman"/>
          <w:sz w:val="18"/>
          <w:szCs w:val="18"/>
        </w:rPr>
        <w:t>[J].</w:t>
      </w:r>
      <w:r w:rsidRPr="00101422">
        <w:rPr>
          <w:rFonts w:ascii="Times New Roman" w:eastAsia="宋体" w:hAnsi="宋体" w:cs="Times New Roman"/>
          <w:sz w:val="18"/>
          <w:szCs w:val="18"/>
        </w:rPr>
        <w:t>光学与光电技术，</w:t>
      </w:r>
      <w:r w:rsidRPr="00101422">
        <w:rPr>
          <w:rFonts w:ascii="Times New Roman" w:eastAsia="宋体" w:hAnsi="Times New Roman" w:cs="Times New Roman"/>
          <w:sz w:val="18"/>
          <w:szCs w:val="18"/>
        </w:rPr>
        <w:t>2017</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15</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5</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15-20.</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[8] LIU X Z, LIU SH B, AN Q. A time-over-threshold technique for PMT signals processing[J]. Nuclear Science and Techniques, 2007</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3</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 164-171.</w:t>
      </w:r>
    </w:p>
    <w:p w:rsidR="00642309" w:rsidRPr="00101422" w:rsidRDefault="00642309" w:rsidP="00642309">
      <w:pPr>
        <w:rPr>
          <w:rFonts w:ascii="Times New Roman" w:eastAsia="宋体" w:hAnsi="Times New Roman" w:cs="Times New Roman"/>
          <w:sz w:val="18"/>
          <w:szCs w:val="18"/>
        </w:rPr>
      </w:pPr>
      <w:r w:rsidRPr="00101422">
        <w:rPr>
          <w:rFonts w:ascii="Times New Roman" w:eastAsia="宋体" w:hAnsi="Times New Roman" w:cs="Times New Roman"/>
          <w:sz w:val="18"/>
          <w:szCs w:val="18"/>
        </w:rPr>
        <w:t xml:space="preserve">[9] </w:t>
      </w:r>
      <w:r w:rsidRPr="00101422">
        <w:rPr>
          <w:rFonts w:ascii="Times New Roman" w:eastAsia="宋体" w:hAnsi="宋体" w:cs="Times New Roman"/>
          <w:sz w:val="18"/>
          <w:szCs w:val="18"/>
        </w:rPr>
        <w:t>刘俊良，李永富，张春芳，等</w:t>
      </w:r>
      <w:r w:rsidRPr="00101422">
        <w:rPr>
          <w:rFonts w:ascii="Times New Roman" w:eastAsia="宋体" w:hAnsi="Times New Roman" w:cs="Times New Roman"/>
          <w:sz w:val="18"/>
          <w:szCs w:val="18"/>
        </w:rPr>
        <w:t xml:space="preserve">. </w:t>
      </w:r>
      <w:r w:rsidRPr="00101422">
        <w:rPr>
          <w:rFonts w:ascii="Times New Roman" w:eastAsia="宋体" w:hAnsi="宋体" w:cs="Times New Roman"/>
          <w:sz w:val="18"/>
          <w:szCs w:val="18"/>
        </w:rPr>
        <w:t>基于</w:t>
      </w:r>
      <w:r w:rsidRPr="00101422">
        <w:rPr>
          <w:rFonts w:ascii="Times New Roman" w:eastAsia="宋体" w:hAnsi="Times New Roman" w:cs="Times New Roman"/>
          <w:sz w:val="18"/>
          <w:szCs w:val="18"/>
        </w:rPr>
        <w:t>APD-PIN</w:t>
      </w:r>
      <w:r w:rsidRPr="00101422">
        <w:rPr>
          <w:rFonts w:ascii="Times New Roman" w:eastAsia="宋体" w:hAnsi="宋体" w:cs="Times New Roman"/>
          <w:sz w:val="18"/>
          <w:szCs w:val="18"/>
        </w:rPr>
        <w:t>结电容平衡电路的门控单光子探测器</w:t>
      </w:r>
      <w:r w:rsidRPr="00101422">
        <w:rPr>
          <w:rFonts w:ascii="Times New Roman" w:eastAsia="宋体" w:hAnsi="Times New Roman" w:cs="Times New Roman"/>
          <w:sz w:val="18"/>
          <w:szCs w:val="18"/>
        </w:rPr>
        <w:t xml:space="preserve">[J]. </w:t>
      </w:r>
      <w:r w:rsidRPr="00101422">
        <w:rPr>
          <w:rFonts w:ascii="Times New Roman" w:eastAsia="宋体" w:hAnsi="宋体" w:cs="Times New Roman"/>
          <w:sz w:val="18"/>
          <w:szCs w:val="18"/>
        </w:rPr>
        <w:t>红外与激光工程，</w:t>
      </w:r>
      <w:r w:rsidRPr="00101422">
        <w:rPr>
          <w:rFonts w:ascii="Times New Roman" w:eastAsia="宋体" w:hAnsi="Times New Roman" w:cs="Times New Roman"/>
          <w:sz w:val="18"/>
          <w:szCs w:val="18"/>
        </w:rPr>
        <w:t>2015</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44</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11</w:t>
      </w:r>
      <w:r w:rsidRPr="00101422">
        <w:rPr>
          <w:rFonts w:ascii="Times New Roman" w:eastAsia="宋体" w:hAnsi="宋体" w:cs="Times New Roman"/>
          <w:sz w:val="18"/>
          <w:szCs w:val="18"/>
        </w:rPr>
        <w:t>）：</w:t>
      </w:r>
      <w:r w:rsidRPr="00101422">
        <w:rPr>
          <w:rFonts w:ascii="Times New Roman" w:eastAsia="宋体" w:hAnsi="Times New Roman" w:cs="Times New Roman"/>
          <w:sz w:val="18"/>
          <w:szCs w:val="18"/>
        </w:rPr>
        <w:t>3181-3185.</w:t>
      </w:r>
    </w:p>
    <w:p w:rsidR="00642309" w:rsidRPr="00642309" w:rsidRDefault="00642309" w:rsidP="00642309">
      <w:pPr>
        <w:rPr>
          <w:rFonts w:ascii="宋体" w:eastAsia="宋体" w:hAnsi="宋体"/>
        </w:rPr>
      </w:pPr>
      <w:r w:rsidRPr="00101422">
        <w:rPr>
          <w:rFonts w:ascii="宋体" w:eastAsia="宋体" w:hAnsi="宋体" w:hint="eastAsia"/>
          <w:b/>
        </w:rPr>
        <w:t>收稿日期：</w:t>
      </w:r>
      <w:r w:rsidRPr="00642309">
        <w:rPr>
          <w:rFonts w:ascii="宋体" w:eastAsia="宋体" w:hAnsi="宋体"/>
        </w:rPr>
        <w:t>2020-09-27。</w:t>
      </w:r>
    </w:p>
    <w:p w:rsidR="00642309" w:rsidRPr="00642309" w:rsidRDefault="00642309" w:rsidP="00642309">
      <w:pPr>
        <w:rPr>
          <w:rFonts w:ascii="宋体" w:eastAsia="宋体" w:hAnsi="宋体"/>
        </w:rPr>
      </w:pPr>
      <w:r w:rsidRPr="00101422">
        <w:rPr>
          <w:rFonts w:ascii="宋体" w:eastAsia="宋体" w:hAnsi="宋体" w:hint="eastAsia"/>
          <w:b/>
        </w:rPr>
        <w:t>基金项目：</w:t>
      </w:r>
      <w:r w:rsidRPr="00642309">
        <w:rPr>
          <w:rFonts w:ascii="宋体" w:eastAsia="宋体" w:hAnsi="宋体" w:hint="eastAsia"/>
        </w:rPr>
        <w:t>国家自然科学基金（编号：</w:t>
      </w:r>
      <w:r w:rsidRPr="00642309">
        <w:rPr>
          <w:rFonts w:ascii="宋体" w:eastAsia="宋体" w:hAnsi="宋体"/>
        </w:rPr>
        <w:t>62001333）资助；武汉市企业技术创新项目（编号：2020010602012047）资助。</w:t>
      </w:r>
    </w:p>
    <w:p w:rsidR="00642309" w:rsidRPr="00642309" w:rsidRDefault="00642309" w:rsidP="00642309">
      <w:pPr>
        <w:rPr>
          <w:rFonts w:ascii="宋体" w:eastAsia="宋体" w:hAnsi="宋体"/>
        </w:rPr>
      </w:pPr>
      <w:r w:rsidRPr="00101422">
        <w:rPr>
          <w:rFonts w:ascii="宋体" w:eastAsia="宋体" w:hAnsi="宋体" w:hint="eastAsia"/>
          <w:b/>
        </w:rPr>
        <w:t>作者简介：</w:t>
      </w:r>
      <w:r w:rsidRPr="00642309">
        <w:rPr>
          <w:rFonts w:ascii="宋体" w:eastAsia="宋体" w:hAnsi="宋体" w:hint="eastAsia"/>
        </w:rPr>
        <w:t>王振亚（</w:t>
      </w:r>
      <w:r w:rsidRPr="00642309">
        <w:rPr>
          <w:rFonts w:ascii="宋体" w:eastAsia="宋体" w:hAnsi="宋体"/>
        </w:rPr>
        <w:t>1995—），男，硕士生，现就读于武汉纺织大学电子与电气工程学院电子信息专业，主要研究方向为通信与智能信息处理和无线光通信技术，并针对微弱光信号进行信号提取、传输优化和链路算法研究。参与了水下可见光通信项目，负责光信息接收电路的研发。</w:t>
      </w:r>
    </w:p>
    <w:p w:rsidR="00642309" w:rsidRDefault="00642309" w:rsidP="00642309">
      <w:pPr>
        <w:rPr>
          <w:rFonts w:ascii="宋体" w:eastAsia="宋体" w:hAnsi="宋体"/>
        </w:rPr>
      </w:pPr>
      <w:r w:rsidRPr="00101422">
        <w:rPr>
          <w:rFonts w:ascii="宋体" w:eastAsia="宋体" w:hAnsi="宋体"/>
          <w:b/>
        </w:rPr>
        <w:t>*通信作者：</w:t>
      </w:r>
      <w:r w:rsidRPr="00642309">
        <w:rPr>
          <w:rFonts w:ascii="宋体" w:eastAsia="宋体" w:hAnsi="宋体"/>
        </w:rPr>
        <w:t>郭建中（1975—），男，博士，副教授，主要从事通信编码调制、目标识别跟踪和图像的超分辨技术研究工作。</w:t>
      </w:r>
    </w:p>
    <w:sectPr w:rsidR="00642309"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2B40" w:rsidRDefault="00A02B40" w:rsidP="00EE1B28">
      <w:r>
        <w:separator/>
      </w:r>
    </w:p>
  </w:endnote>
  <w:endnote w:type="continuationSeparator" w:id="1">
    <w:p w:rsidR="00A02B40" w:rsidRDefault="00A02B40"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2B40" w:rsidRDefault="00A02B40" w:rsidP="00EE1B28">
      <w:r>
        <w:separator/>
      </w:r>
    </w:p>
  </w:footnote>
  <w:footnote w:type="continuationSeparator" w:id="1">
    <w:p w:rsidR="00A02B40" w:rsidRDefault="00A02B40"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26977"/>
    <w:rsid w:val="00026E35"/>
    <w:rsid w:val="00041D1A"/>
    <w:rsid w:val="0006064D"/>
    <w:rsid w:val="000609A2"/>
    <w:rsid w:val="00086D4F"/>
    <w:rsid w:val="000A04AD"/>
    <w:rsid w:val="000A1621"/>
    <w:rsid w:val="000B0AE0"/>
    <w:rsid w:val="000D0A86"/>
    <w:rsid w:val="00101422"/>
    <w:rsid w:val="00102AF0"/>
    <w:rsid w:val="00106D0B"/>
    <w:rsid w:val="00107EA7"/>
    <w:rsid w:val="00136BF6"/>
    <w:rsid w:val="001614C3"/>
    <w:rsid w:val="00192529"/>
    <w:rsid w:val="00192A43"/>
    <w:rsid w:val="00195DBA"/>
    <w:rsid w:val="001D12E9"/>
    <w:rsid w:val="001E1879"/>
    <w:rsid w:val="00285770"/>
    <w:rsid w:val="00295546"/>
    <w:rsid w:val="002D03EA"/>
    <w:rsid w:val="002F40B4"/>
    <w:rsid w:val="002F7C7F"/>
    <w:rsid w:val="00313975"/>
    <w:rsid w:val="0035102A"/>
    <w:rsid w:val="0039160F"/>
    <w:rsid w:val="003B4B6A"/>
    <w:rsid w:val="003B7DDA"/>
    <w:rsid w:val="004234F1"/>
    <w:rsid w:val="00424FF6"/>
    <w:rsid w:val="0045630F"/>
    <w:rsid w:val="00493A5F"/>
    <w:rsid w:val="00551383"/>
    <w:rsid w:val="00553704"/>
    <w:rsid w:val="00573CF3"/>
    <w:rsid w:val="005777C5"/>
    <w:rsid w:val="005C49E7"/>
    <w:rsid w:val="005C7688"/>
    <w:rsid w:val="005D6C3C"/>
    <w:rsid w:val="005E27AA"/>
    <w:rsid w:val="005F670D"/>
    <w:rsid w:val="0060698F"/>
    <w:rsid w:val="00642309"/>
    <w:rsid w:val="006E20C9"/>
    <w:rsid w:val="0071737F"/>
    <w:rsid w:val="00783DB6"/>
    <w:rsid w:val="00790E37"/>
    <w:rsid w:val="007C4108"/>
    <w:rsid w:val="00823199"/>
    <w:rsid w:val="008631AD"/>
    <w:rsid w:val="008B1977"/>
    <w:rsid w:val="008B2711"/>
    <w:rsid w:val="008D2B7B"/>
    <w:rsid w:val="008E3F2D"/>
    <w:rsid w:val="008F55BB"/>
    <w:rsid w:val="008F67F3"/>
    <w:rsid w:val="0093712E"/>
    <w:rsid w:val="009945CF"/>
    <w:rsid w:val="009A550E"/>
    <w:rsid w:val="009D3584"/>
    <w:rsid w:val="00A01200"/>
    <w:rsid w:val="00A02B40"/>
    <w:rsid w:val="00A1695D"/>
    <w:rsid w:val="00A454B8"/>
    <w:rsid w:val="00A47234"/>
    <w:rsid w:val="00A63547"/>
    <w:rsid w:val="00AD5083"/>
    <w:rsid w:val="00B108A6"/>
    <w:rsid w:val="00B52D49"/>
    <w:rsid w:val="00B82790"/>
    <w:rsid w:val="00C21068"/>
    <w:rsid w:val="00C40461"/>
    <w:rsid w:val="00CB0BBB"/>
    <w:rsid w:val="00CC5438"/>
    <w:rsid w:val="00CD6BF0"/>
    <w:rsid w:val="00D04DFE"/>
    <w:rsid w:val="00D10746"/>
    <w:rsid w:val="00D45FE7"/>
    <w:rsid w:val="00E604D1"/>
    <w:rsid w:val="00E60C15"/>
    <w:rsid w:val="00E64E9C"/>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309"/>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642309"/>
    <w:pPr>
      <w:ind w:firstLineChars="200" w:firstLine="420"/>
    </w:pPr>
  </w:style>
</w:styles>
</file>

<file path=word/webSettings.xml><?xml version="1.0" encoding="utf-8"?>
<w:webSettings xmlns:r="http://schemas.openxmlformats.org/officeDocument/2006/relationships" xmlns:w="http://schemas.openxmlformats.org/wordprocessingml/2006/main">
  <w:divs>
    <w:div w:id="18170275">
      <w:bodyDiv w:val="1"/>
      <w:marLeft w:val="0"/>
      <w:marRight w:val="0"/>
      <w:marTop w:val="0"/>
      <w:marBottom w:val="0"/>
      <w:divBdr>
        <w:top w:val="none" w:sz="0" w:space="0" w:color="auto"/>
        <w:left w:val="none" w:sz="0" w:space="0" w:color="auto"/>
        <w:bottom w:val="none" w:sz="0" w:space="0" w:color="auto"/>
        <w:right w:val="none" w:sz="0" w:space="0" w:color="auto"/>
      </w:divBdr>
      <w:divsChild>
        <w:div w:id="472646499">
          <w:marLeft w:val="0"/>
          <w:marRight w:val="0"/>
          <w:marTop w:val="0"/>
          <w:marBottom w:val="0"/>
          <w:divBdr>
            <w:top w:val="none" w:sz="0" w:space="0" w:color="auto"/>
            <w:left w:val="none" w:sz="0" w:space="0" w:color="auto"/>
            <w:bottom w:val="none" w:sz="0" w:space="0" w:color="auto"/>
            <w:right w:val="none" w:sz="0" w:space="0" w:color="auto"/>
          </w:divBdr>
        </w:div>
      </w:divsChild>
    </w:div>
    <w:div w:id="135875400">
      <w:bodyDiv w:val="1"/>
      <w:marLeft w:val="0"/>
      <w:marRight w:val="0"/>
      <w:marTop w:val="0"/>
      <w:marBottom w:val="0"/>
      <w:divBdr>
        <w:top w:val="none" w:sz="0" w:space="0" w:color="auto"/>
        <w:left w:val="none" w:sz="0" w:space="0" w:color="auto"/>
        <w:bottom w:val="none" w:sz="0" w:space="0" w:color="auto"/>
        <w:right w:val="none" w:sz="0" w:space="0" w:color="auto"/>
      </w:divBdr>
      <w:divsChild>
        <w:div w:id="1763263730">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157231320">
      <w:bodyDiv w:val="1"/>
      <w:marLeft w:val="0"/>
      <w:marRight w:val="0"/>
      <w:marTop w:val="0"/>
      <w:marBottom w:val="0"/>
      <w:divBdr>
        <w:top w:val="none" w:sz="0" w:space="0" w:color="auto"/>
        <w:left w:val="none" w:sz="0" w:space="0" w:color="auto"/>
        <w:bottom w:val="none" w:sz="0" w:space="0" w:color="auto"/>
        <w:right w:val="none" w:sz="0" w:space="0" w:color="auto"/>
      </w:divBdr>
      <w:divsChild>
        <w:div w:id="1380939885">
          <w:marLeft w:val="0"/>
          <w:marRight w:val="0"/>
          <w:marTop w:val="0"/>
          <w:marBottom w:val="0"/>
          <w:divBdr>
            <w:top w:val="none" w:sz="0" w:space="0" w:color="auto"/>
            <w:left w:val="none" w:sz="0" w:space="0" w:color="auto"/>
            <w:bottom w:val="none" w:sz="0" w:space="0" w:color="auto"/>
            <w:right w:val="none" w:sz="0" w:space="0" w:color="auto"/>
          </w:divBdr>
        </w:div>
      </w:divsChild>
    </w:div>
    <w:div w:id="185024989">
      <w:bodyDiv w:val="1"/>
      <w:marLeft w:val="0"/>
      <w:marRight w:val="0"/>
      <w:marTop w:val="0"/>
      <w:marBottom w:val="0"/>
      <w:divBdr>
        <w:top w:val="none" w:sz="0" w:space="0" w:color="auto"/>
        <w:left w:val="none" w:sz="0" w:space="0" w:color="auto"/>
        <w:bottom w:val="none" w:sz="0" w:space="0" w:color="auto"/>
        <w:right w:val="none" w:sz="0" w:space="0" w:color="auto"/>
      </w:divBdr>
      <w:divsChild>
        <w:div w:id="785464201">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516313605">
      <w:bodyDiv w:val="1"/>
      <w:marLeft w:val="0"/>
      <w:marRight w:val="0"/>
      <w:marTop w:val="0"/>
      <w:marBottom w:val="0"/>
      <w:divBdr>
        <w:top w:val="none" w:sz="0" w:space="0" w:color="auto"/>
        <w:left w:val="none" w:sz="0" w:space="0" w:color="auto"/>
        <w:bottom w:val="none" w:sz="0" w:space="0" w:color="auto"/>
        <w:right w:val="none" w:sz="0" w:space="0" w:color="auto"/>
      </w:divBdr>
      <w:divsChild>
        <w:div w:id="1135492955">
          <w:marLeft w:val="0"/>
          <w:marRight w:val="0"/>
          <w:marTop w:val="0"/>
          <w:marBottom w:val="0"/>
          <w:divBdr>
            <w:top w:val="none" w:sz="0" w:space="0" w:color="auto"/>
            <w:left w:val="none" w:sz="0" w:space="0" w:color="auto"/>
            <w:bottom w:val="none" w:sz="0" w:space="0" w:color="auto"/>
            <w:right w:val="none" w:sz="0" w:space="0" w:color="auto"/>
          </w:divBdr>
        </w:div>
      </w:divsChild>
    </w:div>
    <w:div w:id="533034219">
      <w:bodyDiv w:val="1"/>
      <w:marLeft w:val="0"/>
      <w:marRight w:val="0"/>
      <w:marTop w:val="0"/>
      <w:marBottom w:val="0"/>
      <w:divBdr>
        <w:top w:val="none" w:sz="0" w:space="0" w:color="auto"/>
        <w:left w:val="none" w:sz="0" w:space="0" w:color="auto"/>
        <w:bottom w:val="none" w:sz="0" w:space="0" w:color="auto"/>
        <w:right w:val="none" w:sz="0" w:space="0" w:color="auto"/>
      </w:divBdr>
      <w:divsChild>
        <w:div w:id="1384208941">
          <w:marLeft w:val="0"/>
          <w:marRight w:val="0"/>
          <w:marTop w:val="0"/>
          <w:marBottom w:val="0"/>
          <w:divBdr>
            <w:top w:val="none" w:sz="0" w:space="0" w:color="auto"/>
            <w:left w:val="none" w:sz="0" w:space="0" w:color="auto"/>
            <w:bottom w:val="none" w:sz="0" w:space="0" w:color="auto"/>
            <w:right w:val="none" w:sz="0" w:space="0" w:color="auto"/>
          </w:divBdr>
        </w:div>
      </w:divsChild>
    </w:div>
    <w:div w:id="681517812">
      <w:bodyDiv w:val="1"/>
      <w:marLeft w:val="0"/>
      <w:marRight w:val="0"/>
      <w:marTop w:val="0"/>
      <w:marBottom w:val="0"/>
      <w:divBdr>
        <w:top w:val="none" w:sz="0" w:space="0" w:color="auto"/>
        <w:left w:val="none" w:sz="0" w:space="0" w:color="auto"/>
        <w:bottom w:val="none" w:sz="0" w:space="0" w:color="auto"/>
        <w:right w:val="none" w:sz="0" w:space="0" w:color="auto"/>
      </w:divBdr>
      <w:divsChild>
        <w:div w:id="1826508316">
          <w:marLeft w:val="0"/>
          <w:marRight w:val="0"/>
          <w:marTop w:val="0"/>
          <w:marBottom w:val="0"/>
          <w:divBdr>
            <w:top w:val="none" w:sz="0" w:space="0" w:color="auto"/>
            <w:left w:val="none" w:sz="0" w:space="0" w:color="auto"/>
            <w:bottom w:val="none" w:sz="0" w:space="0" w:color="auto"/>
            <w:right w:val="none" w:sz="0" w:space="0" w:color="auto"/>
          </w:divBdr>
        </w:div>
      </w:divsChild>
    </w:div>
    <w:div w:id="773936638">
      <w:bodyDiv w:val="1"/>
      <w:marLeft w:val="0"/>
      <w:marRight w:val="0"/>
      <w:marTop w:val="0"/>
      <w:marBottom w:val="0"/>
      <w:divBdr>
        <w:top w:val="none" w:sz="0" w:space="0" w:color="auto"/>
        <w:left w:val="none" w:sz="0" w:space="0" w:color="auto"/>
        <w:bottom w:val="none" w:sz="0" w:space="0" w:color="auto"/>
        <w:right w:val="none" w:sz="0" w:space="0" w:color="auto"/>
      </w:divBdr>
      <w:divsChild>
        <w:div w:id="683241231">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945505387">
      <w:bodyDiv w:val="1"/>
      <w:marLeft w:val="0"/>
      <w:marRight w:val="0"/>
      <w:marTop w:val="0"/>
      <w:marBottom w:val="0"/>
      <w:divBdr>
        <w:top w:val="none" w:sz="0" w:space="0" w:color="auto"/>
        <w:left w:val="none" w:sz="0" w:space="0" w:color="auto"/>
        <w:bottom w:val="none" w:sz="0" w:space="0" w:color="auto"/>
        <w:right w:val="none" w:sz="0" w:space="0" w:color="auto"/>
      </w:divBdr>
      <w:divsChild>
        <w:div w:id="1242134484">
          <w:marLeft w:val="0"/>
          <w:marRight w:val="0"/>
          <w:marTop w:val="0"/>
          <w:marBottom w:val="0"/>
          <w:divBdr>
            <w:top w:val="none" w:sz="0" w:space="0" w:color="auto"/>
            <w:left w:val="none" w:sz="0" w:space="0" w:color="auto"/>
            <w:bottom w:val="none" w:sz="0" w:space="0" w:color="auto"/>
            <w:right w:val="none" w:sz="0" w:space="0" w:color="auto"/>
          </w:divBdr>
        </w:div>
      </w:divsChild>
    </w:div>
    <w:div w:id="1008483576">
      <w:bodyDiv w:val="1"/>
      <w:marLeft w:val="0"/>
      <w:marRight w:val="0"/>
      <w:marTop w:val="0"/>
      <w:marBottom w:val="0"/>
      <w:divBdr>
        <w:top w:val="none" w:sz="0" w:space="0" w:color="auto"/>
        <w:left w:val="none" w:sz="0" w:space="0" w:color="auto"/>
        <w:bottom w:val="none" w:sz="0" w:space="0" w:color="auto"/>
        <w:right w:val="none" w:sz="0" w:space="0" w:color="auto"/>
      </w:divBdr>
      <w:divsChild>
        <w:div w:id="1826774214">
          <w:marLeft w:val="0"/>
          <w:marRight w:val="0"/>
          <w:marTop w:val="0"/>
          <w:marBottom w:val="0"/>
          <w:divBdr>
            <w:top w:val="none" w:sz="0" w:space="0" w:color="auto"/>
            <w:left w:val="none" w:sz="0" w:space="0" w:color="auto"/>
            <w:bottom w:val="none" w:sz="0" w:space="0" w:color="auto"/>
            <w:right w:val="none" w:sz="0" w:space="0" w:color="auto"/>
          </w:divBdr>
        </w:div>
      </w:divsChild>
    </w:div>
    <w:div w:id="1009136052">
      <w:bodyDiv w:val="1"/>
      <w:marLeft w:val="0"/>
      <w:marRight w:val="0"/>
      <w:marTop w:val="0"/>
      <w:marBottom w:val="0"/>
      <w:divBdr>
        <w:top w:val="none" w:sz="0" w:space="0" w:color="auto"/>
        <w:left w:val="none" w:sz="0" w:space="0" w:color="auto"/>
        <w:bottom w:val="none" w:sz="0" w:space="0" w:color="auto"/>
        <w:right w:val="none" w:sz="0" w:space="0" w:color="auto"/>
      </w:divBdr>
      <w:divsChild>
        <w:div w:id="2120754013">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53986949">
      <w:bodyDiv w:val="1"/>
      <w:marLeft w:val="0"/>
      <w:marRight w:val="0"/>
      <w:marTop w:val="0"/>
      <w:marBottom w:val="0"/>
      <w:divBdr>
        <w:top w:val="none" w:sz="0" w:space="0" w:color="auto"/>
        <w:left w:val="none" w:sz="0" w:space="0" w:color="auto"/>
        <w:bottom w:val="none" w:sz="0" w:space="0" w:color="auto"/>
        <w:right w:val="none" w:sz="0" w:space="0" w:color="auto"/>
      </w:divBdr>
      <w:divsChild>
        <w:div w:id="1469282070">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194423968">
      <w:bodyDiv w:val="1"/>
      <w:marLeft w:val="0"/>
      <w:marRight w:val="0"/>
      <w:marTop w:val="0"/>
      <w:marBottom w:val="0"/>
      <w:divBdr>
        <w:top w:val="none" w:sz="0" w:space="0" w:color="auto"/>
        <w:left w:val="none" w:sz="0" w:space="0" w:color="auto"/>
        <w:bottom w:val="none" w:sz="0" w:space="0" w:color="auto"/>
        <w:right w:val="none" w:sz="0" w:space="0" w:color="auto"/>
      </w:divBdr>
      <w:divsChild>
        <w:div w:id="1980378847">
          <w:marLeft w:val="0"/>
          <w:marRight w:val="0"/>
          <w:marTop w:val="0"/>
          <w:marBottom w:val="0"/>
          <w:divBdr>
            <w:top w:val="none" w:sz="0" w:space="0" w:color="auto"/>
            <w:left w:val="none" w:sz="0" w:space="0" w:color="auto"/>
            <w:bottom w:val="none" w:sz="0" w:space="0" w:color="auto"/>
            <w:right w:val="none" w:sz="0" w:space="0" w:color="auto"/>
          </w:divBdr>
        </w:div>
      </w:divsChild>
    </w:div>
    <w:div w:id="1471557894">
      <w:bodyDiv w:val="1"/>
      <w:marLeft w:val="0"/>
      <w:marRight w:val="0"/>
      <w:marTop w:val="0"/>
      <w:marBottom w:val="0"/>
      <w:divBdr>
        <w:top w:val="none" w:sz="0" w:space="0" w:color="auto"/>
        <w:left w:val="none" w:sz="0" w:space="0" w:color="auto"/>
        <w:bottom w:val="none" w:sz="0" w:space="0" w:color="auto"/>
        <w:right w:val="none" w:sz="0" w:space="0" w:color="auto"/>
      </w:divBdr>
      <w:divsChild>
        <w:div w:id="169018149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785884509">
      <w:bodyDiv w:val="1"/>
      <w:marLeft w:val="0"/>
      <w:marRight w:val="0"/>
      <w:marTop w:val="0"/>
      <w:marBottom w:val="0"/>
      <w:divBdr>
        <w:top w:val="none" w:sz="0" w:space="0" w:color="auto"/>
        <w:left w:val="none" w:sz="0" w:space="0" w:color="auto"/>
        <w:bottom w:val="none" w:sz="0" w:space="0" w:color="auto"/>
        <w:right w:val="none" w:sz="0" w:space="0" w:color="auto"/>
      </w:divBdr>
      <w:divsChild>
        <w:div w:id="69253325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6</Pages>
  <Words>976</Words>
  <Characters>5569</Characters>
  <Application>Microsoft Office Word</Application>
  <DocSecurity>0</DocSecurity>
  <Lines>46</Lines>
  <Paragraphs>13</Paragraphs>
  <ScaleCrop>false</ScaleCrop>
  <Company>微软中国</Company>
  <LinksUpToDate>false</LinksUpToDate>
  <CharactersWithSpaces>6532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20</cp:revision>
  <dcterms:created xsi:type="dcterms:W3CDTF">2021-12-09T07:13:00Z</dcterms:created>
  <dcterms:modified xsi:type="dcterms:W3CDTF">2021-12-17T09:31:00Z</dcterms:modified>
</cp:coreProperties>
</file>