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D15EA" w14:textId="77777777" w:rsidR="004A29BC" w:rsidRDefault="006C600F">
      <w:pPr>
        <w:adjustRightInd w:val="0"/>
        <w:snapToGrid w:val="0"/>
        <w:spacing w:beforeLines="50" w:before="156"/>
        <w:jc w:val="center"/>
        <w:rPr>
          <w:rFonts w:ascii="Times New Roman" w:eastAsia="黑体" w:hAnsi="Times New Roman" w:cs="Times New Roman"/>
          <w:b/>
          <w:sz w:val="36"/>
          <w:szCs w:val="36"/>
        </w:rPr>
      </w:pPr>
      <w:r>
        <w:rPr>
          <w:rFonts w:ascii="Times New Roman" w:eastAsia="黑体" w:hAnsi="Times New Roman" w:cs="Times New Roman"/>
          <w:b/>
          <w:sz w:val="36"/>
          <w:szCs w:val="36"/>
        </w:rPr>
        <w:t>1.55 μm</w:t>
      </w:r>
      <w:r>
        <w:rPr>
          <w:rFonts w:ascii="Times New Roman" w:eastAsia="黑体" w:hAnsi="Times New Roman" w:cs="Times New Roman"/>
          <w:b/>
          <w:sz w:val="36"/>
          <w:szCs w:val="36"/>
        </w:rPr>
        <w:t>波段处高灵敏度光子晶体光纤设计</w:t>
      </w:r>
    </w:p>
    <w:p w14:paraId="3E2E9AFC" w14:textId="77777777" w:rsidR="004A29BC" w:rsidRDefault="006C600F">
      <w:pPr>
        <w:adjustRightInd w:val="0"/>
        <w:snapToGrid w:val="0"/>
        <w:spacing w:beforeLines="50" w:before="156"/>
        <w:jc w:val="center"/>
        <w:rPr>
          <w:rFonts w:ascii="黑体" w:eastAsia="黑体" w:hAnsi="黑体"/>
          <w:szCs w:val="21"/>
          <w:vertAlign w:val="superscript"/>
        </w:rPr>
      </w:pPr>
      <w:r>
        <w:rPr>
          <w:rFonts w:ascii="楷体" w:eastAsia="楷体" w:hAnsi="楷体" w:hint="eastAsia"/>
          <w:sz w:val="24"/>
          <w:szCs w:val="24"/>
        </w:rPr>
        <w:t>马依拉木·木斯得克</w:t>
      </w:r>
      <w:r>
        <w:rPr>
          <w:rFonts w:ascii="楷体" w:eastAsia="楷体" w:hAnsi="楷体" w:hint="eastAsia"/>
          <w:sz w:val="24"/>
          <w:szCs w:val="24"/>
          <w:vertAlign w:val="superscript"/>
        </w:rPr>
        <w:t>1</w:t>
      </w:r>
      <w:r>
        <w:rPr>
          <w:rFonts w:ascii="楷体" w:eastAsia="楷体" w:hAnsi="楷体" w:hint="eastAsia"/>
          <w:sz w:val="24"/>
          <w:szCs w:val="24"/>
        </w:rPr>
        <w:t xml:space="preserve"> ，阿布都克力木·阿布力孜</w:t>
      </w:r>
      <w:r>
        <w:rPr>
          <w:rFonts w:ascii="楷体" w:eastAsia="楷体" w:hAnsi="楷体" w:hint="eastAsia"/>
          <w:sz w:val="24"/>
          <w:szCs w:val="24"/>
          <w:vertAlign w:val="superscript"/>
        </w:rPr>
        <w:t>1</w:t>
      </w:r>
      <w:r>
        <w:rPr>
          <w:rFonts w:ascii="楷体" w:eastAsia="楷体" w:hAnsi="楷体" w:hint="eastAsia"/>
          <w:sz w:val="24"/>
          <w:szCs w:val="24"/>
        </w:rPr>
        <w:t>，任 艳</w:t>
      </w:r>
      <w:r>
        <w:rPr>
          <w:rFonts w:ascii="楷体" w:eastAsia="楷体" w:hAnsi="楷体" w:hint="eastAsia"/>
          <w:sz w:val="24"/>
          <w:szCs w:val="24"/>
          <w:vertAlign w:val="superscript"/>
        </w:rPr>
        <w:t>1</w:t>
      </w:r>
      <w:r>
        <w:rPr>
          <w:rFonts w:ascii="楷体" w:eastAsia="楷体" w:hAnsi="楷体" w:hint="eastAsia"/>
          <w:sz w:val="24"/>
          <w:szCs w:val="24"/>
        </w:rPr>
        <w:t>，姚建铨</w:t>
      </w:r>
      <w:r>
        <w:rPr>
          <w:rFonts w:ascii="黑体" w:eastAsia="黑体" w:hAnsi="黑体" w:hint="eastAsia"/>
          <w:szCs w:val="21"/>
          <w:vertAlign w:val="superscript"/>
        </w:rPr>
        <w:t>2</w:t>
      </w:r>
    </w:p>
    <w:p w14:paraId="1CFC7B62" w14:textId="77777777" w:rsidR="004A29BC" w:rsidRDefault="004A29BC">
      <w:pPr>
        <w:adjustRightInd w:val="0"/>
        <w:snapToGrid w:val="0"/>
        <w:rPr>
          <w:rFonts w:asciiTheme="minorEastAsia" w:hAnsiTheme="minorEastAsia"/>
          <w:szCs w:val="21"/>
        </w:rPr>
      </w:pPr>
    </w:p>
    <w:p w14:paraId="1D161D2B" w14:textId="77777777" w:rsidR="004A29BC" w:rsidRDefault="006C600F">
      <w:pPr>
        <w:adjustRightInd w:val="0"/>
        <w:snapToGrid w:val="0"/>
        <w:jc w:val="center"/>
        <w:rPr>
          <w:rFonts w:ascii="楷体" w:eastAsia="楷体" w:hAnsi="楷体"/>
          <w:sz w:val="18"/>
          <w:szCs w:val="18"/>
        </w:rPr>
      </w:pPr>
      <w:r>
        <w:rPr>
          <w:rFonts w:asciiTheme="minorEastAsia" w:hAnsiTheme="minorEastAsia"/>
          <w:szCs w:val="21"/>
        </w:rPr>
        <w:t>（</w:t>
      </w:r>
      <w:r>
        <w:rPr>
          <w:rFonts w:ascii="楷体" w:eastAsia="楷体" w:hAnsi="楷体"/>
          <w:sz w:val="15"/>
          <w:szCs w:val="15"/>
        </w:rPr>
        <w:t>1.</w:t>
      </w:r>
      <w:r>
        <w:rPr>
          <w:rFonts w:ascii="楷体" w:eastAsia="楷体" w:hAnsi="楷体" w:hint="eastAsia"/>
          <w:sz w:val="15"/>
          <w:szCs w:val="15"/>
        </w:rPr>
        <w:t>新疆财经大学 信息管理学院，乌鲁木齐 830012；</w:t>
      </w:r>
      <w:r>
        <w:rPr>
          <w:rFonts w:ascii="楷体" w:eastAsia="楷体" w:hAnsi="楷体"/>
          <w:sz w:val="15"/>
          <w:szCs w:val="15"/>
        </w:rPr>
        <w:t>2.</w:t>
      </w:r>
      <w:r>
        <w:rPr>
          <w:rFonts w:ascii="楷体" w:eastAsia="楷体" w:hAnsi="楷体" w:hint="eastAsia"/>
          <w:sz w:val="15"/>
          <w:szCs w:val="15"/>
        </w:rPr>
        <w:t>天津大学 精密仪器与光电子工程学院，天津 300072</w:t>
      </w:r>
      <w:r>
        <w:rPr>
          <w:rFonts w:asciiTheme="minorEastAsia" w:hAnsiTheme="minorEastAsia"/>
          <w:szCs w:val="21"/>
        </w:rPr>
        <w:t>）</w:t>
      </w:r>
    </w:p>
    <w:p w14:paraId="7469C7CB" w14:textId="77777777" w:rsidR="004A29BC" w:rsidRDefault="004A29BC">
      <w:pPr>
        <w:adjustRightInd w:val="0"/>
        <w:snapToGrid w:val="0"/>
        <w:jc w:val="center"/>
        <w:rPr>
          <w:szCs w:val="21"/>
        </w:rPr>
      </w:pPr>
    </w:p>
    <w:p w14:paraId="1922BA66" w14:textId="77777777" w:rsidR="004A29BC" w:rsidRDefault="006C600F">
      <w:pPr>
        <w:adjustRightInd w:val="0"/>
        <w:snapToGrid w:val="0"/>
        <w:rPr>
          <w:rFonts w:ascii="Times New Roman" w:hAnsi="Times New Roman" w:cs="Times New Roman"/>
        </w:rPr>
      </w:pPr>
      <w:r>
        <w:rPr>
          <w:rFonts w:ascii="黑体" w:eastAsia="黑体" w:hAnsi="黑体" w:cs="宋体"/>
          <w:b/>
          <w:bCs/>
          <w:kern w:val="0"/>
          <w:sz w:val="18"/>
          <w:szCs w:val="18"/>
        </w:rPr>
        <w:t>摘要</w:t>
      </w:r>
      <w:r>
        <w:rPr>
          <w:rFonts w:ascii="黑体" w:eastAsia="黑体" w:hAnsi="黑体" w:cs="宋体"/>
          <w:b/>
          <w:bCs/>
          <w:kern w:val="0"/>
          <w:szCs w:val="21"/>
        </w:rPr>
        <w:t>：</w:t>
      </w:r>
      <w:r>
        <w:rPr>
          <w:rFonts w:ascii="Times New Roman" w:eastAsia="楷体" w:hAnsi="Times New Roman" w:cs="Times New Roman"/>
          <w:sz w:val="18"/>
          <w:szCs w:val="18"/>
        </w:rPr>
        <w:t>为了进一步提高光子晶体光纤</w:t>
      </w:r>
      <w:r>
        <w:rPr>
          <w:rFonts w:ascii="Times New Roman" w:eastAsia="楷体" w:hAnsi="Times New Roman" w:cs="Times New Roman" w:hint="eastAsia"/>
          <w:sz w:val="18"/>
          <w:szCs w:val="18"/>
        </w:rPr>
        <w:t>的</w:t>
      </w:r>
      <w:r>
        <w:rPr>
          <w:rFonts w:ascii="Times New Roman" w:eastAsia="楷体" w:hAnsi="Times New Roman" w:cs="Times New Roman"/>
          <w:sz w:val="18"/>
          <w:szCs w:val="18"/>
        </w:rPr>
        <w:t>灵敏度，设计了</w:t>
      </w:r>
      <w:r>
        <w:rPr>
          <w:rFonts w:hint="eastAsia"/>
          <w:szCs w:val="21"/>
        </w:rPr>
        <w:t>提出一种由圆形与矩形空气孔复合构成的新型光</w:t>
      </w:r>
      <w:r>
        <w:rPr>
          <w:szCs w:val="21"/>
        </w:rPr>
        <w:t>子晶体光纤（</w:t>
      </w:r>
      <w:r>
        <w:rPr>
          <w:rFonts w:hint="eastAsia"/>
          <w:szCs w:val="21"/>
        </w:rPr>
        <w:t>PCF</w:t>
      </w:r>
      <w:r>
        <w:rPr>
          <w:rFonts w:hint="eastAsia"/>
          <w:szCs w:val="21"/>
        </w:rPr>
        <w:t>）</w:t>
      </w:r>
      <w:r>
        <w:rPr>
          <w:rFonts w:ascii="Times New Roman" w:eastAsia="楷体" w:hAnsi="Times New Roman" w:cs="Times New Roman"/>
          <w:sz w:val="18"/>
          <w:szCs w:val="18"/>
        </w:rPr>
        <w:t>。</w:t>
      </w:r>
      <w:r>
        <w:rPr>
          <w:rFonts w:ascii="Segoe UI" w:hAnsi="Segoe UI" w:cs="Segoe UI"/>
          <w:color w:val="404040"/>
        </w:rPr>
        <w:t>该</w:t>
      </w:r>
      <w:r>
        <w:rPr>
          <w:rFonts w:ascii="Segoe UI" w:hAnsi="Segoe UI" w:cs="Segoe UI" w:hint="eastAsia"/>
          <w:color w:val="404040"/>
        </w:rPr>
        <w:t>结构由</w:t>
      </w:r>
      <w:r>
        <w:rPr>
          <w:rFonts w:ascii="Segoe UI" w:hAnsi="Segoe UI" w:cs="Segoe UI" w:hint="eastAsia"/>
          <w:color w:val="404040"/>
        </w:rPr>
        <w:t>4</w:t>
      </w:r>
      <w:r>
        <w:rPr>
          <w:rFonts w:ascii="Segoe UI" w:hAnsi="Segoe UI" w:cs="Segoe UI"/>
          <w:color w:val="404040"/>
        </w:rPr>
        <w:t>层圆形空气孔包层和纤芯区</w:t>
      </w:r>
      <w:r>
        <w:rPr>
          <w:rFonts w:ascii="Segoe UI" w:hAnsi="Segoe UI" w:cs="Segoe UI"/>
          <w:color w:val="404040"/>
        </w:rPr>
        <w:t>5</w:t>
      </w:r>
      <w:r>
        <w:rPr>
          <w:rFonts w:ascii="Segoe UI" w:hAnsi="Segoe UI" w:cs="Segoe UI"/>
          <w:color w:val="404040"/>
        </w:rPr>
        <w:t>个矩形空气孔</w:t>
      </w:r>
      <w:r>
        <w:rPr>
          <w:rFonts w:ascii="Segoe UI" w:hAnsi="Segoe UI" w:cs="Segoe UI" w:hint="eastAsia"/>
          <w:color w:val="404040"/>
        </w:rPr>
        <w:t>组成</w:t>
      </w:r>
      <w:r>
        <w:rPr>
          <w:rFonts w:ascii="Times New Roman" w:hAnsi="Times New Roman" w:cs="Times New Roman" w:hint="eastAsia"/>
          <w:bCs/>
          <w:szCs w:val="21"/>
        </w:rPr>
        <w:t>。</w:t>
      </w:r>
      <w:r>
        <w:rPr>
          <w:rFonts w:ascii="Segoe UI" w:hAnsi="Segoe UI" w:cs="Segoe UI"/>
          <w:color w:val="404040"/>
        </w:rPr>
        <w:t>基于全矢量有限元法并设置完美匹配层边界条件，系统模拟分析了水</w:t>
      </w:r>
      <w:r>
        <w:rPr>
          <w:rFonts w:ascii="Segoe UI" w:hAnsi="Segoe UI" w:cs="Segoe UI" w:hint="eastAsia"/>
          <w:color w:val="404040"/>
        </w:rPr>
        <w:t>、</w:t>
      </w:r>
      <w:r>
        <w:rPr>
          <w:rFonts w:ascii="Segoe UI" w:hAnsi="Segoe UI" w:cs="Segoe UI"/>
          <w:color w:val="404040"/>
        </w:rPr>
        <w:t>乙醇、苯</w:t>
      </w:r>
      <w:r>
        <w:rPr>
          <w:rFonts w:ascii="Segoe UI" w:hAnsi="Segoe UI" w:cs="Segoe UI" w:hint="eastAsia"/>
          <w:color w:val="404040"/>
        </w:rPr>
        <w:t>3</w:t>
      </w:r>
      <w:r>
        <w:rPr>
          <w:rFonts w:ascii="Segoe UI" w:hAnsi="Segoe UI" w:cs="Segoe UI"/>
          <w:color w:val="404040"/>
        </w:rPr>
        <w:t>种分析物填充时的光学特性。</w:t>
      </w:r>
      <w:r>
        <w:rPr>
          <w:rFonts w:ascii="Times New Roman" w:eastAsia="楷体" w:hAnsi="Times New Roman" w:cs="Times New Roman"/>
          <w:sz w:val="18"/>
          <w:szCs w:val="18"/>
        </w:rPr>
        <w:t>研究结果表明，</w:t>
      </w:r>
      <w:r>
        <w:rPr>
          <w:rFonts w:ascii="Segoe UI" w:hAnsi="Segoe UI" w:cs="Segoe UI"/>
          <w:color w:val="404040"/>
        </w:rPr>
        <w:t>在</w:t>
      </w:r>
      <w:r>
        <w:rPr>
          <w:rFonts w:ascii="Segoe UI" w:hAnsi="Segoe UI" w:cs="Segoe UI"/>
          <w:color w:val="404040"/>
        </w:rPr>
        <w:t>1.55 μm</w:t>
      </w:r>
      <w:r>
        <w:rPr>
          <w:rFonts w:ascii="Segoe UI" w:hAnsi="Segoe UI" w:cs="Segoe UI"/>
          <w:color w:val="404040"/>
        </w:rPr>
        <w:t>波长下，该结构对</w:t>
      </w:r>
      <w:r>
        <w:rPr>
          <w:rFonts w:ascii="Segoe UI" w:hAnsi="Segoe UI" w:cs="Segoe UI" w:hint="eastAsia"/>
          <w:color w:val="404040"/>
        </w:rPr>
        <w:t>3</w:t>
      </w:r>
      <w:r>
        <w:rPr>
          <w:rFonts w:ascii="Segoe UI" w:hAnsi="Segoe UI" w:cs="Segoe UI"/>
          <w:color w:val="404040"/>
        </w:rPr>
        <w:t>种分析物的灵敏度分别达到</w:t>
      </w:r>
      <w:r>
        <w:rPr>
          <w:rFonts w:ascii="Segoe UI" w:hAnsi="Segoe UI" w:cs="Segoe UI"/>
          <w:color w:val="404040"/>
        </w:rPr>
        <w:t>71.8%</w:t>
      </w:r>
      <w:r>
        <w:rPr>
          <w:rFonts w:ascii="Segoe UI" w:hAnsi="Segoe UI" w:cs="Segoe UI"/>
          <w:color w:val="404040"/>
        </w:rPr>
        <w:t>、</w:t>
      </w:r>
      <w:r>
        <w:rPr>
          <w:rFonts w:ascii="Segoe UI" w:hAnsi="Segoe UI" w:cs="Segoe UI"/>
          <w:color w:val="404040"/>
        </w:rPr>
        <w:t>74.5%</w:t>
      </w:r>
      <w:r>
        <w:rPr>
          <w:rFonts w:ascii="Segoe UI" w:hAnsi="Segoe UI" w:cs="Segoe UI"/>
          <w:color w:val="404040"/>
        </w:rPr>
        <w:t>和</w:t>
      </w:r>
      <w:r>
        <w:rPr>
          <w:rFonts w:ascii="Segoe UI" w:hAnsi="Segoe UI" w:cs="Segoe UI"/>
          <w:color w:val="404040"/>
        </w:rPr>
        <w:t>75.6%</w:t>
      </w:r>
      <w:r>
        <w:rPr>
          <w:rFonts w:ascii="Segoe UI" w:hAnsi="Segoe UI" w:cs="Segoe UI"/>
          <w:color w:val="404040"/>
        </w:rPr>
        <w:t>，较现有</w:t>
      </w:r>
      <w:r>
        <w:rPr>
          <w:rFonts w:ascii="Segoe UI" w:hAnsi="Segoe UI" w:cs="Segoe UI"/>
          <w:color w:val="404040"/>
        </w:rPr>
        <w:t>PCF</w:t>
      </w:r>
      <w:r>
        <w:rPr>
          <w:rFonts w:ascii="Segoe UI" w:hAnsi="Segoe UI" w:cs="Segoe UI"/>
          <w:color w:val="404040"/>
        </w:rPr>
        <w:t>提升</w:t>
      </w:r>
      <w:r>
        <w:rPr>
          <w:rFonts w:ascii="Segoe UI" w:hAnsi="Segoe UI" w:cs="Segoe UI"/>
          <w:color w:val="404040"/>
        </w:rPr>
        <w:t>1.2</w:t>
      </w:r>
      <w:r>
        <w:rPr>
          <w:rFonts w:ascii="Segoe UI" w:hAnsi="Segoe UI" w:cs="Segoe UI" w:hint="eastAsia"/>
          <w:color w:val="404040"/>
        </w:rPr>
        <w:t>6</w:t>
      </w:r>
      <w:r>
        <w:rPr>
          <w:rFonts w:ascii="Segoe UI" w:hAnsi="Segoe UI" w:cs="Segoe UI"/>
          <w:color w:val="404040"/>
        </w:rPr>
        <w:t>~7.97</w:t>
      </w:r>
      <w:r>
        <w:rPr>
          <w:rFonts w:ascii="Segoe UI" w:hAnsi="Segoe UI" w:cs="Segoe UI"/>
          <w:color w:val="404040"/>
        </w:rPr>
        <w:t>倍</w:t>
      </w:r>
      <w:r>
        <w:rPr>
          <w:rFonts w:ascii="Segoe UI" w:hAnsi="Segoe UI" w:cs="Segoe UI" w:hint="eastAsia"/>
          <w:color w:val="404040"/>
        </w:rPr>
        <w:t>、</w:t>
      </w:r>
      <w:r>
        <w:rPr>
          <w:rFonts w:ascii="Segoe UI" w:hAnsi="Segoe UI" w:cs="Segoe UI"/>
          <w:color w:val="FF0000"/>
        </w:rPr>
        <w:t>1.2</w:t>
      </w:r>
      <w:r>
        <w:rPr>
          <w:rFonts w:ascii="Segoe UI" w:hAnsi="Segoe UI" w:cs="Segoe UI" w:hint="eastAsia"/>
          <w:color w:val="FF0000"/>
        </w:rPr>
        <w:t>4</w:t>
      </w:r>
      <w:r>
        <w:rPr>
          <w:rFonts w:ascii="Segoe UI" w:hAnsi="Segoe UI" w:cs="Segoe UI"/>
          <w:color w:val="FF0000"/>
        </w:rPr>
        <w:t>~</w:t>
      </w:r>
      <w:r>
        <w:rPr>
          <w:rFonts w:ascii="Segoe UI" w:hAnsi="Segoe UI" w:cs="Segoe UI" w:hint="eastAsia"/>
          <w:color w:val="FF0000"/>
        </w:rPr>
        <w:t>6.2</w:t>
      </w:r>
      <w:r>
        <w:rPr>
          <w:rFonts w:ascii="Segoe UI" w:hAnsi="Segoe UI" w:cs="Segoe UI"/>
          <w:color w:val="FF0000"/>
        </w:rPr>
        <w:t>倍</w:t>
      </w:r>
      <w:r>
        <w:rPr>
          <w:rFonts w:ascii="Segoe UI" w:hAnsi="Segoe UI" w:cs="Segoe UI" w:hint="eastAsia"/>
          <w:color w:val="FF0000"/>
        </w:rPr>
        <w:t>和</w:t>
      </w:r>
      <w:r>
        <w:rPr>
          <w:rFonts w:ascii="Segoe UI" w:hAnsi="Segoe UI" w:cs="Segoe UI"/>
          <w:color w:val="FF0000"/>
        </w:rPr>
        <w:t>1.2~</w:t>
      </w:r>
      <w:r>
        <w:rPr>
          <w:rFonts w:ascii="Segoe UI" w:hAnsi="Segoe UI" w:cs="Segoe UI" w:hint="eastAsia"/>
          <w:color w:val="FF0000"/>
        </w:rPr>
        <w:t>5.6</w:t>
      </w:r>
      <w:r>
        <w:rPr>
          <w:rFonts w:ascii="Segoe UI" w:hAnsi="Segoe UI" w:cs="Segoe UI"/>
          <w:color w:val="FF0000"/>
        </w:rPr>
        <w:t>倍</w:t>
      </w:r>
      <w:r>
        <w:rPr>
          <w:rFonts w:ascii="Segoe UI" w:hAnsi="Segoe UI" w:cs="Segoe UI"/>
          <w:color w:val="404040"/>
        </w:rPr>
        <w:t>；同时实现了</w:t>
      </w:r>
      <w:r>
        <w:rPr>
          <w:rFonts w:ascii="Segoe UI" w:hAnsi="Segoe UI" w:cs="Segoe UI"/>
          <w:color w:val="404040"/>
        </w:rPr>
        <w:t>10</w:t>
      </w:r>
      <w:r>
        <w:rPr>
          <w:rFonts w:ascii="Segoe UI" w:hAnsi="Segoe UI" w:cs="Segoe UI"/>
          <w:color w:val="404040"/>
          <w:vertAlign w:val="superscript"/>
        </w:rPr>
        <w:t>-3</w:t>
      </w:r>
      <w:r>
        <w:rPr>
          <w:rFonts w:ascii="Segoe UI" w:hAnsi="Segoe UI" w:cs="Segoe UI"/>
          <w:color w:val="404040"/>
        </w:rPr>
        <w:t>量级的高双折射和低于</w:t>
      </w:r>
      <w:r>
        <w:rPr>
          <w:rFonts w:ascii="Segoe UI" w:hAnsi="Segoe UI" w:cs="Segoe UI"/>
          <w:color w:val="404040"/>
        </w:rPr>
        <w:t>10</w:t>
      </w:r>
      <w:r>
        <w:rPr>
          <w:rFonts w:ascii="Segoe UI" w:hAnsi="Segoe UI" w:cs="Segoe UI"/>
          <w:color w:val="404040"/>
          <w:vertAlign w:val="superscript"/>
        </w:rPr>
        <w:t>-5</w:t>
      </w:r>
      <w:r>
        <w:rPr>
          <w:rFonts w:ascii="Segoe UI" w:hAnsi="Segoe UI" w:cs="Segoe UI"/>
          <w:color w:val="404040"/>
        </w:rPr>
        <w:t xml:space="preserve"> dB/cm</w:t>
      </w:r>
      <w:r>
        <w:rPr>
          <w:rFonts w:ascii="Segoe UI" w:hAnsi="Segoe UI" w:cs="Segoe UI"/>
          <w:color w:val="404040"/>
        </w:rPr>
        <w:t>的低损耗特性</w:t>
      </w:r>
      <w:r>
        <w:rPr>
          <w:rFonts w:ascii="Segoe UI" w:hAnsi="Segoe UI" w:cs="Segoe UI" w:hint="eastAsia"/>
          <w:color w:val="404040"/>
        </w:rPr>
        <w:t>。</w:t>
      </w:r>
    </w:p>
    <w:p w14:paraId="64559413" w14:textId="77777777" w:rsidR="004A29BC" w:rsidRDefault="006C600F">
      <w:pPr>
        <w:adjustRightInd w:val="0"/>
        <w:snapToGrid w:val="0"/>
        <w:jc w:val="left"/>
        <w:rPr>
          <w:rFonts w:ascii="楷体" w:eastAsia="楷体" w:hAnsi="楷体"/>
          <w:sz w:val="18"/>
          <w:szCs w:val="18"/>
        </w:rPr>
      </w:pPr>
      <w:r>
        <w:rPr>
          <w:rFonts w:ascii="黑体" w:eastAsia="黑体" w:hAnsi="黑体" w:cs="宋体"/>
          <w:b/>
          <w:bCs/>
          <w:kern w:val="0"/>
          <w:sz w:val="18"/>
          <w:szCs w:val="18"/>
        </w:rPr>
        <w:t>关键词</w:t>
      </w:r>
      <w:r>
        <w:rPr>
          <w:rFonts w:ascii="黑体" w:eastAsia="黑体" w:hAnsi="黑体" w:cs="宋体"/>
          <w:b/>
          <w:bCs/>
          <w:kern w:val="0"/>
          <w:szCs w:val="21"/>
        </w:rPr>
        <w:t>：</w:t>
      </w:r>
      <w:r>
        <w:rPr>
          <w:rFonts w:ascii="楷体" w:eastAsia="楷体" w:hAnsi="楷体" w:cs="Times New Roman"/>
          <w:sz w:val="18"/>
          <w:szCs w:val="18"/>
        </w:rPr>
        <w:t>光子晶体光纤</w:t>
      </w:r>
      <w:r>
        <w:rPr>
          <w:rFonts w:ascii="楷体" w:eastAsia="楷体" w:hAnsi="楷体"/>
          <w:sz w:val="18"/>
          <w:szCs w:val="18"/>
        </w:rPr>
        <w:t>；</w:t>
      </w:r>
      <w:r>
        <w:rPr>
          <w:rFonts w:ascii="楷体" w:eastAsia="楷体" w:hAnsi="楷体" w:cs="Times New Roman"/>
          <w:sz w:val="18"/>
          <w:szCs w:val="18"/>
        </w:rPr>
        <w:t>有限元法</w:t>
      </w:r>
      <w:r>
        <w:rPr>
          <w:rFonts w:ascii="楷体" w:eastAsia="楷体" w:hAnsi="楷体"/>
          <w:sz w:val="18"/>
          <w:szCs w:val="18"/>
        </w:rPr>
        <w:t>；灵敏度；双折射；限制损耗</w:t>
      </w:r>
    </w:p>
    <w:p w14:paraId="421E7F82" w14:textId="77777777" w:rsidR="004A29BC" w:rsidRDefault="006C600F">
      <w:pPr>
        <w:widowControl/>
        <w:adjustRightInd w:val="0"/>
        <w:snapToGrid w:val="0"/>
        <w:jc w:val="left"/>
        <w:rPr>
          <w:rFonts w:ascii="宋体" w:eastAsia="宋体" w:hAnsi="宋体" w:cs="宋体"/>
          <w:kern w:val="0"/>
          <w:szCs w:val="21"/>
        </w:rPr>
      </w:pPr>
      <w:r>
        <w:rPr>
          <w:rFonts w:ascii="黑体" w:eastAsia="黑体" w:hAnsi="黑体" w:cs="宋体"/>
          <w:b/>
          <w:bCs/>
          <w:kern w:val="0"/>
          <w:sz w:val="18"/>
          <w:szCs w:val="18"/>
        </w:rPr>
        <w:t>中图分类号</w:t>
      </w:r>
      <w:r>
        <w:rPr>
          <w:rFonts w:ascii="黑体" w:eastAsia="黑体" w:hAnsi="黑体" w:cs="宋体" w:hint="eastAsia"/>
          <w:b/>
          <w:bCs/>
          <w:kern w:val="0"/>
          <w:szCs w:val="21"/>
        </w:rPr>
        <w:t>:</w:t>
      </w:r>
      <w:r>
        <w:rPr>
          <w:rFonts w:ascii="宋体" w:eastAsia="宋体" w:hAnsi="宋体" w:cs="宋体"/>
          <w:kern w:val="0"/>
          <w:szCs w:val="21"/>
        </w:rPr>
        <w:t>TN253</w:t>
      </w:r>
      <w:r>
        <w:rPr>
          <w:rFonts w:ascii="宋体" w:eastAsia="宋体" w:hAnsi="宋体" w:cs="宋体"/>
          <w:b/>
          <w:bCs/>
          <w:color w:val="FF0000"/>
          <w:kern w:val="0"/>
          <w:szCs w:val="21"/>
        </w:rPr>
        <w:t xml:space="preserve"> </w:t>
      </w:r>
      <w:r>
        <w:rPr>
          <w:rFonts w:ascii="宋体" w:eastAsia="宋体" w:hAnsi="宋体" w:cs="宋体"/>
          <w:b/>
          <w:bCs/>
          <w:kern w:val="0"/>
          <w:szCs w:val="21"/>
        </w:rPr>
        <w:t xml:space="preserve">   </w:t>
      </w:r>
      <w:r>
        <w:rPr>
          <w:rFonts w:ascii="黑体" w:eastAsia="黑体" w:hAnsi="黑体" w:cs="宋体"/>
          <w:b/>
          <w:bCs/>
          <w:kern w:val="0"/>
          <w:sz w:val="18"/>
          <w:szCs w:val="18"/>
        </w:rPr>
        <w:t>文献标</w:t>
      </w:r>
      <w:r>
        <w:rPr>
          <w:rFonts w:ascii="黑体" w:eastAsia="黑体" w:hAnsi="黑体" w:cs="宋体" w:hint="eastAsia"/>
          <w:b/>
          <w:bCs/>
          <w:kern w:val="0"/>
          <w:sz w:val="18"/>
          <w:szCs w:val="18"/>
        </w:rPr>
        <w:t>志</w:t>
      </w:r>
      <w:r>
        <w:rPr>
          <w:rFonts w:ascii="黑体" w:eastAsia="黑体" w:hAnsi="黑体" w:cs="宋体"/>
          <w:b/>
          <w:bCs/>
          <w:kern w:val="0"/>
          <w:sz w:val="18"/>
          <w:szCs w:val="18"/>
        </w:rPr>
        <w:t>码</w:t>
      </w:r>
      <w:r>
        <w:rPr>
          <w:rFonts w:ascii="黑体" w:eastAsia="黑体" w:hAnsi="黑体" w:cs="宋体" w:hint="eastAsia"/>
          <w:b/>
          <w:bCs/>
          <w:kern w:val="0"/>
          <w:sz w:val="18"/>
          <w:szCs w:val="18"/>
        </w:rPr>
        <w:t>:</w:t>
      </w:r>
      <w:r>
        <w:rPr>
          <w:rFonts w:ascii="黑体" w:eastAsia="黑体" w:hAnsi="黑体" w:cs="宋体" w:hint="eastAsia"/>
          <w:b/>
          <w:bCs/>
          <w:kern w:val="0"/>
          <w:szCs w:val="21"/>
        </w:rPr>
        <w:t xml:space="preserve"> </w:t>
      </w:r>
      <w:r>
        <w:rPr>
          <w:rFonts w:ascii="宋体" w:eastAsia="宋体" w:hAnsi="宋体" w:cs="宋体"/>
          <w:bCs/>
          <w:kern w:val="0"/>
          <w:szCs w:val="21"/>
        </w:rPr>
        <w:t xml:space="preserve">A     </w:t>
      </w:r>
      <w:r>
        <w:rPr>
          <w:b/>
          <w:bCs/>
          <w:sz w:val="18"/>
          <w:szCs w:val="18"/>
        </w:rPr>
        <w:t>开放科学（资源服务）标识码（</w:t>
      </w:r>
      <w:r>
        <w:rPr>
          <w:b/>
          <w:bCs/>
          <w:sz w:val="18"/>
          <w:szCs w:val="18"/>
        </w:rPr>
        <w:t>OSID</w:t>
      </w:r>
      <w:r>
        <w:rPr>
          <w:b/>
          <w:bCs/>
          <w:sz w:val="18"/>
          <w:szCs w:val="18"/>
        </w:rPr>
        <w:t>）：</w:t>
      </w:r>
    </w:p>
    <w:p w14:paraId="270E7991" w14:textId="77777777" w:rsidR="004A29BC" w:rsidRDefault="004A29BC">
      <w:pPr>
        <w:tabs>
          <w:tab w:val="left" w:pos="1378"/>
        </w:tabs>
        <w:adjustRightInd w:val="0"/>
        <w:snapToGrid w:val="0"/>
        <w:jc w:val="left"/>
      </w:pPr>
    </w:p>
    <w:p w14:paraId="715A7342" w14:textId="77777777" w:rsidR="004A29BC" w:rsidRDefault="006C600F">
      <w:pPr>
        <w:widowControl/>
        <w:adjustRightInd w:val="0"/>
        <w:snapToGrid w:val="0"/>
        <w:spacing w:beforeLines="50" w:before="156" w:afterLines="50" w:after="156"/>
        <w:ind w:right="34"/>
        <w:jc w:val="center"/>
        <w:rPr>
          <w:rFonts w:ascii="Times New Roman" w:hAnsi="Times New Roman" w:cs="Times New Roman"/>
          <w:b/>
          <w:sz w:val="32"/>
          <w:szCs w:val="32"/>
        </w:rPr>
      </w:pPr>
      <w:r>
        <w:rPr>
          <w:rFonts w:ascii="Times New Roman" w:hAnsi="Times New Roman" w:cs="Times New Roman"/>
          <w:b/>
          <w:sz w:val="32"/>
          <w:szCs w:val="32"/>
        </w:rPr>
        <w:t>Design of High Sensitivity Photonic Crystal Fiber at 1.55 μm Wavelength</w:t>
      </w:r>
    </w:p>
    <w:p w14:paraId="3604A509" w14:textId="77777777" w:rsidR="004A29BC" w:rsidRDefault="006C600F">
      <w:pPr>
        <w:widowControl/>
        <w:adjustRightInd w:val="0"/>
        <w:snapToGrid w:val="0"/>
        <w:spacing w:beforeLines="50" w:before="156" w:afterLines="50" w:after="156"/>
        <w:ind w:left="403" w:right="403"/>
        <w:jc w:val="center"/>
        <w:rPr>
          <w:rFonts w:ascii="Times New Roman" w:hAnsi="Times New Roman" w:cs="Times New Roman"/>
          <w:kern w:val="0"/>
          <w:szCs w:val="21"/>
          <w:vertAlign w:val="superscript"/>
        </w:rPr>
      </w:pPr>
      <w:r>
        <w:rPr>
          <w:rFonts w:ascii="Times New Roman" w:hAnsi="Times New Roman" w:cs="Times New Roman"/>
          <w:kern w:val="0"/>
          <w:szCs w:val="21"/>
        </w:rPr>
        <w:t>MAYILAMU·Musideke</w:t>
      </w:r>
      <w:r>
        <w:rPr>
          <w:rFonts w:ascii="Times New Roman" w:hAnsi="Times New Roman" w:cs="Times New Roman"/>
          <w:kern w:val="0"/>
          <w:szCs w:val="21"/>
          <w:vertAlign w:val="superscript"/>
        </w:rPr>
        <w:t>1*</w:t>
      </w:r>
      <w:r>
        <w:rPr>
          <w:rFonts w:ascii="Times New Roman" w:hAnsi="Times New Roman" w:cs="Times New Roman"/>
          <w:kern w:val="0"/>
          <w:szCs w:val="21"/>
        </w:rPr>
        <w:t>,</w:t>
      </w:r>
      <w:r>
        <w:rPr>
          <w:rFonts w:ascii="Times New Roman" w:hAnsi="Times New Roman" w:cs="Times New Roman"/>
          <w:kern w:val="0"/>
          <w:szCs w:val="21"/>
          <w:vertAlign w:val="superscript"/>
        </w:rPr>
        <w:t xml:space="preserve"> </w:t>
      </w:r>
      <w:r>
        <w:rPr>
          <w:rFonts w:ascii="Times New Roman" w:hAnsi="Times New Roman" w:cs="Times New Roman" w:hint="eastAsia"/>
          <w:szCs w:val="21"/>
        </w:rPr>
        <w:t>A</w:t>
      </w:r>
      <w:r>
        <w:rPr>
          <w:rFonts w:ascii="Times New Roman" w:hAnsi="Times New Roman" w:cs="Times New Roman"/>
          <w:szCs w:val="21"/>
        </w:rPr>
        <w:t>BUDUKELIMU· Abulizi</w:t>
      </w:r>
      <w:r>
        <w:rPr>
          <w:rFonts w:ascii="Times New Roman" w:hAnsi="Times New Roman" w:cs="Times New Roman"/>
          <w:kern w:val="0"/>
          <w:szCs w:val="21"/>
          <w:vertAlign w:val="superscript"/>
        </w:rPr>
        <w:t>1</w:t>
      </w:r>
      <w:r>
        <w:rPr>
          <w:rFonts w:ascii="Times New Roman" w:hAnsi="Times New Roman" w:cs="Times New Roman"/>
          <w:kern w:val="0"/>
          <w:szCs w:val="21"/>
        </w:rPr>
        <w:t>, REN Yan</w:t>
      </w:r>
      <w:r>
        <w:rPr>
          <w:rFonts w:ascii="Times New Roman" w:hAnsi="Times New Roman" w:cs="Times New Roman"/>
          <w:kern w:val="0"/>
          <w:szCs w:val="21"/>
          <w:vertAlign w:val="superscript"/>
        </w:rPr>
        <w:t>1</w:t>
      </w:r>
      <w:r>
        <w:rPr>
          <w:rFonts w:ascii="Times New Roman" w:hAnsi="Times New Roman" w:cs="Times New Roman"/>
          <w:kern w:val="0"/>
          <w:szCs w:val="21"/>
        </w:rPr>
        <w:t>, YAO Jianquan</w:t>
      </w:r>
      <w:r>
        <w:rPr>
          <w:rFonts w:ascii="Times New Roman" w:hAnsi="Times New Roman" w:cs="Times New Roman"/>
          <w:kern w:val="0"/>
          <w:szCs w:val="21"/>
          <w:vertAlign w:val="superscript"/>
        </w:rPr>
        <w:t>2</w:t>
      </w:r>
    </w:p>
    <w:p w14:paraId="6B3C200F" w14:textId="77777777" w:rsidR="004A29BC" w:rsidRDefault="006C600F">
      <w:pPr>
        <w:adjustRightInd w:val="0"/>
        <w:snapToGrid w:val="0"/>
        <w:spacing w:afterLines="50" w:after="156"/>
        <w:ind w:right="403"/>
        <w:rPr>
          <w:rFonts w:ascii="Times New Roman" w:hAnsi="Times New Roman" w:cs="Times New Roman"/>
          <w:b/>
          <w:sz w:val="15"/>
          <w:szCs w:val="15"/>
        </w:rPr>
      </w:pPr>
      <w:r>
        <w:rPr>
          <w:rFonts w:ascii="Times New Roman" w:hAnsi="Times New Roman" w:cs="Times New Roman" w:hint="eastAsia"/>
          <w:b/>
          <w:sz w:val="15"/>
          <w:szCs w:val="15"/>
        </w:rPr>
        <w:t>（</w:t>
      </w:r>
      <w:r>
        <w:rPr>
          <w:rFonts w:ascii="Times New Roman" w:hAnsi="Times New Roman" w:cs="Times New Roman" w:hint="eastAsia"/>
          <w:b/>
          <w:sz w:val="15"/>
          <w:szCs w:val="15"/>
        </w:rPr>
        <w:t>1. School of Information Management, Xinjiang University of Finance and Economics, Urumqi 830012, China; 2. School of Precision Instrument and Optoelectronics Engineering, Tianjin University, Tianjin 300072, China</w:t>
      </w:r>
      <w:r>
        <w:rPr>
          <w:rFonts w:ascii="Times New Roman" w:hAnsi="Times New Roman" w:cs="Times New Roman" w:hint="eastAsia"/>
          <w:b/>
          <w:sz w:val="15"/>
          <w:szCs w:val="15"/>
        </w:rPr>
        <w:t>）</w:t>
      </w:r>
    </w:p>
    <w:p w14:paraId="52743A9D" w14:textId="320A8582" w:rsidR="004A29BC" w:rsidRDefault="006C600F">
      <w:pPr>
        <w:adjustRightInd w:val="0"/>
        <w:snapToGrid w:val="0"/>
        <w:spacing w:afterLines="50" w:after="156"/>
        <w:ind w:right="403"/>
        <w:rPr>
          <w:rFonts w:ascii="Times New Roman" w:hAnsi="Times New Roman" w:cs="Times New Roman"/>
          <w:sz w:val="18"/>
          <w:szCs w:val="18"/>
        </w:rPr>
      </w:pPr>
      <w:r>
        <w:rPr>
          <w:rFonts w:ascii="Times New Roman" w:hAnsi="Times New Roman" w:cs="Times New Roman"/>
          <w:b/>
          <w:sz w:val="18"/>
          <w:szCs w:val="18"/>
        </w:rPr>
        <w:t>Abstract:</w:t>
      </w:r>
      <w:r>
        <w:rPr>
          <w:rFonts w:ascii="Times New Roman" w:hAnsi="Times New Roman" w:cs="Times New Roman"/>
          <w:sz w:val="18"/>
          <w:szCs w:val="18"/>
        </w:rPr>
        <w:t xml:space="preserve">To further enhance the sensitivity of photonic crystal fibers (PCFs), a novel PCF structure composed of a hybrid arrangement of circular and rectangular air holes was designed and proposed. The structure features a four-layer circular air-hole cladding and a core region embedded with five rectangular air holes. Based on the full-vector finite element method with perfectly matched layer (PML) boundary conditions, the optical characteristics were systematically simulated and analyzed when the fiber was infiltrated with three analytes: water, ethanol, and benzene. The results demonstrate that at a wavelength of 1.55 μm, the proposed structure achieves sensitivities of 71.8%, 74.5%, and 75.6% for the three analytes, respectively, representing a </w:t>
      </w:r>
      <w:r w:rsidRPr="00FA71B8">
        <w:rPr>
          <w:rFonts w:ascii="Times New Roman" w:hAnsi="Times New Roman" w:cs="Times New Roman"/>
          <w:sz w:val="18"/>
          <w:szCs w:val="18"/>
        </w:rPr>
        <w:t>1.2</w:t>
      </w:r>
      <w:r w:rsidRPr="00FA71B8">
        <w:rPr>
          <w:rFonts w:ascii="Times New Roman" w:hAnsi="Times New Roman" w:cs="Times New Roman" w:hint="eastAsia"/>
          <w:sz w:val="18"/>
          <w:szCs w:val="18"/>
        </w:rPr>
        <w:t>6</w:t>
      </w:r>
      <w:r w:rsidR="00FA71B8" w:rsidRPr="00FA71B8">
        <w:rPr>
          <w:rFonts w:ascii="Times New Roman" w:hAnsi="Times New Roman" w:cs="Times New Roman"/>
          <w:sz w:val="18"/>
          <w:szCs w:val="18"/>
        </w:rPr>
        <w:t>~</w:t>
      </w:r>
      <w:r w:rsidRPr="00FA71B8">
        <w:rPr>
          <w:rFonts w:ascii="Times New Roman" w:hAnsi="Times New Roman" w:cs="Times New Roman"/>
          <w:sz w:val="18"/>
          <w:szCs w:val="18"/>
        </w:rPr>
        <w:t>7.97</w:t>
      </w:r>
      <w:r w:rsidRPr="00FA71B8">
        <w:rPr>
          <w:rFonts w:ascii="Times New Roman" w:hAnsi="Times New Roman" w:cs="Times New Roman" w:hint="eastAsia"/>
          <w:sz w:val="18"/>
          <w:szCs w:val="18"/>
        </w:rPr>
        <w:t>times,1.24</w:t>
      </w:r>
      <w:r w:rsidR="00FA71B8" w:rsidRPr="00FA71B8">
        <w:rPr>
          <w:rFonts w:ascii="Times New Roman" w:hAnsi="Times New Roman" w:cs="Times New Roman"/>
          <w:sz w:val="18"/>
          <w:szCs w:val="18"/>
        </w:rPr>
        <w:t>~</w:t>
      </w:r>
      <w:r w:rsidRPr="00FA71B8">
        <w:rPr>
          <w:rFonts w:ascii="Times New Roman" w:hAnsi="Times New Roman" w:cs="Times New Roman" w:hint="eastAsia"/>
          <w:sz w:val="18"/>
          <w:szCs w:val="18"/>
        </w:rPr>
        <w:t>6.2times,1.2</w:t>
      </w:r>
      <w:r w:rsidR="00FA71B8" w:rsidRPr="00FA71B8">
        <w:rPr>
          <w:rFonts w:ascii="Times New Roman" w:hAnsi="Times New Roman" w:cs="Times New Roman"/>
          <w:sz w:val="18"/>
          <w:szCs w:val="18"/>
        </w:rPr>
        <w:t>~</w:t>
      </w:r>
      <w:r w:rsidRPr="00FA71B8">
        <w:rPr>
          <w:rFonts w:ascii="Times New Roman" w:hAnsi="Times New Roman" w:cs="Times New Roman" w:hint="eastAsia"/>
          <w:sz w:val="18"/>
          <w:szCs w:val="18"/>
        </w:rPr>
        <w:t xml:space="preserve">5.6times </w:t>
      </w:r>
      <w:r>
        <w:rPr>
          <w:rFonts w:ascii="Times New Roman" w:hAnsi="Times New Roman" w:cs="Times New Roman"/>
          <w:sz w:val="18"/>
          <w:szCs w:val="18"/>
        </w:rPr>
        <w:t>improvement over existing PCFs. Additionally, the structure exhibits high birefringence on the order of 10⁻³ and low confinement loss below 10⁻⁵ dB/cm.</w:t>
      </w:r>
    </w:p>
    <w:p w14:paraId="28BF3CC4" w14:textId="5B2EDAD8" w:rsidR="004A29BC" w:rsidRDefault="006C600F">
      <w:pPr>
        <w:adjustRightInd w:val="0"/>
        <w:snapToGrid w:val="0"/>
        <w:spacing w:afterLines="50" w:after="156"/>
        <w:ind w:right="403"/>
        <w:rPr>
          <w:rFonts w:ascii="Times New Roman" w:hAnsi="Times New Roman" w:cs="Times New Roman"/>
          <w:sz w:val="18"/>
          <w:szCs w:val="18"/>
        </w:rPr>
      </w:pPr>
      <w:r>
        <w:rPr>
          <w:rFonts w:ascii="Times New Roman" w:hAnsi="Times New Roman" w:cs="Times New Roman"/>
          <w:b/>
          <w:sz w:val="18"/>
          <w:szCs w:val="18"/>
        </w:rPr>
        <w:t>Key words:</w:t>
      </w:r>
      <w:r>
        <w:rPr>
          <w:rFonts w:ascii="Times New Roman" w:hAnsi="Times New Roman" w:cs="Times New Roman"/>
          <w:sz w:val="18"/>
          <w:szCs w:val="18"/>
        </w:rPr>
        <w:t xml:space="preserve"> photonic crystal fiber</w:t>
      </w:r>
      <w:r>
        <w:rPr>
          <w:rFonts w:hint="eastAsia"/>
          <w:sz w:val="18"/>
          <w:szCs w:val="18"/>
        </w:rPr>
        <w:t>,</w:t>
      </w:r>
      <w:r>
        <w:rPr>
          <w:sz w:val="18"/>
          <w:szCs w:val="18"/>
        </w:rPr>
        <w:t xml:space="preserve"> </w:t>
      </w:r>
      <w:r>
        <w:rPr>
          <w:rFonts w:ascii="Times New Roman" w:hAnsi="Times New Roman" w:cs="Times New Roman"/>
          <w:sz w:val="18"/>
          <w:szCs w:val="18"/>
        </w:rPr>
        <w:t xml:space="preserve">finite </w:t>
      </w:r>
      <w:r w:rsidR="00FA71B8">
        <w:rPr>
          <w:rFonts w:ascii="Times New Roman" w:hAnsi="Times New Roman" w:cs="Times New Roman"/>
          <w:sz w:val="18"/>
          <w:szCs w:val="18"/>
        </w:rPr>
        <w:t>element</w:t>
      </w:r>
      <w:r>
        <w:rPr>
          <w:rFonts w:ascii="Times New Roman" w:hAnsi="Times New Roman" w:cs="Times New Roman"/>
          <w:sz w:val="18"/>
          <w:szCs w:val="18"/>
        </w:rPr>
        <w:t xml:space="preserve"> method, sensitivity, </w:t>
      </w:r>
      <w:r w:rsidR="00FA71B8">
        <w:rPr>
          <w:rFonts w:ascii="Times New Roman" w:hAnsi="Times New Roman" w:cs="Times New Roman"/>
          <w:sz w:val="18"/>
          <w:szCs w:val="18"/>
        </w:rPr>
        <w:t>birefringence</w:t>
      </w:r>
      <w:r>
        <w:rPr>
          <w:rFonts w:ascii="Times New Roman" w:hAnsi="Times New Roman" w:cs="Times New Roman"/>
          <w:sz w:val="18"/>
          <w:szCs w:val="18"/>
        </w:rPr>
        <w:t xml:space="preserve">, confinement loss </w:t>
      </w:r>
    </w:p>
    <w:p w14:paraId="4B8AE546" w14:textId="77777777" w:rsidR="004A29BC" w:rsidRDefault="006C600F">
      <w:pPr>
        <w:adjustRightInd w:val="0"/>
        <w:snapToGrid w:val="0"/>
        <w:spacing w:afterLines="50" w:after="156"/>
        <w:ind w:right="403"/>
        <w:rPr>
          <w:rFonts w:asciiTheme="majorEastAsia" w:eastAsiaTheme="majorEastAsia" w:hAnsiTheme="majorEastAsia"/>
          <w:sz w:val="28"/>
          <w:szCs w:val="28"/>
        </w:rPr>
      </w:pPr>
      <w:r>
        <w:rPr>
          <w:rFonts w:asciiTheme="majorEastAsia" w:eastAsiaTheme="majorEastAsia" w:hAnsiTheme="majorEastAsia"/>
          <w:sz w:val="24"/>
          <w:szCs w:val="24"/>
        </w:rPr>
        <w:t>0</w:t>
      </w:r>
      <w:r>
        <w:rPr>
          <w:rFonts w:asciiTheme="majorEastAsia" w:eastAsiaTheme="majorEastAsia" w:hAnsiTheme="majorEastAsia"/>
          <w:b/>
          <w:sz w:val="24"/>
          <w:szCs w:val="24"/>
        </w:rPr>
        <w:t>引言</w:t>
      </w:r>
    </w:p>
    <w:p w14:paraId="2A8A7F81" w14:textId="77777777" w:rsidR="004A29BC" w:rsidRDefault="006C600F">
      <w:pPr>
        <w:pStyle w:val="af5"/>
        <w:adjustRightInd w:val="0"/>
        <w:snapToGrid w:val="0"/>
        <w:spacing w:beforeLines="100" w:before="312" w:afterLines="100" w:after="312" w:line="240" w:lineRule="auto"/>
        <w:ind w:firstLine="420"/>
        <w:rPr>
          <w:rFonts w:eastAsiaTheme="minorEastAsia"/>
          <w:szCs w:val="21"/>
        </w:rPr>
      </w:pPr>
      <w:r>
        <w:rPr>
          <w:rFonts w:eastAsiaTheme="minorEastAsia" w:hint="eastAsia"/>
          <w:szCs w:val="21"/>
        </w:rPr>
        <w:t>光子晶体光纤（</w:t>
      </w:r>
      <w:r>
        <w:rPr>
          <w:rFonts w:eastAsiaTheme="minorEastAsia" w:hint="eastAsia"/>
          <w:szCs w:val="21"/>
        </w:rPr>
        <w:t>PCF</w:t>
      </w:r>
      <w:r>
        <w:rPr>
          <w:rFonts w:eastAsiaTheme="minorEastAsia" w:hint="eastAsia"/>
          <w:szCs w:val="21"/>
        </w:rPr>
        <w:t>）凭借其灵活的结构设计，展现出传统光纤无法实现的独特性能，如无限单模传输、高双折射、强非线性、低损耗及可控色散特性。</w:t>
      </w:r>
      <w:r>
        <w:rPr>
          <w:rFonts w:eastAsiaTheme="minorEastAsia" w:hint="eastAsia"/>
          <w:szCs w:val="21"/>
        </w:rPr>
        <w:t xml:space="preserve"> </w:t>
      </w:r>
      <w:r>
        <w:rPr>
          <w:rFonts w:eastAsiaTheme="minorEastAsia" w:hint="eastAsia"/>
          <w:szCs w:val="21"/>
        </w:rPr>
        <w:t>通过向</w:t>
      </w:r>
      <w:r>
        <w:rPr>
          <w:rFonts w:eastAsiaTheme="minorEastAsia" w:hint="eastAsia"/>
          <w:szCs w:val="21"/>
        </w:rPr>
        <w:t>PCF</w:t>
      </w:r>
      <w:r>
        <w:rPr>
          <w:rFonts w:eastAsiaTheme="minorEastAsia" w:hint="eastAsia"/>
          <w:szCs w:val="21"/>
        </w:rPr>
        <w:t>的纤芯或包层空气孔中填充气体、液体或金属等功能材料，可进一步调控其传感性能，这一技术已成为光纤传感器领域的重要研究方向。目前，基于</w:t>
      </w:r>
      <w:r>
        <w:rPr>
          <w:rFonts w:eastAsiaTheme="minorEastAsia" w:hint="eastAsia"/>
          <w:szCs w:val="21"/>
        </w:rPr>
        <w:t>PCF</w:t>
      </w:r>
      <w:r>
        <w:rPr>
          <w:rFonts w:eastAsiaTheme="minorEastAsia" w:hint="eastAsia"/>
          <w:szCs w:val="21"/>
        </w:rPr>
        <w:t>的传感器已广泛应用于生物传感</w:t>
      </w:r>
      <w:r>
        <w:rPr>
          <w:rFonts w:eastAsiaTheme="minorEastAsia" w:hint="eastAsia"/>
          <w:szCs w:val="21"/>
        </w:rPr>
        <w:t>[1-2]</w:t>
      </w:r>
      <w:r>
        <w:rPr>
          <w:rFonts w:eastAsiaTheme="minorEastAsia" w:hint="eastAsia"/>
          <w:szCs w:val="21"/>
        </w:rPr>
        <w:t>、化学传感</w:t>
      </w:r>
      <w:r>
        <w:rPr>
          <w:rFonts w:eastAsiaTheme="minorEastAsia" w:hint="eastAsia"/>
          <w:szCs w:val="21"/>
        </w:rPr>
        <w:t>[3-4]</w:t>
      </w:r>
      <w:r>
        <w:rPr>
          <w:rFonts w:eastAsiaTheme="minorEastAsia" w:hint="eastAsia"/>
          <w:szCs w:val="21"/>
        </w:rPr>
        <w:t>、磁感应</w:t>
      </w:r>
      <w:r>
        <w:rPr>
          <w:rFonts w:eastAsiaTheme="minorEastAsia" w:hint="eastAsia"/>
          <w:szCs w:val="21"/>
        </w:rPr>
        <w:t>[5]</w:t>
      </w:r>
      <w:r>
        <w:rPr>
          <w:rFonts w:eastAsiaTheme="minorEastAsia" w:hint="eastAsia"/>
          <w:szCs w:val="21"/>
        </w:rPr>
        <w:t>及温度与压力检测</w:t>
      </w:r>
      <w:r>
        <w:rPr>
          <w:rFonts w:eastAsiaTheme="minorEastAsia" w:hint="eastAsia"/>
          <w:szCs w:val="21"/>
        </w:rPr>
        <w:t>[6-12]</w:t>
      </w:r>
      <w:r>
        <w:rPr>
          <w:rFonts w:eastAsiaTheme="minorEastAsia" w:hint="eastAsia"/>
          <w:szCs w:val="21"/>
        </w:rPr>
        <w:t>等领域，为高精度传感应用提供了新的技术途径。</w:t>
      </w:r>
    </w:p>
    <w:p w14:paraId="1E4A3FDF" w14:textId="4F5305E0" w:rsidR="004A29BC" w:rsidRDefault="006C600F">
      <w:pPr>
        <w:pStyle w:val="af5"/>
        <w:adjustRightInd w:val="0"/>
        <w:snapToGrid w:val="0"/>
        <w:spacing w:beforeLines="100" w:before="312" w:afterLines="100" w:after="312" w:line="240" w:lineRule="auto"/>
        <w:ind w:firstLine="420"/>
        <w:rPr>
          <w:rFonts w:eastAsiaTheme="minorEastAsia"/>
          <w:szCs w:val="21"/>
        </w:rPr>
      </w:pPr>
      <w:r>
        <w:rPr>
          <w:rFonts w:eastAsiaTheme="minorEastAsia" w:hint="eastAsia"/>
          <w:szCs w:val="21"/>
        </w:rPr>
        <w:t>在化学传感方向，</w:t>
      </w:r>
      <w:r>
        <w:rPr>
          <w:rFonts w:eastAsiaTheme="minorEastAsia" w:hint="eastAsia"/>
          <w:szCs w:val="21"/>
        </w:rPr>
        <w:t>PCF</w:t>
      </w:r>
      <w:r>
        <w:rPr>
          <w:rFonts w:eastAsiaTheme="minorEastAsia" w:hint="eastAsia"/>
          <w:szCs w:val="21"/>
        </w:rPr>
        <w:t>传感器因其工业应用潜力受到广泛关注。</w:t>
      </w:r>
      <w:r>
        <w:rPr>
          <w:rFonts w:ascii="Segoe UI" w:hAnsi="Segoe UI" w:cs="Segoe UI"/>
          <w:color w:val="404040"/>
        </w:rPr>
        <w:t>研究者针对水、乙醇、苯等化学物质的检测需求，在</w:t>
      </w:r>
      <w:r>
        <w:rPr>
          <w:rFonts w:ascii="Segoe UI" w:hAnsi="Segoe UI" w:cs="Segoe UI"/>
          <w:color w:val="404040"/>
        </w:rPr>
        <w:t>1.55 μm</w:t>
      </w:r>
      <w:r>
        <w:rPr>
          <w:rFonts w:ascii="Segoe UI" w:hAnsi="Segoe UI" w:cs="Segoe UI"/>
          <w:color w:val="404040"/>
        </w:rPr>
        <w:t>波长下进行了灵敏度优化研究，提出了多种创新的</w:t>
      </w:r>
      <w:r>
        <w:rPr>
          <w:rFonts w:ascii="Segoe UI" w:hAnsi="Segoe UI" w:cs="Segoe UI"/>
          <w:color w:val="404040"/>
        </w:rPr>
        <w:t>PCF</w:t>
      </w:r>
      <w:r>
        <w:rPr>
          <w:rFonts w:ascii="Segoe UI" w:hAnsi="Segoe UI" w:cs="Segoe UI"/>
          <w:color w:val="404040"/>
        </w:rPr>
        <w:t>结构。</w:t>
      </w:r>
      <w:r>
        <w:rPr>
          <w:rFonts w:eastAsiaTheme="minorEastAsia" w:hint="eastAsia"/>
          <w:szCs w:val="21"/>
        </w:rPr>
        <w:t>例如：</w:t>
      </w:r>
      <w:r>
        <w:rPr>
          <w:rFonts w:eastAsiaTheme="minorEastAsia" w:hint="eastAsia"/>
          <w:szCs w:val="21"/>
        </w:rPr>
        <w:t>ADEMGIL H</w:t>
      </w:r>
      <w:r>
        <w:rPr>
          <w:rFonts w:eastAsiaTheme="minorEastAsia" w:hint="eastAsia"/>
          <w:szCs w:val="21"/>
        </w:rPr>
        <w:t>等人</w:t>
      </w:r>
      <w:r>
        <w:rPr>
          <w:rFonts w:eastAsiaTheme="minorEastAsia" w:hint="eastAsia"/>
          <w:szCs w:val="21"/>
        </w:rPr>
        <w:t>[13]</w:t>
      </w:r>
      <w:r>
        <w:rPr>
          <w:rFonts w:eastAsiaTheme="minorEastAsia" w:hint="eastAsia"/>
          <w:szCs w:val="21"/>
        </w:rPr>
        <w:t>设计了一种六边形排列的多尺寸圆形空气孔</w:t>
      </w:r>
      <w:r>
        <w:rPr>
          <w:rFonts w:eastAsiaTheme="minorEastAsia" w:hint="eastAsia"/>
          <w:szCs w:val="21"/>
        </w:rPr>
        <w:t>PCF</w:t>
      </w:r>
      <w:r>
        <w:rPr>
          <w:rFonts w:eastAsiaTheme="minorEastAsia" w:hint="eastAsia"/>
          <w:szCs w:val="21"/>
        </w:rPr>
        <w:t>，纤芯填充液体后，对上述</w:t>
      </w:r>
      <w:r>
        <w:rPr>
          <w:rFonts w:eastAsiaTheme="minorEastAsia" w:hint="eastAsia"/>
          <w:szCs w:val="21"/>
        </w:rPr>
        <w:t>3</w:t>
      </w:r>
      <w:r>
        <w:rPr>
          <w:rFonts w:eastAsiaTheme="minorEastAsia" w:hint="eastAsia"/>
          <w:szCs w:val="21"/>
        </w:rPr>
        <w:t>种分析物的灵敏度分别为</w:t>
      </w:r>
      <w:r>
        <w:rPr>
          <w:rFonts w:eastAsiaTheme="minorEastAsia" w:hint="eastAsia"/>
          <w:szCs w:val="21"/>
        </w:rPr>
        <w:t>9%</w:t>
      </w:r>
      <w:r>
        <w:rPr>
          <w:rFonts w:eastAsiaTheme="minorEastAsia" w:hint="eastAsia"/>
          <w:szCs w:val="21"/>
        </w:rPr>
        <w:t>、</w:t>
      </w:r>
      <w:r>
        <w:rPr>
          <w:rFonts w:eastAsiaTheme="minorEastAsia" w:hint="eastAsia"/>
          <w:szCs w:val="21"/>
        </w:rPr>
        <w:t>12%</w:t>
      </w:r>
      <w:r>
        <w:rPr>
          <w:rFonts w:eastAsiaTheme="minorEastAsia" w:hint="eastAsia"/>
          <w:szCs w:val="21"/>
        </w:rPr>
        <w:t>、</w:t>
      </w:r>
      <w:r>
        <w:rPr>
          <w:rFonts w:eastAsiaTheme="minorEastAsia" w:hint="eastAsia"/>
          <w:szCs w:val="21"/>
        </w:rPr>
        <w:t>13.5%</w:t>
      </w:r>
      <w:r>
        <w:rPr>
          <w:rFonts w:eastAsiaTheme="minorEastAsia" w:hint="eastAsia"/>
          <w:szCs w:val="21"/>
        </w:rPr>
        <w:t>。</w:t>
      </w:r>
      <w:r>
        <w:rPr>
          <w:rFonts w:eastAsiaTheme="minorEastAsia" w:hint="eastAsia"/>
          <w:szCs w:val="21"/>
        </w:rPr>
        <w:t>SAYED A</w:t>
      </w:r>
      <w:r>
        <w:rPr>
          <w:rFonts w:eastAsiaTheme="minorEastAsia" w:hint="eastAsia"/>
          <w:szCs w:val="21"/>
        </w:rPr>
        <w:t>等人</w:t>
      </w:r>
      <w:r>
        <w:rPr>
          <w:rFonts w:eastAsiaTheme="minorEastAsia" w:hint="eastAsia"/>
          <w:szCs w:val="21"/>
        </w:rPr>
        <w:t>[14]</w:t>
      </w:r>
      <w:r>
        <w:rPr>
          <w:rFonts w:eastAsiaTheme="minorEastAsia" w:hint="eastAsia"/>
          <w:szCs w:val="21"/>
        </w:rPr>
        <w:t>采用纤芯嵌入</w:t>
      </w:r>
      <w:r>
        <w:rPr>
          <w:rFonts w:eastAsiaTheme="minorEastAsia" w:hint="eastAsia"/>
          <w:szCs w:val="21"/>
        </w:rPr>
        <w:t>16</w:t>
      </w:r>
      <w:r>
        <w:rPr>
          <w:rFonts w:eastAsiaTheme="minorEastAsia" w:hint="eastAsia"/>
          <w:szCs w:val="21"/>
        </w:rPr>
        <w:t>个相同尺寸椭圆形空气孔的结构，对上述</w:t>
      </w:r>
      <w:r>
        <w:rPr>
          <w:rFonts w:eastAsiaTheme="minorEastAsia" w:hint="eastAsia"/>
          <w:szCs w:val="21"/>
        </w:rPr>
        <w:t>3</w:t>
      </w:r>
      <w:r>
        <w:rPr>
          <w:rFonts w:eastAsiaTheme="minorEastAsia" w:hint="eastAsia"/>
          <w:szCs w:val="21"/>
        </w:rPr>
        <w:t>种分析物的灵敏度均低于</w:t>
      </w:r>
      <w:r>
        <w:rPr>
          <w:rFonts w:eastAsiaTheme="minorEastAsia" w:hint="eastAsia"/>
          <w:szCs w:val="21"/>
        </w:rPr>
        <w:t>50%</w:t>
      </w:r>
      <w:r>
        <w:rPr>
          <w:rFonts w:eastAsiaTheme="minorEastAsia" w:hint="eastAsia"/>
          <w:szCs w:val="21"/>
        </w:rPr>
        <w:t>。</w:t>
      </w:r>
      <w:r>
        <w:rPr>
          <w:rFonts w:eastAsiaTheme="minorEastAsia" w:hint="eastAsia"/>
          <w:szCs w:val="21"/>
        </w:rPr>
        <w:t>SHADIDUL I</w:t>
      </w:r>
      <w:r>
        <w:rPr>
          <w:rFonts w:eastAsiaTheme="minorEastAsia" w:hint="eastAsia"/>
          <w:szCs w:val="21"/>
        </w:rPr>
        <w:t>等人</w:t>
      </w:r>
      <w:r>
        <w:rPr>
          <w:rFonts w:eastAsiaTheme="minorEastAsia" w:hint="eastAsia"/>
          <w:szCs w:val="21"/>
        </w:rPr>
        <w:t>[15]</w:t>
      </w:r>
      <w:r>
        <w:rPr>
          <w:rFonts w:eastAsiaTheme="minorEastAsia" w:hint="eastAsia"/>
          <w:szCs w:val="21"/>
        </w:rPr>
        <w:t>提出纤芯含</w:t>
      </w:r>
      <w:r>
        <w:rPr>
          <w:rFonts w:eastAsiaTheme="minorEastAsia" w:hint="eastAsia"/>
          <w:szCs w:val="21"/>
        </w:rPr>
        <w:t>9</w:t>
      </w:r>
      <w:r>
        <w:rPr>
          <w:rFonts w:eastAsiaTheme="minorEastAsia" w:hint="eastAsia"/>
          <w:szCs w:val="21"/>
        </w:rPr>
        <w:t>个不同尺寸圆形空气孔的</w:t>
      </w:r>
      <w:r>
        <w:rPr>
          <w:rFonts w:eastAsiaTheme="minorEastAsia" w:hint="eastAsia"/>
          <w:szCs w:val="21"/>
        </w:rPr>
        <w:t>PCF</w:t>
      </w:r>
      <w:r>
        <w:rPr>
          <w:rFonts w:eastAsiaTheme="minorEastAsia" w:hint="eastAsia"/>
          <w:szCs w:val="21"/>
        </w:rPr>
        <w:t>，对上述</w:t>
      </w:r>
      <w:r>
        <w:rPr>
          <w:rFonts w:eastAsiaTheme="minorEastAsia" w:hint="eastAsia"/>
          <w:szCs w:val="21"/>
        </w:rPr>
        <w:t>3</w:t>
      </w:r>
      <w:r>
        <w:rPr>
          <w:rFonts w:eastAsiaTheme="minorEastAsia" w:hint="eastAsia"/>
          <w:szCs w:val="21"/>
        </w:rPr>
        <w:t>种分析物的灵敏度分别提升至</w:t>
      </w:r>
      <w:r>
        <w:rPr>
          <w:rFonts w:eastAsiaTheme="minorEastAsia" w:hint="eastAsia"/>
          <w:szCs w:val="21"/>
        </w:rPr>
        <w:t>50%</w:t>
      </w:r>
      <w:r>
        <w:rPr>
          <w:rFonts w:eastAsiaTheme="minorEastAsia" w:hint="eastAsia"/>
          <w:szCs w:val="21"/>
        </w:rPr>
        <w:t>、</w:t>
      </w:r>
      <w:r>
        <w:rPr>
          <w:rFonts w:eastAsiaTheme="minorEastAsia" w:hint="eastAsia"/>
          <w:szCs w:val="21"/>
        </w:rPr>
        <w:t>55%</w:t>
      </w:r>
      <w:r>
        <w:rPr>
          <w:rFonts w:eastAsiaTheme="minorEastAsia" w:hint="eastAsia"/>
          <w:szCs w:val="21"/>
        </w:rPr>
        <w:t>、</w:t>
      </w:r>
      <w:r>
        <w:rPr>
          <w:rFonts w:eastAsiaTheme="minorEastAsia" w:hint="eastAsia"/>
          <w:szCs w:val="21"/>
        </w:rPr>
        <w:t>60%</w:t>
      </w:r>
      <w:r>
        <w:rPr>
          <w:rFonts w:eastAsiaTheme="minorEastAsia" w:hint="eastAsia"/>
          <w:szCs w:val="21"/>
        </w:rPr>
        <w:t>。</w:t>
      </w:r>
      <w:r>
        <w:rPr>
          <w:rFonts w:eastAsiaTheme="minorEastAsia" w:hint="eastAsia"/>
          <w:color w:val="FF0000"/>
          <w:szCs w:val="21"/>
        </w:rPr>
        <w:t>MALAVIKA</w:t>
      </w:r>
      <w:r w:rsidR="004445B5">
        <w:rPr>
          <w:rFonts w:eastAsiaTheme="minorEastAsia"/>
          <w:color w:val="FF0000"/>
          <w:szCs w:val="21"/>
        </w:rPr>
        <w:t xml:space="preserve"> R</w:t>
      </w:r>
      <w:r>
        <w:rPr>
          <w:rFonts w:eastAsiaTheme="minorEastAsia" w:hint="eastAsia"/>
          <w:color w:val="FF0000"/>
          <w:szCs w:val="21"/>
        </w:rPr>
        <w:t>等人</w:t>
      </w:r>
      <w:r w:rsidR="004445B5">
        <w:rPr>
          <w:rFonts w:eastAsiaTheme="minorEastAsia" w:hint="eastAsia"/>
          <w:color w:val="FF0000"/>
          <w:szCs w:val="21"/>
        </w:rPr>
        <w:t>[16]</w:t>
      </w:r>
      <w:r>
        <w:rPr>
          <w:rFonts w:eastAsiaTheme="minorEastAsia" w:hint="eastAsia"/>
          <w:color w:val="FF0000"/>
          <w:szCs w:val="21"/>
        </w:rPr>
        <w:t>提出纤芯嵌入</w:t>
      </w:r>
      <w:r>
        <w:rPr>
          <w:rFonts w:eastAsiaTheme="minorEastAsia" w:hint="eastAsia"/>
          <w:color w:val="FF0000"/>
          <w:szCs w:val="21"/>
        </w:rPr>
        <w:t>8</w:t>
      </w:r>
      <w:r>
        <w:rPr>
          <w:rFonts w:eastAsiaTheme="minorEastAsia" w:hint="eastAsia"/>
          <w:color w:val="FF0000"/>
          <w:szCs w:val="21"/>
        </w:rPr>
        <w:t>个椭圆空气孔</w:t>
      </w:r>
      <w:r w:rsidR="007340FB">
        <w:rPr>
          <w:rFonts w:eastAsiaTheme="minorEastAsia" w:hint="eastAsia"/>
          <w:color w:val="FF0000"/>
          <w:szCs w:val="21"/>
        </w:rPr>
        <w:t>的</w:t>
      </w:r>
      <w:r>
        <w:rPr>
          <w:rFonts w:eastAsiaTheme="minorEastAsia" w:hint="eastAsia"/>
          <w:color w:val="FF0000"/>
          <w:szCs w:val="21"/>
        </w:rPr>
        <w:t>PCF</w:t>
      </w:r>
      <w:r>
        <w:rPr>
          <w:rFonts w:eastAsiaTheme="minorEastAsia" w:hint="eastAsia"/>
          <w:color w:val="FF0000"/>
          <w:szCs w:val="21"/>
        </w:rPr>
        <w:t>，对水的灵敏度为</w:t>
      </w:r>
      <w:r>
        <w:rPr>
          <w:rFonts w:eastAsiaTheme="minorEastAsia" w:hint="eastAsia"/>
          <w:color w:val="FF0000"/>
          <w:szCs w:val="21"/>
        </w:rPr>
        <w:t>56.8%</w:t>
      </w:r>
      <w:r>
        <w:rPr>
          <w:rFonts w:eastAsiaTheme="minorEastAsia" w:hint="eastAsia"/>
          <w:color w:val="FF0000"/>
          <w:szCs w:val="21"/>
        </w:rPr>
        <w:t>。</w:t>
      </w:r>
      <w:r>
        <w:rPr>
          <w:rFonts w:eastAsiaTheme="minorEastAsia" w:hint="eastAsia"/>
          <w:color w:val="FF0000"/>
          <w:szCs w:val="21"/>
        </w:rPr>
        <w:t>LEON[17]</w:t>
      </w:r>
      <w:r>
        <w:rPr>
          <w:rFonts w:eastAsiaTheme="minorEastAsia" w:hint="eastAsia"/>
          <w:color w:val="FF0000"/>
          <w:szCs w:val="21"/>
        </w:rPr>
        <w:t>等人设计出纤芯嵌入</w:t>
      </w:r>
      <w:r>
        <w:rPr>
          <w:rFonts w:eastAsiaTheme="minorEastAsia" w:hint="eastAsia"/>
          <w:color w:val="FF0000"/>
          <w:szCs w:val="21"/>
        </w:rPr>
        <w:t>9</w:t>
      </w:r>
      <w:r>
        <w:rPr>
          <w:rFonts w:eastAsiaTheme="minorEastAsia" w:hint="eastAsia"/>
          <w:color w:val="FF0000"/>
          <w:szCs w:val="21"/>
        </w:rPr>
        <w:t>个不同尺寸圆形空气孔</w:t>
      </w:r>
      <w:r w:rsidR="007340FB">
        <w:rPr>
          <w:rFonts w:eastAsiaTheme="minorEastAsia" w:hint="eastAsia"/>
          <w:color w:val="FF0000"/>
          <w:szCs w:val="21"/>
        </w:rPr>
        <w:t>的</w:t>
      </w:r>
      <w:r>
        <w:rPr>
          <w:rFonts w:eastAsiaTheme="minorEastAsia" w:hint="eastAsia"/>
          <w:color w:val="FF0000"/>
          <w:szCs w:val="21"/>
        </w:rPr>
        <w:t>PCF</w:t>
      </w:r>
      <w:r>
        <w:rPr>
          <w:rFonts w:eastAsiaTheme="minorEastAsia" w:hint="eastAsia"/>
          <w:color w:val="FF0000"/>
          <w:szCs w:val="21"/>
        </w:rPr>
        <w:t>，仅对水进行了分析，灵敏度为</w:t>
      </w:r>
      <w:r>
        <w:rPr>
          <w:rFonts w:eastAsiaTheme="minorEastAsia" w:hint="eastAsia"/>
          <w:color w:val="FF0000"/>
          <w:szCs w:val="21"/>
        </w:rPr>
        <w:t>45%</w:t>
      </w:r>
      <w:r>
        <w:rPr>
          <w:rFonts w:eastAsiaTheme="minorEastAsia" w:hint="eastAsia"/>
          <w:szCs w:val="21"/>
        </w:rPr>
        <w:t>。赵丽娟等人</w:t>
      </w:r>
      <w:r>
        <w:rPr>
          <w:rFonts w:eastAsiaTheme="minorEastAsia" w:hint="eastAsia"/>
          <w:szCs w:val="21"/>
        </w:rPr>
        <w:t>[18]</w:t>
      </w:r>
      <w:r>
        <w:rPr>
          <w:rFonts w:eastAsiaTheme="minorEastAsia" w:hint="eastAsia"/>
          <w:szCs w:val="21"/>
        </w:rPr>
        <w:t>提出对角对称</w:t>
      </w:r>
      <w:r>
        <w:rPr>
          <w:rFonts w:eastAsiaTheme="minorEastAsia" w:hint="eastAsia"/>
          <w:szCs w:val="21"/>
        </w:rPr>
        <w:t>PCF</w:t>
      </w:r>
      <w:r>
        <w:rPr>
          <w:rFonts w:eastAsiaTheme="minorEastAsia" w:hint="eastAsia"/>
          <w:szCs w:val="21"/>
        </w:rPr>
        <w:t>结构，包层结</w:t>
      </w:r>
      <w:r>
        <w:rPr>
          <w:rFonts w:eastAsiaTheme="minorEastAsia" w:hint="eastAsia"/>
          <w:szCs w:val="21"/>
        </w:rPr>
        <w:lastRenderedPageBreak/>
        <w:t>合圆形与椭圆形空气孔，对上述</w:t>
      </w:r>
      <w:r>
        <w:rPr>
          <w:rFonts w:eastAsiaTheme="minorEastAsia" w:hint="eastAsia"/>
          <w:szCs w:val="21"/>
        </w:rPr>
        <w:t>3</w:t>
      </w:r>
      <w:r>
        <w:rPr>
          <w:rFonts w:eastAsiaTheme="minorEastAsia" w:hint="eastAsia"/>
          <w:szCs w:val="21"/>
        </w:rPr>
        <w:t>种分析物的</w:t>
      </w:r>
      <w:r>
        <w:rPr>
          <w:rFonts w:eastAsiaTheme="minorEastAsia"/>
          <w:szCs w:val="21"/>
        </w:rPr>
        <w:t>灵敏度</w:t>
      </w:r>
      <w:r>
        <w:rPr>
          <w:rFonts w:eastAsiaTheme="minorEastAsia" w:hint="eastAsia"/>
          <w:szCs w:val="21"/>
        </w:rPr>
        <w:t>分别</w:t>
      </w:r>
      <w:r>
        <w:rPr>
          <w:rFonts w:eastAsiaTheme="minorEastAsia"/>
          <w:szCs w:val="21"/>
        </w:rPr>
        <w:t>为</w:t>
      </w:r>
      <w:r>
        <w:rPr>
          <w:rFonts w:eastAsiaTheme="minorEastAsia" w:hint="eastAsia"/>
          <w:szCs w:val="21"/>
        </w:rPr>
        <w:t>56.3%</w:t>
      </w:r>
      <w:r>
        <w:rPr>
          <w:rFonts w:eastAsiaTheme="minorEastAsia" w:hint="eastAsia"/>
          <w:szCs w:val="21"/>
        </w:rPr>
        <w:t>、</w:t>
      </w:r>
      <w:r>
        <w:rPr>
          <w:rFonts w:eastAsiaTheme="minorEastAsia" w:hint="eastAsia"/>
          <w:szCs w:val="21"/>
        </w:rPr>
        <w:t>59.9%</w:t>
      </w:r>
      <w:r>
        <w:rPr>
          <w:rFonts w:eastAsiaTheme="minorEastAsia" w:hint="eastAsia"/>
          <w:szCs w:val="21"/>
        </w:rPr>
        <w:t>和</w:t>
      </w:r>
      <w:r>
        <w:rPr>
          <w:rFonts w:eastAsiaTheme="minorEastAsia" w:hint="eastAsia"/>
          <w:szCs w:val="21"/>
        </w:rPr>
        <w:t>62.7%</w:t>
      </w:r>
      <w:r>
        <w:rPr>
          <w:rFonts w:eastAsiaTheme="minorEastAsia" w:hint="eastAsia"/>
          <w:szCs w:val="21"/>
        </w:rPr>
        <w:t>。</w:t>
      </w:r>
    </w:p>
    <w:p w14:paraId="218116D8" w14:textId="77777777" w:rsidR="004A29BC" w:rsidRDefault="006C600F">
      <w:pPr>
        <w:pStyle w:val="af5"/>
        <w:adjustRightInd w:val="0"/>
        <w:snapToGrid w:val="0"/>
        <w:spacing w:beforeLines="100" w:before="312" w:afterLines="100" w:after="312" w:line="240" w:lineRule="auto"/>
        <w:ind w:firstLine="420"/>
        <w:rPr>
          <w:rFonts w:eastAsiaTheme="minorEastAsia"/>
          <w:szCs w:val="21"/>
        </w:rPr>
      </w:pPr>
      <w:r>
        <w:rPr>
          <w:rFonts w:eastAsiaTheme="minorEastAsia" w:hint="eastAsia"/>
          <w:szCs w:val="21"/>
        </w:rPr>
        <w:t>尽管上述研究为</w:t>
      </w:r>
      <w:r>
        <w:rPr>
          <w:rFonts w:eastAsiaTheme="minorEastAsia" w:hint="eastAsia"/>
          <w:szCs w:val="21"/>
        </w:rPr>
        <w:t>PCF</w:t>
      </w:r>
      <w:r>
        <w:rPr>
          <w:rFonts w:eastAsiaTheme="minorEastAsia" w:hint="eastAsia"/>
          <w:szCs w:val="21"/>
        </w:rPr>
        <w:t>传感器设计提供了多样化的解决方案，但仍存在以下局限性：部分结构灵敏度不足，而高灵敏度设计往往因纤芯复杂或多层包层排列面临制造误差与孔径控制难题。随着工业发展对环境污染、食品安全监测需求的提升，开发兼具高灵敏度、高双折射且结构简单的</w:t>
      </w:r>
      <w:r>
        <w:rPr>
          <w:rFonts w:eastAsiaTheme="minorEastAsia" w:hint="eastAsia"/>
          <w:szCs w:val="21"/>
        </w:rPr>
        <w:t>PCF</w:t>
      </w:r>
      <w:r>
        <w:rPr>
          <w:rFonts w:eastAsiaTheme="minorEastAsia" w:hint="eastAsia"/>
          <w:szCs w:val="21"/>
        </w:rPr>
        <w:t>传感器具有重要应用价值。</w:t>
      </w:r>
    </w:p>
    <w:p w14:paraId="70562539" w14:textId="77777777" w:rsidR="004A29BC" w:rsidRDefault="006C600F">
      <w:pPr>
        <w:pStyle w:val="af5"/>
        <w:adjustRightInd w:val="0"/>
        <w:snapToGrid w:val="0"/>
        <w:spacing w:beforeLines="100" w:before="312" w:afterLines="100" w:after="312" w:line="240" w:lineRule="auto"/>
        <w:ind w:firstLine="420"/>
        <w:rPr>
          <w:rFonts w:eastAsiaTheme="minorEastAsia"/>
          <w:szCs w:val="21"/>
        </w:rPr>
      </w:pPr>
      <w:r>
        <w:rPr>
          <w:rFonts w:eastAsiaTheme="minorEastAsia" w:hint="eastAsia"/>
          <w:szCs w:val="21"/>
        </w:rPr>
        <w:t>为此，本文提出一种由圆形与矩形空气孔复合构成的新型</w:t>
      </w:r>
      <w:r>
        <w:rPr>
          <w:rFonts w:eastAsiaTheme="minorEastAsia" w:hint="eastAsia"/>
          <w:szCs w:val="21"/>
        </w:rPr>
        <w:t>PCF</w:t>
      </w:r>
      <w:r>
        <w:rPr>
          <w:rFonts w:eastAsiaTheme="minorEastAsia" w:hint="eastAsia"/>
          <w:szCs w:val="21"/>
        </w:rPr>
        <w:t>结构，旨在为高性能</w:t>
      </w:r>
      <w:r>
        <w:rPr>
          <w:rFonts w:eastAsiaTheme="minorEastAsia" w:hint="eastAsia"/>
          <w:szCs w:val="21"/>
        </w:rPr>
        <w:t>PCF</w:t>
      </w:r>
      <w:r>
        <w:rPr>
          <w:rFonts w:eastAsiaTheme="minorEastAsia" w:hint="eastAsia"/>
          <w:szCs w:val="21"/>
        </w:rPr>
        <w:t>化学传感器设计提供新思路。</w:t>
      </w:r>
    </w:p>
    <w:p w14:paraId="33DEE3DC" w14:textId="77777777" w:rsidR="004A29BC" w:rsidRDefault="006C600F">
      <w:pPr>
        <w:adjustRightInd w:val="0"/>
        <w:snapToGrid w:val="0"/>
        <w:spacing w:beforeLines="100" w:before="312" w:afterLines="100" w:after="312"/>
        <w:rPr>
          <w:rFonts w:asciiTheme="majorEastAsia" w:eastAsiaTheme="majorEastAsia" w:hAnsiTheme="majorEastAsia"/>
          <w:b/>
          <w:sz w:val="24"/>
          <w:szCs w:val="24"/>
        </w:rPr>
      </w:pPr>
      <w:r>
        <w:rPr>
          <w:rFonts w:asciiTheme="majorEastAsia" w:eastAsiaTheme="majorEastAsia" w:hAnsiTheme="majorEastAsia"/>
          <w:b/>
          <w:sz w:val="24"/>
          <w:szCs w:val="24"/>
        </w:rPr>
        <w:t>1</w:t>
      </w:r>
      <w:r>
        <w:rPr>
          <w:rFonts w:ascii="Times New Roman" w:eastAsiaTheme="majorEastAsia" w:hAnsi="Times New Roman" w:cs="Times New Roman"/>
          <w:b/>
          <w:sz w:val="24"/>
          <w:szCs w:val="24"/>
        </w:rPr>
        <w:t xml:space="preserve"> </w:t>
      </w:r>
      <w:r>
        <w:rPr>
          <w:rFonts w:ascii="Times New Roman" w:eastAsiaTheme="majorEastAsia" w:hAnsi="Times New Roman" w:cs="Times New Roman"/>
          <w:b/>
          <w:sz w:val="24"/>
          <w:szCs w:val="24"/>
        </w:rPr>
        <w:t>新型</w:t>
      </w:r>
      <w:r>
        <w:rPr>
          <w:rFonts w:ascii="Times New Roman" w:eastAsiaTheme="majorEastAsia" w:hAnsi="Times New Roman" w:cs="Times New Roman"/>
          <w:b/>
          <w:sz w:val="24"/>
          <w:szCs w:val="24"/>
        </w:rPr>
        <w:t>PCF</w:t>
      </w:r>
      <w:r>
        <w:rPr>
          <w:rFonts w:ascii="Times New Roman" w:eastAsiaTheme="majorEastAsia" w:hAnsi="Times New Roman" w:cs="Times New Roman"/>
          <w:b/>
          <w:sz w:val="24"/>
          <w:szCs w:val="24"/>
        </w:rPr>
        <w:t>结构设计</w:t>
      </w:r>
    </w:p>
    <w:p w14:paraId="08D834FC" w14:textId="77777777" w:rsidR="004A29BC" w:rsidRDefault="006C600F">
      <w:pPr>
        <w:adjustRightInd w:val="0"/>
        <w:snapToGrid w:val="0"/>
        <w:spacing w:beforeLines="100" w:before="312" w:afterLines="100" w:after="312"/>
        <w:ind w:firstLineChars="200" w:firstLine="420"/>
        <w:rPr>
          <w:rFonts w:ascii="Times New Roman" w:hAnsi="Times New Roman" w:cs="Times New Roman"/>
          <w:bCs/>
          <w:szCs w:val="21"/>
        </w:rPr>
      </w:pPr>
      <w:r>
        <w:rPr>
          <w:rFonts w:ascii="Segoe UI" w:hAnsi="Segoe UI" w:cs="Segoe UI"/>
          <w:color w:val="404040"/>
        </w:rPr>
        <w:t>本文提出了一种结构简化的光子晶体光纤（</w:t>
      </w:r>
      <w:r>
        <w:rPr>
          <w:rFonts w:ascii="Segoe UI" w:hAnsi="Segoe UI" w:cs="Segoe UI"/>
          <w:color w:val="404040"/>
        </w:rPr>
        <w:t>PCF</w:t>
      </w:r>
      <w:r>
        <w:rPr>
          <w:rFonts w:ascii="Segoe UI" w:hAnsi="Segoe UI" w:cs="Segoe UI"/>
          <w:color w:val="404040"/>
        </w:rPr>
        <w:t>），其横截面结构如图</w:t>
      </w:r>
      <w:r>
        <w:rPr>
          <w:rFonts w:ascii="Segoe UI" w:hAnsi="Segoe UI" w:cs="Segoe UI"/>
          <w:color w:val="404040"/>
        </w:rPr>
        <w:t>1</w:t>
      </w:r>
      <w:r>
        <w:rPr>
          <w:rFonts w:ascii="Segoe UI" w:hAnsi="Segoe UI" w:cs="Segoe UI"/>
          <w:color w:val="404040"/>
        </w:rPr>
        <w:t>所示。该光纤的包层由</w:t>
      </w:r>
      <w:r>
        <w:rPr>
          <w:rFonts w:ascii="Segoe UI" w:hAnsi="Segoe UI" w:cs="Segoe UI"/>
          <w:color w:val="404040"/>
        </w:rPr>
        <w:t>4</w:t>
      </w:r>
      <w:r>
        <w:rPr>
          <w:rFonts w:ascii="Segoe UI" w:hAnsi="Segoe UI" w:cs="Segoe UI"/>
          <w:color w:val="404040"/>
        </w:rPr>
        <w:t>层直径均为</w:t>
      </w:r>
      <w:r>
        <w:rPr>
          <w:rStyle w:val="af1"/>
          <w:rFonts w:ascii="Segoe UI" w:hAnsi="Segoe UI" w:cs="Segoe UI"/>
          <w:color w:val="404040"/>
        </w:rPr>
        <w:t>d</w:t>
      </w:r>
      <w:r>
        <w:rPr>
          <w:rFonts w:ascii="Segoe UI" w:hAnsi="Segoe UI" w:cs="Segoe UI"/>
          <w:color w:val="404040"/>
        </w:rPr>
        <w:t>的圆形空气孔按四边形阵列排列构成，相邻空气孔中心间距固定为</w:t>
      </w:r>
      <w:r>
        <w:rPr>
          <w:rStyle w:val="af1"/>
          <w:rFonts w:ascii="Segoe UI" w:hAnsi="Segoe UI" w:cs="Segoe UI"/>
          <w:color w:val="404040"/>
        </w:rPr>
        <w:t>Λ</w:t>
      </w:r>
      <w:r>
        <w:rPr>
          <w:rFonts w:ascii="Segoe UI" w:hAnsi="Segoe UI" w:cs="Segoe UI"/>
          <w:color w:val="404040"/>
        </w:rPr>
        <w:t>=1.24 μm</w:t>
      </w:r>
      <w:r>
        <w:rPr>
          <w:rFonts w:ascii="Segoe UI" w:hAnsi="Segoe UI" w:cs="Segoe UI"/>
          <w:color w:val="404040"/>
        </w:rPr>
        <w:t>。为提升传感灵敏度和性能稳定性，纤芯区域采用非对称设计：将传统</w:t>
      </w:r>
      <w:r>
        <w:rPr>
          <w:rFonts w:ascii="Segoe UI" w:hAnsi="Segoe UI" w:cs="Segoe UI" w:hint="eastAsia"/>
          <w:color w:val="FF0000"/>
        </w:rPr>
        <w:t>四</w:t>
      </w:r>
      <w:r>
        <w:rPr>
          <w:rFonts w:ascii="Segoe UI" w:hAnsi="Segoe UI" w:cs="Segoe UI"/>
          <w:color w:val="404040"/>
        </w:rPr>
        <w:t>边形排列的</w:t>
      </w:r>
      <w:r>
        <w:rPr>
          <w:rFonts w:ascii="Segoe UI" w:hAnsi="Segoe UI" w:cs="Segoe UI"/>
          <w:color w:val="404040"/>
        </w:rPr>
        <w:t>9</w:t>
      </w:r>
      <w:r>
        <w:rPr>
          <w:rFonts w:ascii="Segoe UI" w:hAnsi="Segoe UI" w:cs="Segoe UI"/>
          <w:color w:val="404040"/>
        </w:rPr>
        <w:t>个圆形空气孔替换为</w:t>
      </w:r>
      <w:r>
        <w:rPr>
          <w:rFonts w:ascii="Segoe UI" w:hAnsi="Segoe UI" w:cs="Segoe UI"/>
          <w:color w:val="404040"/>
        </w:rPr>
        <w:t>5</w:t>
      </w:r>
      <w:r>
        <w:rPr>
          <w:rFonts w:ascii="Segoe UI" w:hAnsi="Segoe UI" w:cs="Segoe UI"/>
          <w:color w:val="404040"/>
        </w:rPr>
        <w:t>个矩形空气孔，矩形孔高度为</w:t>
      </w:r>
      <w:r>
        <w:rPr>
          <w:rStyle w:val="af1"/>
          <w:rFonts w:ascii="Segoe UI" w:hAnsi="Segoe UI" w:cs="Segoe UI"/>
          <w:color w:val="404040"/>
        </w:rPr>
        <w:t>a</w:t>
      </w:r>
      <w:r>
        <w:rPr>
          <w:rFonts w:ascii="Segoe UI" w:hAnsi="Segoe UI" w:cs="Segoe UI"/>
          <w:color w:val="404040"/>
        </w:rPr>
        <w:t>，宽度为</w:t>
      </w:r>
      <w:r>
        <w:rPr>
          <w:rStyle w:val="af1"/>
          <w:rFonts w:ascii="Segoe UI" w:hAnsi="Segoe UI" w:cs="Segoe UI"/>
          <w:color w:val="404040"/>
        </w:rPr>
        <w:t>b</w:t>
      </w:r>
      <w:r>
        <w:rPr>
          <w:rFonts w:ascii="Segoe UI" w:hAnsi="Segoe UI" w:cs="Segoe UI"/>
          <w:color w:val="404040"/>
        </w:rPr>
        <w:t>，相邻矩形孔中心间距</w:t>
      </w:r>
      <w:r>
        <w:rPr>
          <w:rStyle w:val="af1"/>
          <w:rFonts w:ascii="Segoe UI" w:hAnsi="Segoe UI" w:cs="Segoe UI"/>
          <w:color w:val="404040"/>
        </w:rPr>
        <w:t>p</w:t>
      </w:r>
      <w:r>
        <w:rPr>
          <w:rFonts w:ascii="Segoe UI" w:hAnsi="Segoe UI" w:cs="Segoe UI"/>
          <w:color w:val="404040"/>
        </w:rPr>
        <w:t>=0.62 μm</w:t>
      </w:r>
      <w:r>
        <w:rPr>
          <w:rFonts w:ascii="Segoe UI" w:hAnsi="Segoe UI" w:cs="Segoe UI"/>
          <w:color w:val="404040"/>
        </w:rPr>
        <w:t>。光纤基底材料为石英玻璃（折射率</w:t>
      </w:r>
      <w:r>
        <w:rPr>
          <w:rStyle w:val="af1"/>
          <w:rFonts w:ascii="Segoe UI" w:hAnsi="Segoe UI" w:cs="Segoe UI"/>
          <w:color w:val="404040"/>
        </w:rPr>
        <w:t>n</w:t>
      </w:r>
      <w:r>
        <w:rPr>
          <w:rFonts w:ascii="Segoe UI" w:hAnsi="Segoe UI" w:cs="Segoe UI"/>
          <w:color w:val="404040"/>
        </w:rPr>
        <w:t>=1.45</w:t>
      </w:r>
      <w:r>
        <w:rPr>
          <w:rFonts w:ascii="Segoe UI" w:hAnsi="Segoe UI" w:cs="Segoe UI"/>
          <w:color w:val="404040"/>
        </w:rPr>
        <w:t>），纤芯空气孔可填充待测分析物（乙醇、水或苯），以研究其对光纤光学特性的调控作用。</w:t>
      </w:r>
    </w:p>
    <w:p w14:paraId="697554A7" w14:textId="77777777" w:rsidR="004A29BC" w:rsidRDefault="006C600F">
      <w:pPr>
        <w:adjustRightInd w:val="0"/>
        <w:snapToGrid w:val="0"/>
        <w:rPr>
          <w:rFonts w:ascii="CharisSIL" w:hAnsi="CharisSIL" w:hint="eastAsia"/>
          <w:sz w:val="18"/>
          <w:szCs w:val="18"/>
        </w:rPr>
      </w:pPr>
      <w:r>
        <w:rPr>
          <w:noProof/>
        </w:rPr>
        <w:drawing>
          <wp:inline distT="0" distB="0" distL="0" distR="0">
            <wp:extent cx="2858770" cy="18827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2858965" cy="1882800"/>
                    </a:xfrm>
                    <a:prstGeom prst="rect">
                      <a:avLst/>
                    </a:prstGeom>
                  </pic:spPr>
                </pic:pic>
              </a:graphicData>
            </a:graphic>
          </wp:inline>
        </w:drawing>
      </w:r>
    </w:p>
    <w:p w14:paraId="553D71D8" w14:textId="77777777" w:rsidR="004A29BC" w:rsidRDefault="004A29BC">
      <w:pPr>
        <w:adjustRightInd w:val="0"/>
        <w:snapToGrid w:val="0"/>
        <w:rPr>
          <w:rFonts w:ascii="CharisSIL" w:hAnsi="CharisSIL" w:hint="eastAsia"/>
          <w:sz w:val="18"/>
          <w:szCs w:val="18"/>
        </w:rPr>
      </w:pPr>
    </w:p>
    <w:p w14:paraId="314549E1" w14:textId="77777777" w:rsidR="004A29BC" w:rsidRDefault="006C600F">
      <w:pPr>
        <w:adjustRightInd w:val="0"/>
        <w:snapToGrid w:val="0"/>
        <w:spacing w:beforeLines="100" w:before="312"/>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1  PCF</w:t>
      </w:r>
      <w:r>
        <w:rPr>
          <w:rFonts w:ascii="Times New Roman" w:hAnsi="Times New Roman" w:cs="Times New Roman"/>
          <w:b/>
          <w:sz w:val="15"/>
          <w:szCs w:val="15"/>
        </w:rPr>
        <w:t>的横截面图</w:t>
      </w:r>
    </w:p>
    <w:p w14:paraId="4A30117B" w14:textId="77777777" w:rsidR="004A29BC" w:rsidRDefault="006C600F">
      <w:pPr>
        <w:adjustRightInd w:val="0"/>
        <w:snapToGrid w:val="0"/>
        <w:spacing w:beforeLines="100" w:before="312" w:afterLines="100" w:after="312"/>
        <w:rPr>
          <w:rFonts w:asciiTheme="majorEastAsia" w:eastAsiaTheme="majorEastAsia" w:hAnsiTheme="majorEastAsia"/>
          <w:b/>
          <w:szCs w:val="21"/>
        </w:rPr>
      </w:pPr>
      <w:r>
        <w:rPr>
          <w:rFonts w:asciiTheme="majorEastAsia" w:eastAsiaTheme="majorEastAsia" w:hAnsiTheme="majorEastAsia"/>
          <w:b/>
          <w:szCs w:val="21"/>
        </w:rPr>
        <w:t>2 理论与结果分析</w:t>
      </w:r>
    </w:p>
    <w:p w14:paraId="311B863C" w14:textId="77777777" w:rsidR="004A29BC" w:rsidRDefault="006C600F">
      <w:pPr>
        <w:pStyle w:val="ad"/>
        <w:ind w:firstLine="420"/>
        <w:rPr>
          <w:rFonts w:ascii="Times New Roman" w:hAnsi="Times New Roman" w:cs="Times New Roman"/>
          <w:szCs w:val="21"/>
        </w:rPr>
      </w:pPr>
      <w:r>
        <w:rPr>
          <w:rFonts w:ascii="Segoe UI" w:hAnsi="Segoe UI" w:cs="Segoe UI"/>
          <w:color w:val="404040"/>
          <w:sz w:val="21"/>
          <w:szCs w:val="21"/>
        </w:rPr>
        <w:t>光子晶体结构的精确建模与优化通常依赖于数值计算方法，如有限差分法（</w:t>
      </w:r>
      <w:r>
        <w:rPr>
          <w:rFonts w:ascii="Segoe UI" w:hAnsi="Segoe UI" w:cs="Segoe UI"/>
          <w:color w:val="404040"/>
          <w:sz w:val="21"/>
          <w:szCs w:val="21"/>
        </w:rPr>
        <w:t>FDM</w:t>
      </w:r>
      <w:r>
        <w:rPr>
          <w:rFonts w:ascii="Segoe UI" w:hAnsi="Segoe UI" w:cs="Segoe UI"/>
          <w:color w:val="404040"/>
          <w:sz w:val="21"/>
          <w:szCs w:val="21"/>
        </w:rPr>
        <w:t>）</w:t>
      </w:r>
      <w:r>
        <w:rPr>
          <w:rFonts w:ascii="Segoe UI" w:hAnsi="Segoe UI" w:cs="Segoe UI"/>
          <w:color w:val="404040"/>
          <w:sz w:val="21"/>
          <w:szCs w:val="21"/>
        </w:rPr>
        <w:t>[19]</w:t>
      </w:r>
      <w:r>
        <w:rPr>
          <w:rFonts w:ascii="Segoe UI" w:hAnsi="Segoe UI" w:cs="Segoe UI"/>
          <w:color w:val="404040"/>
          <w:sz w:val="21"/>
          <w:szCs w:val="21"/>
        </w:rPr>
        <w:t>、有限元法（</w:t>
      </w:r>
      <w:r>
        <w:rPr>
          <w:rFonts w:ascii="Segoe UI" w:hAnsi="Segoe UI" w:cs="Segoe UI"/>
          <w:color w:val="404040"/>
          <w:sz w:val="21"/>
          <w:szCs w:val="21"/>
        </w:rPr>
        <w:t>FEM</w:t>
      </w:r>
      <w:r>
        <w:rPr>
          <w:rFonts w:ascii="Segoe UI" w:hAnsi="Segoe UI" w:cs="Segoe UI"/>
          <w:color w:val="404040"/>
          <w:sz w:val="21"/>
          <w:szCs w:val="21"/>
        </w:rPr>
        <w:t>）</w:t>
      </w:r>
      <w:r>
        <w:rPr>
          <w:rFonts w:ascii="Segoe UI" w:hAnsi="Segoe UI" w:cs="Segoe UI"/>
          <w:color w:val="404040"/>
          <w:sz w:val="21"/>
          <w:szCs w:val="21"/>
        </w:rPr>
        <w:t>[20-21]</w:t>
      </w:r>
      <w:r>
        <w:rPr>
          <w:rFonts w:ascii="Segoe UI" w:hAnsi="Segoe UI" w:cs="Segoe UI"/>
          <w:color w:val="404040"/>
          <w:sz w:val="21"/>
          <w:szCs w:val="21"/>
        </w:rPr>
        <w:t>和平面波展开法（</w:t>
      </w:r>
      <w:r>
        <w:rPr>
          <w:rFonts w:ascii="Segoe UI" w:hAnsi="Segoe UI" w:cs="Segoe UI"/>
          <w:color w:val="404040"/>
          <w:sz w:val="21"/>
          <w:szCs w:val="21"/>
        </w:rPr>
        <w:t>PWM</w:t>
      </w:r>
      <w:r>
        <w:rPr>
          <w:rFonts w:ascii="Segoe UI" w:hAnsi="Segoe UI" w:cs="Segoe UI"/>
          <w:color w:val="404040"/>
          <w:sz w:val="21"/>
          <w:szCs w:val="21"/>
        </w:rPr>
        <w:t>）</w:t>
      </w:r>
      <w:r>
        <w:rPr>
          <w:rFonts w:ascii="Segoe UI" w:hAnsi="Segoe UI" w:cs="Segoe UI"/>
          <w:color w:val="404040"/>
          <w:sz w:val="21"/>
          <w:szCs w:val="21"/>
        </w:rPr>
        <w:t>[22]</w:t>
      </w:r>
      <w:r>
        <w:rPr>
          <w:rFonts w:ascii="Segoe UI" w:hAnsi="Segoe UI" w:cs="Segoe UI"/>
          <w:color w:val="404040"/>
          <w:sz w:val="21"/>
          <w:szCs w:val="21"/>
        </w:rPr>
        <w:t>。其中，有限元法（</w:t>
      </w:r>
      <w:r>
        <w:rPr>
          <w:rFonts w:ascii="Segoe UI" w:hAnsi="Segoe UI" w:cs="Segoe UI"/>
          <w:color w:val="404040"/>
          <w:sz w:val="21"/>
          <w:szCs w:val="21"/>
        </w:rPr>
        <w:t>FEM</w:t>
      </w:r>
      <w:r>
        <w:rPr>
          <w:rFonts w:ascii="Segoe UI" w:hAnsi="Segoe UI" w:cs="Segoe UI"/>
          <w:color w:val="404040"/>
          <w:sz w:val="21"/>
          <w:szCs w:val="21"/>
        </w:rPr>
        <w:t>）因其灵活的网格划分能力及高计算精度，在复杂结构仿真中具有显著优势。因此，本文采用</w:t>
      </w:r>
      <w:r>
        <w:rPr>
          <w:rFonts w:ascii="Segoe UI" w:hAnsi="Segoe UI" w:cs="Segoe UI"/>
          <w:color w:val="404040"/>
          <w:sz w:val="21"/>
          <w:szCs w:val="21"/>
        </w:rPr>
        <w:t>FEM</w:t>
      </w:r>
      <w:r>
        <w:rPr>
          <w:rFonts w:ascii="Segoe UI" w:hAnsi="Segoe UI" w:cs="Segoe UI"/>
          <w:color w:val="404040"/>
          <w:sz w:val="21"/>
          <w:szCs w:val="21"/>
        </w:rPr>
        <w:t>结合完美匹配层（</w:t>
      </w:r>
      <w:r>
        <w:rPr>
          <w:rFonts w:ascii="Segoe UI" w:hAnsi="Segoe UI" w:cs="Segoe UI"/>
          <w:color w:val="404040"/>
          <w:sz w:val="21"/>
          <w:szCs w:val="21"/>
        </w:rPr>
        <w:t>PML</w:t>
      </w:r>
      <w:r>
        <w:rPr>
          <w:rFonts w:ascii="Segoe UI" w:hAnsi="Segoe UI" w:cs="Segoe UI"/>
          <w:color w:val="404040"/>
          <w:sz w:val="21"/>
          <w:szCs w:val="21"/>
        </w:rPr>
        <w:t>）吸收边界条件，以确保计算结果的准确性和可靠性。基于麦克斯韦方程组，</w:t>
      </w:r>
      <w:r>
        <w:rPr>
          <w:rFonts w:ascii="Times New Roman" w:hAnsi="Times New Roman" w:cs="Times New Roman"/>
          <w:szCs w:val="21"/>
        </w:rPr>
        <w:t>电场</w:t>
      </w:r>
      <w:r>
        <w:rPr>
          <w:rFonts w:ascii="Times New Roman" w:hAnsi="Times New Roman" w:cs="Times New Roman"/>
          <w:position w:val="-4"/>
          <w:szCs w:val="21"/>
        </w:rPr>
        <w:object w:dxaOrig="138" w:dyaOrig="300" w14:anchorId="72CB2A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15.05pt" o:ole="">
            <v:imagedata r:id="rId8" o:title=""/>
          </v:shape>
          <o:OLEObject Type="Embed" ProgID="Equation.DSMT4" ShapeID="_x0000_i1025" DrawAspect="Content" ObjectID="_1806902984" r:id="rId9"/>
        </w:object>
      </w:r>
      <w:r>
        <w:rPr>
          <w:rFonts w:ascii="Times New Roman" w:hAnsi="Times New Roman" w:cs="Times New Roman"/>
          <w:szCs w:val="21"/>
        </w:rPr>
        <w:t>满足的波动方程</w:t>
      </w:r>
      <w:r>
        <w:rPr>
          <w:rFonts w:ascii="Times New Roman" w:hAnsi="Times New Roman" w:cs="Times New Roman"/>
          <w:szCs w:val="21"/>
          <w:vertAlign w:val="superscript"/>
        </w:rPr>
        <w:t>[23]</w:t>
      </w:r>
      <w:r>
        <w:rPr>
          <w:rFonts w:ascii="Times New Roman" w:hAnsi="Times New Roman" w:cs="Times New Roman" w:hint="eastAsia"/>
          <w:szCs w:val="21"/>
        </w:rPr>
        <w:t>可表示</w:t>
      </w:r>
      <w:r>
        <w:rPr>
          <w:rFonts w:ascii="Times New Roman" w:hAnsi="Times New Roman" w:cs="Times New Roman"/>
          <w:szCs w:val="21"/>
        </w:rPr>
        <w:t>为</w:t>
      </w:r>
    </w:p>
    <w:p w14:paraId="07F96A84" w14:textId="77777777" w:rsidR="004A29BC" w:rsidRDefault="006C600F">
      <w:pPr>
        <w:adjustRightInd w:val="0"/>
        <w:snapToGrid w:val="0"/>
        <w:ind w:firstLineChars="200" w:firstLine="420"/>
        <w:jc w:val="center"/>
        <w:rPr>
          <w:rFonts w:ascii="Times New Roman" w:eastAsia="宋体" w:hAnsi="Cambria Math" w:cs="MathJax_Main"/>
          <w:szCs w:val="21"/>
          <w:shd w:val="clear" w:color="auto" w:fill="FFFFFF"/>
        </w:rPr>
      </w:pPr>
      <w:r>
        <w:rPr>
          <w:rFonts w:asciiTheme="minorEastAsia" w:hAnsiTheme="minorEastAsia"/>
          <w:position w:val="-18"/>
          <w:szCs w:val="21"/>
        </w:rPr>
        <w:object w:dxaOrig="2592" w:dyaOrig="576" w14:anchorId="1FD21763">
          <v:shape id="_x0000_i1026" type="#_x0000_t75" style="width:129.6pt;height:28.8pt" o:ole="">
            <v:imagedata r:id="rId10" o:title=""/>
          </v:shape>
          <o:OLEObject Type="Embed" ProgID="Equation.DSMT4" ShapeID="_x0000_i1026" DrawAspect="Content" ObjectID="_1806902985" r:id="rId11"/>
        </w:object>
      </w:r>
      <w:r>
        <w:rPr>
          <w:rFonts w:hAnsi="Cambria Math" w:cs="MathJax_Main"/>
          <w:szCs w:val="21"/>
          <w:shd w:val="clear" w:color="auto" w:fill="FFFFFF"/>
        </w:rPr>
        <w:t xml:space="preserve">       </w:t>
      </w:r>
      <w:r>
        <w:rPr>
          <w:rFonts w:ascii="Times New Roman" w:eastAsia="宋体" w:hAnsi="Cambria Math" w:cs="MathJax_Main"/>
          <w:szCs w:val="21"/>
          <w:shd w:val="clear" w:color="auto" w:fill="FFFFFF"/>
        </w:rPr>
        <w:t>（</w:t>
      </w:r>
      <w:r>
        <w:rPr>
          <w:rFonts w:ascii="Times New Roman" w:eastAsia="宋体" w:hAnsi="Cambria Math" w:cs="MathJax_Main"/>
          <w:szCs w:val="21"/>
          <w:shd w:val="clear" w:color="auto" w:fill="FFFFFF"/>
        </w:rPr>
        <w:t>1</w:t>
      </w:r>
      <w:r>
        <w:rPr>
          <w:rFonts w:ascii="Times New Roman" w:eastAsia="宋体" w:hAnsi="Cambria Math" w:cs="MathJax_Main"/>
          <w:szCs w:val="21"/>
          <w:shd w:val="clear" w:color="auto" w:fill="FFFFFF"/>
        </w:rPr>
        <w:t>）</w:t>
      </w:r>
    </w:p>
    <w:p w14:paraId="0677FEB5" w14:textId="77777777" w:rsidR="004A29BC" w:rsidRDefault="006C600F">
      <w:pPr>
        <w:pStyle w:val="af5"/>
        <w:adjustRightInd w:val="0"/>
        <w:snapToGrid w:val="0"/>
        <w:spacing w:line="240" w:lineRule="auto"/>
        <w:ind w:firstLineChars="0" w:firstLine="0"/>
        <w:rPr>
          <w:rFonts w:eastAsiaTheme="minorEastAsia"/>
          <w:szCs w:val="21"/>
        </w:rPr>
      </w:pPr>
      <w:r>
        <w:rPr>
          <w:rFonts w:eastAsiaTheme="minorEastAsia" w:hint="eastAsia"/>
          <w:szCs w:val="21"/>
        </w:rPr>
        <w:t>其中</w:t>
      </w:r>
      <w:r>
        <w:rPr>
          <w:rFonts w:eastAsiaTheme="minorEastAsia"/>
          <w:szCs w:val="21"/>
        </w:rPr>
        <w:t>，</w:t>
      </w:r>
      <w:r>
        <w:rPr>
          <w:rFonts w:eastAsiaTheme="minorEastAsia"/>
          <w:szCs w:val="21"/>
        </w:rPr>
        <w:t>κ</w:t>
      </w:r>
      <w:r>
        <w:rPr>
          <w:rFonts w:eastAsiaTheme="minorEastAsia"/>
          <w:szCs w:val="21"/>
          <w:vertAlign w:val="subscript"/>
        </w:rPr>
        <w:t>0</w:t>
      </w:r>
      <w:r>
        <w:rPr>
          <w:rFonts w:eastAsiaTheme="minorEastAsia"/>
          <w:szCs w:val="21"/>
        </w:rPr>
        <w:t>=2π/λ</w:t>
      </w:r>
      <w:r>
        <w:rPr>
          <w:rFonts w:eastAsiaTheme="minorEastAsia"/>
          <w:szCs w:val="21"/>
        </w:rPr>
        <w:t>为真空的波数，</w:t>
      </w:r>
      <w:r>
        <w:rPr>
          <w:rFonts w:eastAsiaTheme="minorEastAsia"/>
          <w:szCs w:val="21"/>
        </w:rPr>
        <w:t>ε</w:t>
      </w:r>
      <w:r>
        <w:rPr>
          <w:rFonts w:eastAsiaTheme="minorEastAsia"/>
          <w:szCs w:val="21"/>
          <w:vertAlign w:val="subscript"/>
        </w:rPr>
        <w:t>r</w:t>
      </w:r>
      <w:r>
        <w:rPr>
          <w:rFonts w:eastAsiaTheme="minorEastAsia"/>
          <w:szCs w:val="21"/>
        </w:rPr>
        <w:t>和</w:t>
      </w:r>
      <w:r>
        <w:rPr>
          <w:rFonts w:eastAsiaTheme="minorEastAsia"/>
          <w:szCs w:val="21"/>
        </w:rPr>
        <w:t>μ</w:t>
      </w:r>
      <w:r>
        <w:rPr>
          <w:rFonts w:eastAsiaTheme="minorEastAsia"/>
          <w:szCs w:val="21"/>
          <w:vertAlign w:val="subscript"/>
        </w:rPr>
        <w:t>r</w:t>
      </w:r>
      <w:r>
        <w:rPr>
          <w:rFonts w:ascii="Segoe UI" w:hAnsi="Segoe UI" w:cs="Segoe UI"/>
          <w:color w:val="404040"/>
        </w:rPr>
        <w:t>分别为介质的相对介电常数和相对磁导率。为精确模拟空气孔边界，采用三角形混合单元对光纤端面进行离散化，并基于式（</w:t>
      </w:r>
      <w:r>
        <w:rPr>
          <w:rFonts w:ascii="Segoe UI" w:hAnsi="Segoe UI" w:cs="Segoe UI"/>
          <w:color w:val="404040"/>
        </w:rPr>
        <w:t>1</w:t>
      </w:r>
      <w:r>
        <w:rPr>
          <w:rFonts w:ascii="Segoe UI" w:hAnsi="Segoe UI" w:cs="Segoe UI"/>
          <w:color w:val="404040"/>
        </w:rPr>
        <w:t>）求解单元本征值方程</w:t>
      </w:r>
      <w:r>
        <w:rPr>
          <w:rFonts w:eastAsiaTheme="minorEastAsia"/>
          <w:szCs w:val="21"/>
        </w:rPr>
        <w:t>，即</w:t>
      </w:r>
    </w:p>
    <w:p w14:paraId="4473146F" w14:textId="77777777" w:rsidR="004A29BC" w:rsidRDefault="006C600F">
      <w:pPr>
        <w:pStyle w:val="af5"/>
        <w:adjustRightInd w:val="0"/>
        <w:snapToGrid w:val="0"/>
        <w:spacing w:line="240" w:lineRule="auto"/>
        <w:ind w:firstLineChars="0" w:firstLine="0"/>
        <w:jc w:val="center"/>
      </w:pPr>
      <w:r>
        <w:rPr>
          <w:rFonts w:asciiTheme="minorEastAsia" w:hAnsiTheme="minorEastAsia"/>
          <w:position w:val="-16"/>
          <w:szCs w:val="21"/>
        </w:rPr>
        <w:object w:dxaOrig="2177" w:dyaOrig="576" w14:anchorId="2BC05622">
          <v:shape id="_x0000_i1027" type="#_x0000_t75" style="width:108.95pt;height:28.8pt" o:ole="">
            <v:imagedata r:id="rId12" o:title=""/>
          </v:shape>
          <o:OLEObject Type="Embed" ProgID="Equation.DSMT4" ShapeID="_x0000_i1027" DrawAspect="Content" ObjectID="_1806902986" r:id="rId13"/>
        </w:object>
      </w:r>
      <w:r>
        <w:rPr>
          <w:rFonts w:hAnsi="Cambria Math" w:cs="MathJax_Main" w:hint="eastAsia"/>
          <w:szCs w:val="21"/>
          <w:shd w:val="clear" w:color="auto" w:fill="FFFFFF"/>
        </w:rPr>
        <w:tab/>
        <w:t xml:space="preserve"> </w:t>
      </w:r>
      <w:r>
        <w:rPr>
          <w:rFonts w:hAnsi="Cambria Math" w:cs="MathJax_Main"/>
          <w:szCs w:val="21"/>
          <w:shd w:val="clear" w:color="auto" w:fill="FFFFFF"/>
        </w:rPr>
        <w:t xml:space="preserve">   </w:t>
      </w:r>
      <w:r>
        <w:rPr>
          <w:rFonts w:hAnsi="Cambria Math" w:cs="MathJax_Main"/>
          <w:szCs w:val="21"/>
          <w:shd w:val="clear" w:color="auto" w:fill="FFFFFF"/>
        </w:rPr>
        <w:t>（</w:t>
      </w:r>
      <w:r>
        <w:rPr>
          <w:rFonts w:hAnsi="Cambria Math" w:cs="MathJax_Main"/>
          <w:szCs w:val="21"/>
          <w:shd w:val="clear" w:color="auto" w:fill="FFFFFF"/>
        </w:rPr>
        <w:t>2</w:t>
      </w:r>
      <w:r>
        <w:rPr>
          <w:rFonts w:hAnsi="Cambria Math" w:cs="MathJax_Main"/>
          <w:szCs w:val="21"/>
          <w:shd w:val="clear" w:color="auto" w:fill="FFFFFF"/>
        </w:rPr>
        <w:t>）</w:t>
      </w:r>
    </w:p>
    <w:p w14:paraId="0DE3C663" w14:textId="77777777" w:rsidR="004A29BC" w:rsidRDefault="006C600F">
      <w:pPr>
        <w:pStyle w:val="af5"/>
        <w:adjustRightInd w:val="0"/>
        <w:snapToGrid w:val="0"/>
        <w:spacing w:before="100" w:beforeAutospacing="1" w:after="100" w:afterAutospacing="1" w:line="240" w:lineRule="auto"/>
        <w:ind w:firstLineChars="0" w:firstLine="0"/>
        <w:rPr>
          <w:rFonts w:eastAsiaTheme="minorEastAsia"/>
          <w:szCs w:val="21"/>
        </w:rPr>
      </w:pPr>
      <w:r>
        <w:rPr>
          <w:rFonts w:eastAsiaTheme="minorEastAsia" w:hint="eastAsia"/>
          <w:szCs w:val="21"/>
        </w:rPr>
        <w:t>其中</w:t>
      </w:r>
      <w:r>
        <w:rPr>
          <w:rFonts w:eastAsiaTheme="minorEastAsia"/>
          <w:szCs w:val="21"/>
        </w:rPr>
        <w:t>，</w:t>
      </w:r>
      <w:r>
        <w:rPr>
          <w:rFonts w:eastAsiaTheme="minorEastAsia"/>
          <w:b/>
          <w:i/>
          <w:szCs w:val="21"/>
        </w:rPr>
        <w:t>κ</w:t>
      </w:r>
      <w:r>
        <w:rPr>
          <w:rFonts w:eastAsiaTheme="minorEastAsia"/>
          <w:szCs w:val="21"/>
        </w:rPr>
        <w:t>和</w:t>
      </w:r>
      <w:r>
        <w:rPr>
          <w:rFonts w:eastAsiaTheme="minorEastAsia"/>
          <w:b/>
          <w:i/>
          <w:szCs w:val="21"/>
        </w:rPr>
        <w:t>M</w:t>
      </w:r>
      <w:r>
        <w:rPr>
          <w:rFonts w:eastAsiaTheme="minorEastAsia"/>
          <w:szCs w:val="21"/>
        </w:rPr>
        <w:t>为有限元矩阵。根据</w:t>
      </w:r>
      <w:r>
        <w:rPr>
          <w:rFonts w:eastAsiaTheme="minorEastAsia"/>
          <w:b/>
          <w:i/>
          <w:szCs w:val="21"/>
        </w:rPr>
        <w:t>κ</w:t>
      </w:r>
      <w:r>
        <w:rPr>
          <w:rFonts w:eastAsiaTheme="minorEastAsia"/>
          <w:szCs w:val="21"/>
        </w:rPr>
        <w:t>和</w:t>
      </w:r>
      <w:r>
        <w:rPr>
          <w:rFonts w:eastAsiaTheme="minorEastAsia"/>
          <w:b/>
          <w:i/>
          <w:szCs w:val="21"/>
        </w:rPr>
        <w:t>M</w:t>
      </w:r>
      <w:r>
        <w:rPr>
          <w:rFonts w:eastAsiaTheme="minorEastAsia"/>
          <w:szCs w:val="21"/>
        </w:rPr>
        <w:t>的稀疏矩阵属性对本征值方程进行求解，从而得到</w:t>
      </w:r>
      <w:r>
        <w:rPr>
          <w:rFonts w:eastAsiaTheme="minorEastAsia"/>
          <w:szCs w:val="21"/>
        </w:rPr>
        <w:t>PCF</w:t>
      </w:r>
      <w:r>
        <w:rPr>
          <w:rFonts w:eastAsiaTheme="minorEastAsia"/>
          <w:szCs w:val="21"/>
        </w:rPr>
        <w:t>的基模有效折射率</w:t>
      </w:r>
      <w:r>
        <w:rPr>
          <w:rFonts w:eastAsiaTheme="minorEastAsia"/>
          <w:i/>
          <w:szCs w:val="21"/>
        </w:rPr>
        <w:t>n</w:t>
      </w:r>
      <w:r>
        <w:rPr>
          <w:rFonts w:eastAsiaTheme="minorEastAsia"/>
          <w:i/>
          <w:szCs w:val="21"/>
          <w:vertAlign w:val="subscript"/>
        </w:rPr>
        <w:t>eff</w:t>
      </w:r>
      <w:r>
        <w:rPr>
          <w:rFonts w:eastAsiaTheme="minorEastAsia"/>
          <w:szCs w:val="21"/>
        </w:rPr>
        <w:t>。</w:t>
      </w:r>
    </w:p>
    <w:p w14:paraId="763E7231"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Segoe UI" w:hAnsi="Segoe UI" w:cs="Segoe UI"/>
          <w:color w:val="404040"/>
        </w:rPr>
        <w:t>本文利用</w:t>
      </w:r>
      <w:r>
        <w:rPr>
          <w:rFonts w:ascii="Segoe UI" w:hAnsi="Segoe UI" w:cs="Segoe UI"/>
          <w:color w:val="404040"/>
        </w:rPr>
        <w:t>COMSOL Multiphysics 5.6</w:t>
      </w:r>
      <w:r>
        <w:rPr>
          <w:rFonts w:ascii="Segoe UI" w:hAnsi="Segoe UI" w:cs="Segoe UI"/>
          <w:color w:val="404040"/>
        </w:rPr>
        <w:t>软件对所设计的</w:t>
      </w:r>
      <w:r>
        <w:rPr>
          <w:rFonts w:ascii="Segoe UI" w:hAnsi="Segoe UI" w:cs="Segoe UI"/>
          <w:color w:val="404040"/>
        </w:rPr>
        <w:t>PCF</w:t>
      </w:r>
      <w:r>
        <w:rPr>
          <w:rFonts w:ascii="Segoe UI" w:hAnsi="Segoe UI" w:cs="Segoe UI"/>
          <w:color w:val="404040"/>
        </w:rPr>
        <w:t>结构进行仿真分析。固定参数</w:t>
      </w:r>
      <w:r>
        <w:rPr>
          <w:rFonts w:ascii="Times New Roman" w:hAnsi="Times New Roman" w:cs="Times New Roman"/>
          <w:szCs w:val="21"/>
        </w:rPr>
        <w:t>P=0.62</w:t>
      </w:r>
      <w:r>
        <w:rPr>
          <w:rFonts w:ascii="Times New Roman" w:hAnsi="Times New Roman" w:cs="Times New Roman"/>
          <w:bCs/>
          <w:szCs w:val="21"/>
        </w:rPr>
        <w:t>μm</w:t>
      </w:r>
      <w:r>
        <w:rPr>
          <w:rFonts w:ascii="Times New Roman" w:hAnsi="Times New Roman" w:cs="Times New Roman"/>
          <w:szCs w:val="21"/>
        </w:rPr>
        <w:t>和</w:t>
      </w:r>
      <w:r>
        <w:rPr>
          <w:rFonts w:ascii="Times New Roman" w:hAnsi="Times New Roman" w:cs="Times New Roman"/>
          <w:szCs w:val="21"/>
        </w:rPr>
        <w:t>Ʌ=1.24μm</w:t>
      </w:r>
      <w:r>
        <w:rPr>
          <w:rFonts w:ascii="Times New Roman" w:hAnsi="Times New Roman" w:cs="Times New Roman"/>
          <w:szCs w:val="21"/>
        </w:rPr>
        <w:t>，</w:t>
      </w:r>
      <w:r>
        <w:rPr>
          <w:rFonts w:ascii="Times New Roman" w:hAnsi="Times New Roman" w:cs="Times New Roman" w:hint="eastAsia"/>
          <w:szCs w:val="21"/>
        </w:rPr>
        <w:t>优化</w:t>
      </w:r>
      <w:r>
        <w:rPr>
          <w:rFonts w:ascii="Times New Roman" w:hAnsi="Times New Roman" w:cs="Times New Roman"/>
          <w:szCs w:val="21"/>
        </w:rPr>
        <w:t>结构参数至</w:t>
      </w:r>
      <w:r>
        <w:rPr>
          <w:rFonts w:ascii="Times New Roman" w:hAnsi="Times New Roman" w:cs="Times New Roman"/>
          <w:szCs w:val="21"/>
        </w:rPr>
        <w:t>d/Ʌ=0.96, b=3.5μm</w:t>
      </w:r>
      <w:r>
        <w:rPr>
          <w:rFonts w:ascii="Times New Roman" w:hAnsi="Times New Roman" w:cs="Times New Roman"/>
          <w:szCs w:val="21"/>
        </w:rPr>
        <w:t>，</w:t>
      </w:r>
      <w:r>
        <w:rPr>
          <w:rFonts w:ascii="Times New Roman" w:hAnsi="Times New Roman" w:cs="Times New Roman"/>
          <w:szCs w:val="21"/>
        </w:rPr>
        <w:t>α=0.6μm</w:t>
      </w:r>
      <w:r>
        <w:rPr>
          <w:rFonts w:ascii="Times New Roman" w:hAnsi="Times New Roman" w:cs="Times New Roman"/>
          <w:szCs w:val="21"/>
        </w:rPr>
        <w:t>，并分别将光纤纤芯填充乙醇、水和苯，</w:t>
      </w:r>
      <w:r>
        <w:rPr>
          <w:rFonts w:ascii="Times New Roman" w:hAnsi="Times New Roman" w:cs="Times New Roman" w:hint="eastAsia"/>
          <w:szCs w:val="21"/>
        </w:rPr>
        <w:t>研究</w:t>
      </w:r>
      <w:r>
        <w:rPr>
          <w:rFonts w:ascii="Times New Roman" w:hAnsi="Times New Roman" w:cs="Times New Roman"/>
          <w:szCs w:val="21"/>
        </w:rPr>
        <w:t>其在</w:t>
      </w:r>
      <w:r>
        <w:rPr>
          <w:rFonts w:ascii="Times New Roman" w:hAnsi="Times New Roman" w:cs="Times New Roman"/>
          <w:szCs w:val="21"/>
        </w:rPr>
        <w:t>1.55μm</w:t>
      </w:r>
      <w:r>
        <w:rPr>
          <w:rFonts w:ascii="Times New Roman" w:hAnsi="Times New Roman" w:cs="Times New Roman"/>
          <w:szCs w:val="21"/>
        </w:rPr>
        <w:t>波长</w:t>
      </w:r>
      <w:r>
        <w:rPr>
          <w:rFonts w:ascii="Times New Roman" w:hAnsi="Times New Roman" w:cs="Times New Roman" w:hint="eastAsia"/>
          <w:szCs w:val="21"/>
        </w:rPr>
        <w:t>下</w:t>
      </w:r>
      <w:r>
        <w:rPr>
          <w:rFonts w:ascii="Times New Roman" w:hAnsi="Times New Roman" w:cs="Times New Roman"/>
          <w:szCs w:val="21"/>
        </w:rPr>
        <w:t>的模场分布，如图</w:t>
      </w:r>
      <w:r>
        <w:rPr>
          <w:rFonts w:ascii="Times New Roman" w:hAnsi="Times New Roman" w:cs="Times New Roman"/>
          <w:szCs w:val="21"/>
        </w:rPr>
        <w:t xml:space="preserve">2 </w:t>
      </w:r>
      <w:r>
        <w:rPr>
          <w:rFonts w:ascii="Times New Roman" w:hAnsi="Times New Roman" w:cs="Times New Roman"/>
          <w:szCs w:val="21"/>
        </w:rPr>
        <w:t>所示。</w:t>
      </w:r>
      <w:r>
        <w:rPr>
          <w:rFonts w:ascii="Times New Roman" w:hAnsi="Times New Roman" w:cs="Times New Roman" w:hint="eastAsia"/>
          <w:szCs w:val="21"/>
        </w:rPr>
        <w:t>可以</w:t>
      </w:r>
      <w:r>
        <w:rPr>
          <w:rFonts w:ascii="Times New Roman" w:hAnsi="Times New Roman" w:cs="Times New Roman"/>
          <w:szCs w:val="21"/>
        </w:rPr>
        <w:t>看出，对于</w:t>
      </w:r>
      <w:r>
        <w:rPr>
          <w:rFonts w:ascii="Times New Roman" w:hAnsi="Times New Roman" w:cs="Times New Roman" w:hint="eastAsia"/>
          <w:szCs w:val="21"/>
        </w:rPr>
        <w:t>3</w:t>
      </w:r>
      <w:r>
        <w:rPr>
          <w:rFonts w:ascii="Times New Roman" w:hAnsi="Times New Roman" w:cs="Times New Roman"/>
          <w:szCs w:val="21"/>
        </w:rPr>
        <w:t>种不同的分析物，光能量被有效地集中在光纤的纤芯区域，</w:t>
      </w:r>
      <w:r>
        <w:rPr>
          <w:rFonts w:ascii="Times New Roman" w:hAnsi="Times New Roman" w:cs="Times New Roman" w:hint="eastAsia"/>
          <w:szCs w:val="21"/>
        </w:rPr>
        <w:t>2</w:t>
      </w:r>
      <w:r>
        <w:rPr>
          <w:rFonts w:ascii="Times New Roman" w:hAnsi="Times New Roman" w:cs="Times New Roman"/>
          <w:szCs w:val="21"/>
        </w:rPr>
        <w:t>个偏振模场分布的形状存在显著的差异，这一特性</w:t>
      </w:r>
      <w:r>
        <w:rPr>
          <w:rFonts w:ascii="Times New Roman" w:hAnsi="Times New Roman" w:cs="Times New Roman" w:hint="eastAsia"/>
          <w:szCs w:val="21"/>
        </w:rPr>
        <w:t>引发</w:t>
      </w:r>
      <w:r>
        <w:rPr>
          <w:rFonts w:ascii="Times New Roman" w:hAnsi="Times New Roman" w:cs="Times New Roman"/>
          <w:szCs w:val="21"/>
        </w:rPr>
        <w:t>了光纤结构产生双折射现象。双折射现象不仅能够提高光纤结构的稳定性，还可能在特定应用中发挥其独特优势。接下来，通过进一步调整结构参数，分析这些参数对光纤灵敏度的影响。同时，在找到最佳结构参数后，将对光纤的双折射和限制损耗等性能进行了研究。</w:t>
      </w:r>
    </w:p>
    <w:p w14:paraId="54AFC4C6" w14:textId="77777777" w:rsidR="004A29BC" w:rsidRDefault="006C600F">
      <w:pPr>
        <w:adjustRightInd w:val="0"/>
        <w:snapToGrid w:val="0"/>
        <w:jc w:val="center"/>
        <w:rPr>
          <w:rFonts w:ascii="CharisSIL" w:hAnsi="CharisSIL" w:hint="eastAsia"/>
          <w:sz w:val="24"/>
          <w:szCs w:val="24"/>
        </w:rPr>
      </w:pPr>
      <w:r>
        <w:rPr>
          <w:noProof/>
        </w:rPr>
        <w:drawing>
          <wp:inline distT="0" distB="0" distL="0" distR="0">
            <wp:extent cx="2864485" cy="1421130"/>
            <wp:effectExtent l="0" t="0" r="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5951" cy="1451789"/>
                    </a:xfrm>
                    <a:prstGeom prst="rect">
                      <a:avLst/>
                    </a:prstGeom>
                  </pic:spPr>
                </pic:pic>
              </a:graphicData>
            </a:graphic>
          </wp:inline>
        </w:drawing>
      </w:r>
    </w:p>
    <w:p w14:paraId="761CCD3F" w14:textId="77777777" w:rsidR="004A29BC" w:rsidRDefault="006C600F">
      <w:pPr>
        <w:adjustRightInd w:val="0"/>
        <w:snapToGrid w:val="0"/>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 xml:space="preserve">2 </w:t>
      </w:r>
      <w:r>
        <w:rPr>
          <w:rFonts w:ascii="Times New Roman" w:hAnsi="Times New Roman" w:cs="Times New Roman"/>
          <w:b/>
          <w:sz w:val="15"/>
          <w:szCs w:val="15"/>
        </w:rPr>
        <w:t>在</w:t>
      </w:r>
      <w:r>
        <w:rPr>
          <w:rFonts w:ascii="Times New Roman" w:hAnsi="Times New Roman" w:cs="Times New Roman"/>
          <w:b/>
          <w:sz w:val="15"/>
          <w:szCs w:val="15"/>
        </w:rPr>
        <w:t xml:space="preserve">1.55 µm </w:t>
      </w:r>
      <w:r>
        <w:rPr>
          <w:rFonts w:ascii="Times New Roman" w:hAnsi="Times New Roman" w:cs="Times New Roman"/>
          <w:b/>
          <w:sz w:val="15"/>
          <w:szCs w:val="15"/>
        </w:rPr>
        <w:t>波长下的模式分布，（</w:t>
      </w:r>
      <w:r>
        <w:rPr>
          <w:rFonts w:ascii="Times New Roman" w:hAnsi="Times New Roman" w:cs="Times New Roman"/>
          <w:b/>
          <w:sz w:val="15"/>
          <w:szCs w:val="15"/>
        </w:rPr>
        <w:t>a</w:t>
      </w:r>
      <w:r>
        <w:rPr>
          <w:rFonts w:ascii="Times New Roman" w:hAnsi="Times New Roman" w:cs="Times New Roman"/>
          <w:b/>
          <w:sz w:val="15"/>
          <w:szCs w:val="15"/>
        </w:rPr>
        <w:t>）水、</w:t>
      </w:r>
      <w:r>
        <w:rPr>
          <w:rFonts w:ascii="Times New Roman" w:hAnsi="Times New Roman" w:cs="Times New Roman"/>
          <w:b/>
          <w:sz w:val="15"/>
          <w:szCs w:val="15"/>
        </w:rPr>
        <w:t>x-</w:t>
      </w:r>
      <w:r>
        <w:rPr>
          <w:rFonts w:ascii="Times New Roman" w:hAnsi="Times New Roman" w:cs="Times New Roman"/>
          <w:b/>
          <w:sz w:val="15"/>
          <w:szCs w:val="15"/>
        </w:rPr>
        <w:t>偏振</w:t>
      </w:r>
      <w:r>
        <w:rPr>
          <w:rFonts w:ascii="Times New Roman" w:hAnsi="Times New Roman" w:cs="Times New Roman"/>
          <w:b/>
          <w:sz w:val="15"/>
          <w:szCs w:val="15"/>
        </w:rPr>
        <w:t xml:space="preserve"> </w:t>
      </w:r>
      <w:r>
        <w:rPr>
          <w:rFonts w:ascii="Times New Roman" w:hAnsi="Times New Roman" w:cs="Times New Roman"/>
          <w:b/>
          <w:sz w:val="15"/>
          <w:szCs w:val="15"/>
        </w:rPr>
        <w:t>（</w:t>
      </w:r>
      <w:r>
        <w:rPr>
          <w:rFonts w:ascii="Times New Roman" w:hAnsi="Times New Roman" w:cs="Times New Roman"/>
          <w:b/>
          <w:sz w:val="15"/>
          <w:szCs w:val="15"/>
        </w:rPr>
        <w:t>b</w:t>
      </w:r>
      <w:r>
        <w:rPr>
          <w:rFonts w:ascii="Times New Roman" w:hAnsi="Times New Roman" w:cs="Times New Roman"/>
          <w:b/>
          <w:sz w:val="15"/>
          <w:szCs w:val="15"/>
        </w:rPr>
        <w:t>）水、</w:t>
      </w:r>
      <w:r>
        <w:rPr>
          <w:rFonts w:ascii="Times New Roman" w:hAnsi="Times New Roman" w:cs="Times New Roman"/>
          <w:b/>
          <w:sz w:val="15"/>
          <w:szCs w:val="15"/>
        </w:rPr>
        <w:t>y-</w:t>
      </w:r>
      <w:r>
        <w:rPr>
          <w:rFonts w:ascii="Times New Roman" w:hAnsi="Times New Roman" w:cs="Times New Roman"/>
          <w:b/>
          <w:sz w:val="15"/>
          <w:szCs w:val="15"/>
        </w:rPr>
        <w:t>偏振</w:t>
      </w:r>
      <w:r>
        <w:rPr>
          <w:rFonts w:ascii="Times New Roman" w:hAnsi="Times New Roman" w:cs="Times New Roman"/>
          <w:b/>
          <w:sz w:val="15"/>
          <w:szCs w:val="15"/>
        </w:rPr>
        <w:t xml:space="preserve"> </w:t>
      </w:r>
      <w:r>
        <w:rPr>
          <w:rFonts w:ascii="Times New Roman" w:hAnsi="Times New Roman" w:cs="Times New Roman"/>
          <w:b/>
          <w:sz w:val="15"/>
          <w:szCs w:val="15"/>
        </w:rPr>
        <w:t>（</w:t>
      </w:r>
      <w:r>
        <w:rPr>
          <w:rFonts w:ascii="Times New Roman" w:hAnsi="Times New Roman" w:cs="Times New Roman"/>
          <w:b/>
          <w:sz w:val="15"/>
          <w:szCs w:val="15"/>
        </w:rPr>
        <w:t>c</w:t>
      </w:r>
      <w:r>
        <w:rPr>
          <w:rFonts w:ascii="Times New Roman" w:hAnsi="Times New Roman" w:cs="Times New Roman"/>
          <w:b/>
          <w:sz w:val="15"/>
          <w:szCs w:val="15"/>
        </w:rPr>
        <w:t>）乙醇、</w:t>
      </w:r>
      <w:r>
        <w:rPr>
          <w:rFonts w:ascii="Times New Roman" w:hAnsi="Times New Roman" w:cs="Times New Roman"/>
          <w:b/>
          <w:sz w:val="15"/>
          <w:szCs w:val="15"/>
        </w:rPr>
        <w:t>x-</w:t>
      </w:r>
      <w:r>
        <w:rPr>
          <w:rFonts w:ascii="Times New Roman" w:hAnsi="Times New Roman" w:cs="Times New Roman"/>
          <w:b/>
          <w:sz w:val="15"/>
          <w:szCs w:val="15"/>
        </w:rPr>
        <w:t>偏振</w:t>
      </w:r>
      <w:r>
        <w:rPr>
          <w:rFonts w:ascii="Times New Roman" w:hAnsi="Times New Roman" w:cs="Times New Roman"/>
          <w:b/>
          <w:sz w:val="15"/>
          <w:szCs w:val="15"/>
        </w:rPr>
        <w:t xml:space="preserve"> </w:t>
      </w:r>
      <w:r>
        <w:rPr>
          <w:rFonts w:ascii="Times New Roman" w:hAnsi="Times New Roman" w:cs="Times New Roman"/>
          <w:b/>
          <w:sz w:val="15"/>
          <w:szCs w:val="15"/>
        </w:rPr>
        <w:t>（</w:t>
      </w:r>
      <w:r>
        <w:rPr>
          <w:rFonts w:ascii="Times New Roman" w:hAnsi="Times New Roman" w:cs="Times New Roman"/>
          <w:b/>
          <w:sz w:val="15"/>
          <w:szCs w:val="15"/>
        </w:rPr>
        <w:t>d</w:t>
      </w:r>
      <w:r>
        <w:rPr>
          <w:rFonts w:ascii="Times New Roman" w:hAnsi="Times New Roman" w:cs="Times New Roman"/>
          <w:b/>
          <w:sz w:val="15"/>
          <w:szCs w:val="15"/>
        </w:rPr>
        <w:t>）乙醇、</w:t>
      </w:r>
      <w:r>
        <w:rPr>
          <w:rFonts w:ascii="Times New Roman" w:hAnsi="Times New Roman" w:cs="Times New Roman"/>
          <w:b/>
          <w:sz w:val="15"/>
          <w:szCs w:val="15"/>
        </w:rPr>
        <w:t>y-</w:t>
      </w:r>
      <w:r>
        <w:rPr>
          <w:rFonts w:ascii="Times New Roman" w:hAnsi="Times New Roman" w:cs="Times New Roman"/>
          <w:b/>
          <w:sz w:val="15"/>
          <w:szCs w:val="15"/>
        </w:rPr>
        <w:t>偏振</w:t>
      </w:r>
      <w:r>
        <w:rPr>
          <w:rFonts w:ascii="Times New Roman" w:hAnsi="Times New Roman" w:cs="Times New Roman"/>
          <w:b/>
          <w:sz w:val="15"/>
          <w:szCs w:val="15"/>
        </w:rPr>
        <w:t xml:space="preserve"> </w:t>
      </w:r>
      <w:r>
        <w:rPr>
          <w:rFonts w:ascii="Times New Roman" w:hAnsi="Times New Roman" w:cs="Times New Roman"/>
          <w:b/>
          <w:sz w:val="15"/>
          <w:szCs w:val="15"/>
        </w:rPr>
        <w:t>（</w:t>
      </w:r>
      <w:r>
        <w:rPr>
          <w:rFonts w:ascii="Times New Roman" w:hAnsi="Times New Roman" w:cs="Times New Roman"/>
          <w:b/>
          <w:sz w:val="15"/>
          <w:szCs w:val="15"/>
        </w:rPr>
        <w:t>e</w:t>
      </w:r>
      <w:r>
        <w:rPr>
          <w:rFonts w:ascii="Times New Roman" w:hAnsi="Times New Roman" w:cs="Times New Roman"/>
          <w:b/>
          <w:sz w:val="15"/>
          <w:szCs w:val="15"/>
        </w:rPr>
        <w:t>）苯、</w:t>
      </w:r>
      <w:r>
        <w:rPr>
          <w:rFonts w:ascii="Times New Roman" w:hAnsi="Times New Roman" w:cs="Times New Roman"/>
          <w:b/>
          <w:sz w:val="15"/>
          <w:szCs w:val="15"/>
        </w:rPr>
        <w:t>x-</w:t>
      </w:r>
      <w:r>
        <w:rPr>
          <w:rFonts w:ascii="Times New Roman" w:hAnsi="Times New Roman" w:cs="Times New Roman"/>
          <w:b/>
          <w:sz w:val="15"/>
          <w:szCs w:val="15"/>
        </w:rPr>
        <w:t>偏振</w:t>
      </w:r>
      <w:r>
        <w:rPr>
          <w:rFonts w:ascii="Times New Roman" w:hAnsi="Times New Roman" w:cs="Times New Roman"/>
          <w:b/>
          <w:sz w:val="15"/>
          <w:szCs w:val="15"/>
        </w:rPr>
        <w:t xml:space="preserve"> </w:t>
      </w:r>
      <w:r>
        <w:rPr>
          <w:rFonts w:ascii="Times New Roman" w:hAnsi="Times New Roman" w:cs="Times New Roman"/>
          <w:b/>
          <w:sz w:val="15"/>
          <w:szCs w:val="15"/>
        </w:rPr>
        <w:t>（</w:t>
      </w:r>
      <w:r>
        <w:rPr>
          <w:rFonts w:ascii="Times New Roman" w:hAnsi="Times New Roman" w:cs="Times New Roman"/>
          <w:b/>
          <w:sz w:val="15"/>
          <w:szCs w:val="15"/>
        </w:rPr>
        <w:t>f</w:t>
      </w:r>
      <w:r>
        <w:rPr>
          <w:rFonts w:ascii="Times New Roman" w:hAnsi="Times New Roman" w:cs="Times New Roman"/>
          <w:b/>
          <w:sz w:val="15"/>
          <w:szCs w:val="15"/>
        </w:rPr>
        <w:t>）苯、</w:t>
      </w:r>
      <w:r>
        <w:rPr>
          <w:rFonts w:ascii="Times New Roman" w:hAnsi="Times New Roman" w:cs="Times New Roman"/>
          <w:b/>
          <w:sz w:val="15"/>
          <w:szCs w:val="15"/>
        </w:rPr>
        <w:t>y-</w:t>
      </w:r>
      <w:r>
        <w:rPr>
          <w:rFonts w:ascii="Times New Roman" w:hAnsi="Times New Roman" w:cs="Times New Roman"/>
          <w:b/>
          <w:sz w:val="15"/>
          <w:szCs w:val="15"/>
        </w:rPr>
        <w:t>偏振</w:t>
      </w:r>
    </w:p>
    <w:p w14:paraId="49FAEA9D" w14:textId="77777777" w:rsidR="004A29BC" w:rsidRDefault="006C600F">
      <w:pPr>
        <w:adjustRightInd w:val="0"/>
        <w:snapToGrid w:val="0"/>
        <w:spacing w:before="100" w:beforeAutospacing="1" w:after="100" w:afterAutospacing="1"/>
        <w:jc w:val="left"/>
        <w:rPr>
          <w:rFonts w:asciiTheme="minorEastAsia" w:hAnsiTheme="minorEastAsia"/>
          <w:b/>
          <w:szCs w:val="21"/>
        </w:rPr>
      </w:pPr>
      <w:r>
        <w:rPr>
          <w:rFonts w:asciiTheme="minorEastAsia" w:hAnsiTheme="minorEastAsia"/>
          <w:b/>
          <w:szCs w:val="21"/>
        </w:rPr>
        <w:t>2.1 灵敏度分析</w:t>
      </w:r>
    </w:p>
    <w:p w14:paraId="3A076546" w14:textId="77777777" w:rsidR="004A29BC" w:rsidRDefault="006C600F">
      <w:pPr>
        <w:pStyle w:val="ad"/>
        <w:adjustRightInd w:val="0"/>
        <w:snapToGrid w:val="0"/>
        <w:ind w:firstLine="420"/>
        <w:rPr>
          <w:rFonts w:ascii="Times New Roman" w:hAnsi="Times New Roman" w:cs="Times New Roman"/>
          <w:szCs w:val="21"/>
          <w:shd w:val="clear" w:color="auto" w:fill="FFFFFF"/>
        </w:rPr>
      </w:pPr>
      <w:r>
        <w:rPr>
          <w:rFonts w:ascii="Segoe UI" w:hAnsi="Segoe UI" w:cs="Segoe UI"/>
          <w:color w:val="404040"/>
          <w:sz w:val="21"/>
          <w:szCs w:val="21"/>
        </w:rPr>
        <w:t>本文深入研究了矩形空气孔中分别填充乙醇、水和苯的光子晶体光纤的传感性能。为消除温度对分析物折射率的干扰，实验在恒温</w:t>
      </w:r>
      <w:r>
        <w:rPr>
          <w:rFonts w:ascii="Segoe UI" w:hAnsi="Segoe UI" w:cs="Segoe UI"/>
          <w:color w:val="404040"/>
          <w:sz w:val="21"/>
          <w:szCs w:val="21"/>
        </w:rPr>
        <w:t>20</w:t>
      </w:r>
      <w:r>
        <w:rPr>
          <w:rFonts w:ascii="微软雅黑" w:eastAsia="微软雅黑" w:hAnsi="微软雅黑" w:cs="微软雅黑" w:hint="eastAsia"/>
          <w:color w:val="404040"/>
          <w:sz w:val="21"/>
          <w:szCs w:val="21"/>
        </w:rPr>
        <w:t>℃</w:t>
      </w:r>
      <w:r>
        <w:rPr>
          <w:rFonts w:ascii="Segoe UI" w:hAnsi="Segoe UI" w:cs="Segoe UI"/>
          <w:color w:val="404040"/>
          <w:sz w:val="21"/>
          <w:szCs w:val="21"/>
        </w:rPr>
        <w:t>条件下进行，此时乙醇、水和苯的折射率分别为</w:t>
      </w:r>
      <w:r>
        <w:rPr>
          <w:rFonts w:ascii="Segoe UI" w:hAnsi="Segoe UI" w:cs="Segoe UI"/>
          <w:color w:val="404040"/>
          <w:sz w:val="21"/>
          <w:szCs w:val="21"/>
        </w:rPr>
        <w:t>1.354</w:t>
      </w:r>
      <w:r>
        <w:rPr>
          <w:rFonts w:ascii="Segoe UI" w:hAnsi="Segoe UI" w:cs="Segoe UI"/>
          <w:color w:val="404040"/>
          <w:sz w:val="21"/>
          <w:szCs w:val="21"/>
        </w:rPr>
        <w:t>、</w:t>
      </w:r>
      <w:r>
        <w:rPr>
          <w:rFonts w:ascii="Segoe UI" w:hAnsi="Segoe UI" w:cs="Segoe UI"/>
          <w:color w:val="404040"/>
          <w:sz w:val="21"/>
          <w:szCs w:val="21"/>
        </w:rPr>
        <w:t>1.33</w:t>
      </w:r>
      <w:r>
        <w:rPr>
          <w:rFonts w:ascii="Segoe UI" w:hAnsi="Segoe UI" w:cs="Segoe UI"/>
          <w:color w:val="404040"/>
          <w:sz w:val="21"/>
          <w:szCs w:val="21"/>
        </w:rPr>
        <w:t>和</w:t>
      </w:r>
      <w:r>
        <w:rPr>
          <w:rFonts w:ascii="Segoe UI" w:hAnsi="Segoe UI" w:cs="Segoe UI"/>
          <w:color w:val="404040"/>
          <w:sz w:val="21"/>
          <w:szCs w:val="21"/>
        </w:rPr>
        <w:t>1.366</w:t>
      </w:r>
      <w:r>
        <w:rPr>
          <w:rFonts w:ascii="Segoe UI" w:hAnsi="Segoe UI" w:cs="Segoe UI"/>
          <w:color w:val="404040"/>
          <w:sz w:val="21"/>
          <w:szCs w:val="21"/>
        </w:rPr>
        <w:t>。在结构参数优化方面，研究证实孔间距对灵敏度系数及波导特性具有重要影响。基于文献</w:t>
      </w:r>
      <w:r>
        <w:rPr>
          <w:rFonts w:ascii="Segoe UI" w:hAnsi="Segoe UI" w:cs="Segoe UI"/>
          <w:color w:val="404040"/>
          <w:sz w:val="21"/>
          <w:szCs w:val="21"/>
        </w:rPr>
        <w:t>[16]</w:t>
      </w:r>
      <w:r>
        <w:rPr>
          <w:rFonts w:ascii="Segoe UI" w:hAnsi="Segoe UI" w:cs="Segoe UI"/>
          <w:color w:val="404040"/>
          <w:sz w:val="21"/>
          <w:szCs w:val="21"/>
        </w:rPr>
        <w:t>的研究结论，当圆形空气孔间距</w:t>
      </w:r>
      <w:r>
        <w:rPr>
          <w:rFonts w:ascii="Segoe UI" w:hAnsi="Segoe UI" w:cs="Segoe UI"/>
          <w:color w:val="404040"/>
          <w:sz w:val="21"/>
          <w:szCs w:val="21"/>
        </w:rPr>
        <w:t>Λ=1.24 μm</w:t>
      </w:r>
      <w:r>
        <w:rPr>
          <w:rFonts w:ascii="Segoe UI" w:hAnsi="Segoe UI" w:cs="Segoe UI"/>
          <w:color w:val="404040"/>
          <w:sz w:val="21"/>
          <w:szCs w:val="21"/>
        </w:rPr>
        <w:t>、矩形空气孔间距</w:t>
      </w:r>
      <w:r>
        <w:rPr>
          <w:rFonts w:ascii="Segoe UI" w:hAnsi="Segoe UI" w:cs="Segoe UI"/>
          <w:color w:val="404040"/>
          <w:sz w:val="21"/>
          <w:szCs w:val="21"/>
        </w:rPr>
        <w:t>p=0.62 μm</w:t>
      </w:r>
      <w:r>
        <w:rPr>
          <w:rFonts w:ascii="Segoe UI" w:hAnsi="Segoe UI" w:cs="Segoe UI"/>
          <w:color w:val="404040"/>
          <w:sz w:val="21"/>
          <w:szCs w:val="21"/>
        </w:rPr>
        <w:t>时，可获得最优的灵敏度和双折射特性。在固定</w:t>
      </w:r>
      <w:r>
        <w:rPr>
          <w:rFonts w:ascii="Segoe UI" w:hAnsi="Segoe UI" w:cs="Segoe UI"/>
          <w:color w:val="404040"/>
          <w:sz w:val="21"/>
          <w:szCs w:val="21"/>
        </w:rPr>
        <w:t>d/Λ=0.96</w:t>
      </w:r>
      <w:r>
        <w:rPr>
          <w:rFonts w:ascii="Segoe UI" w:hAnsi="Segoe UI" w:cs="Segoe UI"/>
          <w:color w:val="404040"/>
          <w:sz w:val="21"/>
          <w:szCs w:val="21"/>
        </w:rPr>
        <w:t>、</w:t>
      </w:r>
      <w:r>
        <w:rPr>
          <w:rFonts w:ascii="Segoe UI" w:hAnsi="Segoe UI" w:cs="Segoe UI"/>
          <w:color w:val="404040"/>
          <w:sz w:val="21"/>
          <w:szCs w:val="21"/>
        </w:rPr>
        <w:t>α=0.6 μm</w:t>
      </w:r>
      <w:r>
        <w:rPr>
          <w:rFonts w:ascii="Segoe UI" w:hAnsi="Segoe UI" w:cs="Segoe UI"/>
          <w:color w:val="404040"/>
          <w:sz w:val="21"/>
          <w:szCs w:val="21"/>
        </w:rPr>
        <w:t>的条件下，波长范围</w:t>
      </w:r>
      <w:r>
        <w:rPr>
          <w:rFonts w:ascii="Segoe UI" w:hAnsi="Segoe UI" w:cs="Segoe UI"/>
          <w:color w:val="404040"/>
          <w:sz w:val="21"/>
          <w:szCs w:val="21"/>
        </w:rPr>
        <w:t>1.4~2.0 μm</w:t>
      </w:r>
      <w:r>
        <w:rPr>
          <w:rFonts w:ascii="Segoe UI" w:hAnsi="Segoe UI" w:cs="Segoe UI"/>
          <w:color w:val="404040"/>
          <w:sz w:val="21"/>
          <w:szCs w:val="21"/>
        </w:rPr>
        <w:t>内的灵敏度</w:t>
      </w:r>
      <w:r>
        <w:rPr>
          <w:rFonts w:ascii="Segoe UI" w:hAnsi="Segoe UI" w:cs="Segoe UI" w:hint="eastAsia"/>
          <w:color w:val="404040"/>
          <w:sz w:val="21"/>
          <w:szCs w:val="21"/>
        </w:rPr>
        <w:t>随波长</w:t>
      </w:r>
      <w:r>
        <w:rPr>
          <w:rFonts w:ascii="Segoe UI" w:hAnsi="Segoe UI" w:cs="Segoe UI"/>
          <w:color w:val="404040"/>
          <w:sz w:val="21"/>
          <w:szCs w:val="21"/>
        </w:rPr>
        <w:t>的变化关系如图</w:t>
      </w:r>
      <w:r>
        <w:rPr>
          <w:rFonts w:ascii="Segoe UI" w:hAnsi="Segoe UI" w:cs="Segoe UI" w:hint="eastAsia"/>
          <w:color w:val="404040"/>
          <w:sz w:val="21"/>
          <w:szCs w:val="21"/>
        </w:rPr>
        <w:t>3</w:t>
      </w:r>
      <w:r>
        <w:rPr>
          <w:rFonts w:ascii="Segoe UI" w:hAnsi="Segoe UI" w:cs="Segoe UI" w:hint="eastAsia"/>
          <w:color w:val="404040"/>
          <w:sz w:val="21"/>
          <w:szCs w:val="21"/>
        </w:rPr>
        <w:t>所示</w:t>
      </w:r>
      <w:r>
        <w:rPr>
          <w:rFonts w:ascii="Segoe UI" w:hAnsi="Segoe UI" w:cs="Segoe UI"/>
          <w:color w:val="404040"/>
          <w:sz w:val="21"/>
          <w:szCs w:val="21"/>
        </w:rPr>
        <w:t>。</w:t>
      </w:r>
      <w:r>
        <w:rPr>
          <w:rFonts w:ascii="Segoe UI" w:hAnsi="Segoe UI" w:cs="Segoe UI" w:hint="eastAsia"/>
          <w:color w:val="404040"/>
          <w:sz w:val="21"/>
          <w:szCs w:val="21"/>
        </w:rPr>
        <w:t>可</w:t>
      </w:r>
      <w:r>
        <w:rPr>
          <w:rFonts w:ascii="Segoe UI" w:hAnsi="Segoe UI" w:cs="Segoe UI"/>
          <w:color w:val="404040"/>
          <w:sz w:val="21"/>
          <w:szCs w:val="21"/>
        </w:rPr>
        <w:t>以看出：随着波长增大，灵敏度呈下降趋势；而对于相同分析物，灵敏度随矩形宽度</w:t>
      </w:r>
      <w:r>
        <w:rPr>
          <w:rFonts w:ascii="Segoe UI" w:hAnsi="Segoe UI" w:cs="Segoe UI"/>
          <w:color w:val="404040"/>
          <w:sz w:val="21"/>
          <w:szCs w:val="21"/>
        </w:rPr>
        <w:t>b</w:t>
      </w:r>
      <w:r>
        <w:rPr>
          <w:rFonts w:ascii="Segoe UI" w:hAnsi="Segoe UI" w:cs="Segoe UI"/>
          <w:color w:val="404040"/>
          <w:sz w:val="21"/>
          <w:szCs w:val="21"/>
        </w:rPr>
        <w:t>的增加而提升。在</w:t>
      </w:r>
      <w:r>
        <w:rPr>
          <w:rFonts w:ascii="Segoe UI" w:hAnsi="Segoe UI" w:cs="Segoe UI"/>
          <w:color w:val="404040"/>
          <w:sz w:val="21"/>
          <w:szCs w:val="21"/>
        </w:rPr>
        <w:t>1.55 μm</w:t>
      </w:r>
      <w:r>
        <w:rPr>
          <w:rFonts w:ascii="Segoe UI" w:hAnsi="Segoe UI" w:cs="Segoe UI"/>
          <w:color w:val="404040"/>
          <w:sz w:val="21"/>
          <w:szCs w:val="21"/>
        </w:rPr>
        <w:t>特征波长处，水、乙醇和苯的灵敏度分别达到</w:t>
      </w:r>
      <w:r>
        <w:rPr>
          <w:rFonts w:ascii="Segoe UI" w:hAnsi="Segoe UI" w:cs="Segoe UI"/>
          <w:color w:val="404040"/>
          <w:sz w:val="21"/>
          <w:szCs w:val="21"/>
        </w:rPr>
        <w:t>70.8%</w:t>
      </w:r>
      <w:r>
        <w:rPr>
          <w:rFonts w:ascii="Segoe UI" w:hAnsi="Segoe UI" w:cs="Segoe UI"/>
          <w:color w:val="404040"/>
          <w:sz w:val="21"/>
          <w:szCs w:val="21"/>
        </w:rPr>
        <w:t>、</w:t>
      </w:r>
      <w:r>
        <w:rPr>
          <w:rFonts w:ascii="Segoe UI" w:hAnsi="Segoe UI" w:cs="Segoe UI"/>
          <w:color w:val="404040"/>
          <w:sz w:val="21"/>
          <w:szCs w:val="21"/>
        </w:rPr>
        <w:t>73.6%</w:t>
      </w:r>
      <w:r>
        <w:rPr>
          <w:rFonts w:ascii="Segoe UI" w:hAnsi="Segoe UI" w:cs="Segoe UI"/>
          <w:color w:val="404040"/>
          <w:sz w:val="21"/>
          <w:szCs w:val="21"/>
        </w:rPr>
        <w:t>和</w:t>
      </w:r>
      <w:r>
        <w:rPr>
          <w:rFonts w:ascii="Segoe UI" w:hAnsi="Segoe UI" w:cs="Segoe UI"/>
          <w:color w:val="404040"/>
          <w:sz w:val="21"/>
          <w:szCs w:val="21"/>
        </w:rPr>
        <w:t>74.8%</w:t>
      </w:r>
      <w:r>
        <w:rPr>
          <w:rFonts w:ascii="Segoe UI" w:hAnsi="Segoe UI" w:cs="Segoe UI"/>
          <w:color w:val="404040"/>
          <w:sz w:val="21"/>
          <w:szCs w:val="21"/>
        </w:rPr>
        <w:t>。当保持</w:t>
      </w:r>
      <w:r>
        <w:rPr>
          <w:rFonts w:ascii="Segoe UI" w:hAnsi="Segoe UI" w:cs="Segoe UI"/>
          <w:color w:val="404040"/>
          <w:sz w:val="21"/>
          <w:szCs w:val="21"/>
        </w:rPr>
        <w:t>b=3.65 μm</w:t>
      </w:r>
      <w:r>
        <w:rPr>
          <w:rFonts w:ascii="Segoe UI" w:hAnsi="Segoe UI" w:cs="Segoe UI"/>
          <w:color w:val="404040"/>
          <w:sz w:val="21"/>
          <w:szCs w:val="21"/>
        </w:rPr>
        <w:t>和</w:t>
      </w:r>
      <w:r>
        <w:rPr>
          <w:rFonts w:ascii="Segoe UI" w:hAnsi="Segoe UI" w:cs="Segoe UI"/>
          <w:color w:val="404040"/>
          <w:sz w:val="21"/>
          <w:szCs w:val="21"/>
        </w:rPr>
        <w:t>α=0.6 μm</w:t>
      </w:r>
      <w:r>
        <w:rPr>
          <w:rFonts w:ascii="Segoe UI" w:hAnsi="Segoe UI" w:cs="Segoe UI"/>
          <w:color w:val="404040"/>
          <w:sz w:val="21"/>
          <w:szCs w:val="21"/>
        </w:rPr>
        <w:t>时，</w:t>
      </w:r>
      <w:r>
        <w:rPr>
          <w:rFonts w:ascii="Segoe UI" w:hAnsi="Segoe UI" w:cs="Segoe UI" w:hint="eastAsia"/>
          <w:color w:val="404040"/>
          <w:sz w:val="21"/>
          <w:szCs w:val="21"/>
        </w:rPr>
        <w:t>改变包层空气填充比</w:t>
      </w:r>
      <w:r>
        <w:rPr>
          <w:rFonts w:ascii="Segoe UI" w:hAnsi="Segoe UI" w:cs="Segoe UI"/>
          <w:color w:val="404040"/>
          <w:sz w:val="21"/>
          <w:szCs w:val="21"/>
        </w:rPr>
        <w:t>d/Ʌ</w:t>
      </w:r>
      <w:r>
        <w:rPr>
          <w:rFonts w:ascii="Segoe UI" w:hAnsi="Segoe UI" w:cs="Segoe UI" w:hint="eastAsia"/>
          <w:color w:val="404040"/>
          <w:sz w:val="21"/>
          <w:szCs w:val="21"/>
        </w:rPr>
        <w:t>，得</w:t>
      </w:r>
      <w:r>
        <w:rPr>
          <w:rFonts w:ascii="Segoe UI" w:hAnsi="Segoe UI" w:cs="Segoe UI"/>
          <w:color w:val="404040"/>
          <w:sz w:val="21"/>
          <w:szCs w:val="21"/>
        </w:rPr>
        <w:t>到</w:t>
      </w:r>
      <w:r>
        <w:rPr>
          <w:rFonts w:ascii="Segoe UI" w:hAnsi="Segoe UI" w:cs="Segoe UI" w:hint="eastAsia"/>
          <w:color w:val="404040"/>
          <w:sz w:val="21"/>
          <w:szCs w:val="21"/>
        </w:rPr>
        <w:t>灵敏度随波长的变化关系如图</w:t>
      </w:r>
      <w:r>
        <w:rPr>
          <w:rFonts w:ascii="Segoe UI" w:hAnsi="Segoe UI" w:cs="Segoe UI"/>
          <w:color w:val="404040"/>
          <w:sz w:val="21"/>
          <w:szCs w:val="21"/>
        </w:rPr>
        <w:t>4</w:t>
      </w:r>
      <w:r>
        <w:rPr>
          <w:rFonts w:ascii="Segoe UI" w:hAnsi="Segoe UI" w:cs="Segoe UI" w:hint="eastAsia"/>
          <w:color w:val="404040"/>
          <w:sz w:val="21"/>
          <w:szCs w:val="21"/>
        </w:rPr>
        <w:t>所示。可以看出，</w:t>
      </w:r>
      <w:r>
        <w:rPr>
          <w:rFonts w:ascii="Segoe UI" w:hAnsi="Segoe UI" w:cs="Segoe UI"/>
          <w:color w:val="404040"/>
          <w:sz w:val="21"/>
          <w:szCs w:val="21"/>
        </w:rPr>
        <w:t>灵敏度随包层空气填充比</w:t>
      </w:r>
      <w:r>
        <w:rPr>
          <w:rFonts w:ascii="Segoe UI" w:hAnsi="Segoe UI" w:cs="Segoe UI"/>
          <w:color w:val="404040"/>
          <w:sz w:val="21"/>
          <w:szCs w:val="21"/>
        </w:rPr>
        <w:t>d/Λ</w:t>
      </w:r>
      <w:r>
        <w:rPr>
          <w:rFonts w:ascii="Segoe UI" w:hAnsi="Segoe UI" w:cs="Segoe UI"/>
          <w:color w:val="404040"/>
          <w:sz w:val="21"/>
          <w:szCs w:val="21"/>
        </w:rPr>
        <w:t>的增加而提高</w:t>
      </w:r>
      <w:r>
        <w:rPr>
          <w:rFonts w:ascii="Segoe UI" w:hAnsi="Segoe UI" w:cs="Segoe UI" w:hint="eastAsia"/>
          <w:color w:val="404040"/>
          <w:sz w:val="21"/>
          <w:szCs w:val="21"/>
        </w:rPr>
        <w:t>；</w:t>
      </w:r>
      <w:r>
        <w:rPr>
          <w:rFonts w:ascii="Segoe UI" w:hAnsi="Segoe UI" w:cs="Segoe UI"/>
          <w:color w:val="404040"/>
          <w:sz w:val="21"/>
          <w:szCs w:val="21"/>
        </w:rPr>
        <w:t>在相同特征波长下，</w:t>
      </w:r>
      <w:r>
        <w:rPr>
          <w:rFonts w:ascii="Segoe UI" w:hAnsi="Segoe UI" w:cs="Segoe UI" w:hint="eastAsia"/>
          <w:color w:val="404040"/>
          <w:sz w:val="21"/>
          <w:szCs w:val="21"/>
        </w:rPr>
        <w:t>3</w:t>
      </w:r>
      <w:r>
        <w:rPr>
          <w:rFonts w:ascii="Segoe UI" w:hAnsi="Segoe UI" w:cs="Segoe UI"/>
          <w:color w:val="404040"/>
          <w:sz w:val="21"/>
          <w:szCs w:val="21"/>
        </w:rPr>
        <w:t>种分析物的灵敏度分别提升至</w:t>
      </w:r>
      <w:r>
        <w:rPr>
          <w:rFonts w:ascii="Segoe UI" w:hAnsi="Segoe UI" w:cs="Segoe UI"/>
          <w:color w:val="404040"/>
          <w:sz w:val="21"/>
          <w:szCs w:val="21"/>
        </w:rPr>
        <w:t>71.8%</w:t>
      </w:r>
      <w:r>
        <w:rPr>
          <w:rFonts w:ascii="Segoe UI" w:hAnsi="Segoe UI" w:cs="Segoe UI"/>
          <w:color w:val="404040"/>
          <w:sz w:val="21"/>
          <w:szCs w:val="21"/>
        </w:rPr>
        <w:t>、</w:t>
      </w:r>
      <w:r>
        <w:rPr>
          <w:rFonts w:ascii="Segoe UI" w:hAnsi="Segoe UI" w:cs="Segoe UI"/>
          <w:color w:val="404040"/>
          <w:sz w:val="21"/>
          <w:szCs w:val="21"/>
        </w:rPr>
        <w:t>74.5%</w:t>
      </w:r>
      <w:r>
        <w:rPr>
          <w:rFonts w:ascii="Segoe UI" w:hAnsi="Segoe UI" w:cs="Segoe UI"/>
          <w:color w:val="404040"/>
          <w:sz w:val="21"/>
          <w:szCs w:val="21"/>
        </w:rPr>
        <w:t>和</w:t>
      </w:r>
      <w:r>
        <w:rPr>
          <w:rFonts w:ascii="Segoe UI" w:hAnsi="Segoe UI" w:cs="Segoe UI"/>
          <w:color w:val="404040"/>
          <w:sz w:val="21"/>
          <w:szCs w:val="21"/>
        </w:rPr>
        <w:t>75.6%</w:t>
      </w:r>
      <w:r>
        <w:rPr>
          <w:rFonts w:ascii="Segoe UI" w:hAnsi="Segoe UI" w:cs="Segoe UI"/>
          <w:color w:val="404040"/>
          <w:sz w:val="21"/>
          <w:szCs w:val="21"/>
        </w:rPr>
        <w:t>。这种现象源于模态能量在纤芯区域的集中分布，这不仅增强了传感灵敏度，同时保障了光传输的稳定性。</w:t>
      </w:r>
      <w:r>
        <w:rPr>
          <w:rFonts w:ascii="Segoe UI" w:hAnsi="Segoe UI" w:cs="Segoe UI" w:hint="eastAsia"/>
          <w:color w:val="404040"/>
          <w:sz w:val="21"/>
          <w:szCs w:val="21"/>
        </w:rPr>
        <w:t>但是</w:t>
      </w:r>
      <w:r>
        <w:rPr>
          <w:rFonts w:ascii="Segoe UI" w:hAnsi="Segoe UI" w:cs="Segoe UI"/>
          <w:color w:val="404040"/>
          <w:sz w:val="21"/>
          <w:szCs w:val="21"/>
        </w:rPr>
        <w:t>，结构参数的优化存在物理极限。过大的参数值可能导致空气孔重叠，进而影响光纤的制备工艺和使用性能。经综合考量，最终确定最优参数组合为：</w:t>
      </w:r>
      <w:r>
        <w:rPr>
          <w:rFonts w:ascii="Segoe UI" w:hAnsi="Segoe UI" w:cs="Segoe UI"/>
          <w:color w:val="404040"/>
          <w:sz w:val="21"/>
          <w:szCs w:val="21"/>
        </w:rPr>
        <w:t>Λ=1.24 μm</w:t>
      </w:r>
      <w:r>
        <w:rPr>
          <w:rFonts w:ascii="Segoe UI" w:hAnsi="Segoe UI" w:cs="Segoe UI"/>
          <w:color w:val="404040"/>
          <w:sz w:val="21"/>
          <w:szCs w:val="21"/>
        </w:rPr>
        <w:t>、</w:t>
      </w:r>
      <w:r>
        <w:rPr>
          <w:rFonts w:ascii="Segoe UI" w:hAnsi="Segoe UI" w:cs="Segoe UI"/>
          <w:color w:val="404040"/>
          <w:sz w:val="21"/>
          <w:szCs w:val="21"/>
        </w:rPr>
        <w:t>p=0.62 μm</w:t>
      </w:r>
      <w:r>
        <w:rPr>
          <w:rFonts w:ascii="Segoe UI" w:hAnsi="Segoe UI" w:cs="Segoe UI"/>
          <w:color w:val="404040"/>
          <w:sz w:val="21"/>
          <w:szCs w:val="21"/>
        </w:rPr>
        <w:t>、</w:t>
      </w:r>
      <w:r>
        <w:rPr>
          <w:rFonts w:ascii="Segoe UI" w:hAnsi="Segoe UI" w:cs="Segoe UI"/>
          <w:color w:val="404040"/>
          <w:sz w:val="21"/>
          <w:szCs w:val="21"/>
        </w:rPr>
        <w:t>d/Λ=0.98</w:t>
      </w:r>
      <w:r>
        <w:rPr>
          <w:rFonts w:ascii="Segoe UI" w:hAnsi="Segoe UI" w:cs="Segoe UI"/>
          <w:color w:val="404040"/>
          <w:sz w:val="21"/>
          <w:szCs w:val="21"/>
        </w:rPr>
        <w:t>、</w:t>
      </w:r>
      <w:r>
        <w:rPr>
          <w:rFonts w:ascii="Segoe UI" w:hAnsi="Segoe UI" w:cs="Segoe UI"/>
          <w:color w:val="404040"/>
          <w:sz w:val="21"/>
          <w:szCs w:val="21"/>
        </w:rPr>
        <w:t>b=3.65 μm</w:t>
      </w:r>
      <w:r>
        <w:rPr>
          <w:rFonts w:ascii="Segoe UI" w:hAnsi="Segoe UI" w:cs="Segoe UI"/>
          <w:color w:val="404040"/>
          <w:sz w:val="21"/>
          <w:szCs w:val="21"/>
        </w:rPr>
        <w:t>和</w:t>
      </w:r>
      <w:r>
        <w:rPr>
          <w:rFonts w:ascii="Segoe UI" w:hAnsi="Segoe UI" w:cs="Segoe UI"/>
          <w:color w:val="404040"/>
          <w:sz w:val="21"/>
          <w:szCs w:val="21"/>
        </w:rPr>
        <w:t>α=0.6 μm</w:t>
      </w:r>
      <w:r>
        <w:rPr>
          <w:rFonts w:ascii="Segoe UI" w:hAnsi="Segoe UI" w:cs="Segoe UI"/>
          <w:color w:val="404040"/>
          <w:sz w:val="21"/>
          <w:szCs w:val="21"/>
        </w:rPr>
        <w:t>。在此配置下，光纤在</w:t>
      </w:r>
      <w:r>
        <w:rPr>
          <w:rFonts w:ascii="Segoe UI" w:hAnsi="Segoe UI" w:cs="Segoe UI"/>
          <w:color w:val="404040"/>
          <w:sz w:val="21"/>
          <w:szCs w:val="21"/>
        </w:rPr>
        <w:t>1.4~2.0 μm</w:t>
      </w:r>
      <w:r>
        <w:rPr>
          <w:rFonts w:ascii="Segoe UI" w:hAnsi="Segoe UI" w:cs="Segoe UI"/>
          <w:color w:val="404040"/>
          <w:sz w:val="21"/>
          <w:szCs w:val="21"/>
        </w:rPr>
        <w:t>波段对</w:t>
      </w:r>
      <w:r>
        <w:rPr>
          <w:rFonts w:ascii="Segoe UI" w:hAnsi="Segoe UI" w:cs="Segoe UI" w:hint="eastAsia"/>
          <w:color w:val="404040"/>
          <w:sz w:val="21"/>
          <w:szCs w:val="21"/>
        </w:rPr>
        <w:t>3</w:t>
      </w:r>
      <w:r>
        <w:rPr>
          <w:rFonts w:ascii="Segoe UI" w:hAnsi="Segoe UI" w:cs="Segoe UI"/>
          <w:color w:val="404040"/>
          <w:sz w:val="21"/>
          <w:szCs w:val="21"/>
        </w:rPr>
        <w:t>种分析物的灵敏度均保持在</w:t>
      </w:r>
      <w:r>
        <w:rPr>
          <w:rFonts w:ascii="Segoe UI" w:hAnsi="Segoe UI" w:cs="Segoe UI"/>
          <w:color w:val="404040"/>
          <w:sz w:val="21"/>
          <w:szCs w:val="21"/>
        </w:rPr>
        <w:t>69%</w:t>
      </w:r>
      <w:r>
        <w:rPr>
          <w:rFonts w:ascii="Segoe UI" w:hAnsi="Segoe UI" w:cs="Segoe UI"/>
          <w:color w:val="404040"/>
          <w:sz w:val="21"/>
          <w:szCs w:val="21"/>
        </w:rPr>
        <w:t>以上，其中水、乙醇和苯的最低灵敏度分别为</w:t>
      </w:r>
      <w:r>
        <w:rPr>
          <w:rFonts w:ascii="Segoe UI" w:hAnsi="Segoe UI" w:cs="Segoe UI"/>
          <w:color w:val="404040"/>
          <w:sz w:val="21"/>
          <w:szCs w:val="21"/>
        </w:rPr>
        <w:t>69%</w:t>
      </w:r>
      <w:r>
        <w:rPr>
          <w:rFonts w:ascii="Segoe UI" w:hAnsi="Segoe UI" w:cs="Segoe UI"/>
          <w:color w:val="404040"/>
          <w:sz w:val="21"/>
          <w:szCs w:val="21"/>
        </w:rPr>
        <w:t>、</w:t>
      </w:r>
      <w:r>
        <w:rPr>
          <w:rFonts w:ascii="Segoe UI" w:hAnsi="Segoe UI" w:cs="Segoe UI"/>
          <w:color w:val="404040"/>
          <w:sz w:val="21"/>
          <w:szCs w:val="21"/>
        </w:rPr>
        <w:t>71.2%</w:t>
      </w:r>
      <w:r>
        <w:rPr>
          <w:rFonts w:ascii="Segoe UI" w:hAnsi="Segoe UI" w:cs="Segoe UI"/>
          <w:color w:val="404040"/>
          <w:sz w:val="21"/>
          <w:szCs w:val="21"/>
        </w:rPr>
        <w:t>和</w:t>
      </w:r>
      <w:r>
        <w:rPr>
          <w:rFonts w:ascii="Segoe UI" w:hAnsi="Segoe UI" w:cs="Segoe UI"/>
          <w:color w:val="404040"/>
          <w:sz w:val="21"/>
          <w:szCs w:val="21"/>
        </w:rPr>
        <w:t>72.2%</w:t>
      </w:r>
      <w:r>
        <w:rPr>
          <w:rFonts w:ascii="Segoe UI" w:hAnsi="Segoe UI" w:cs="Segoe UI"/>
          <w:color w:val="404040"/>
          <w:sz w:val="21"/>
          <w:szCs w:val="21"/>
        </w:rPr>
        <w:t>。</w:t>
      </w:r>
    </w:p>
    <w:p w14:paraId="48C4F8E8" w14:textId="77777777" w:rsidR="004A29BC" w:rsidRDefault="006C600F">
      <w:pPr>
        <w:adjustRightInd w:val="0"/>
        <w:snapToGrid w:val="0"/>
      </w:pPr>
      <w:r>
        <w:rPr>
          <w:noProof/>
        </w:rPr>
        <w:lastRenderedPageBreak/>
        <w:drawing>
          <wp:inline distT="0" distB="0" distL="0" distR="0">
            <wp:extent cx="2962275" cy="1885315"/>
            <wp:effectExtent l="0" t="0" r="952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962800" cy="1885548"/>
                    </a:xfrm>
                    <a:prstGeom prst="rect">
                      <a:avLst/>
                    </a:prstGeom>
                  </pic:spPr>
                </pic:pic>
              </a:graphicData>
            </a:graphic>
          </wp:inline>
        </w:drawing>
      </w:r>
    </w:p>
    <w:p w14:paraId="478DCB40" w14:textId="77777777" w:rsidR="004A29BC" w:rsidRDefault="006C600F">
      <w:pPr>
        <w:adjustRightInd w:val="0"/>
        <w:snapToGrid w:val="0"/>
        <w:rPr>
          <w:rFonts w:asciiTheme="minorEastAsia" w:hAnsiTheme="minorEastAsia" w:cs="Times New Roman"/>
          <w:b/>
          <w:sz w:val="15"/>
          <w:szCs w:val="15"/>
        </w:rPr>
      </w:pPr>
      <w:r>
        <w:rPr>
          <w:rFonts w:asciiTheme="minorEastAsia" w:hAnsiTheme="minorEastAsia" w:cs="Times New Roman"/>
          <w:b/>
          <w:sz w:val="15"/>
          <w:szCs w:val="15"/>
        </w:rPr>
        <w:t xml:space="preserve">图3 </w:t>
      </w:r>
      <w:r>
        <w:rPr>
          <w:rFonts w:asciiTheme="minorEastAsia" w:hAnsiTheme="minorEastAsia" w:cs="Times New Roman" w:hint="eastAsia"/>
          <w:b/>
          <w:sz w:val="15"/>
          <w:szCs w:val="15"/>
        </w:rPr>
        <w:t>矩形宽度b不同时，灵敏度随波长的变化关系</w:t>
      </w:r>
    </w:p>
    <w:p w14:paraId="25BB3077" w14:textId="77777777" w:rsidR="004A29BC" w:rsidRDefault="006C600F">
      <w:pPr>
        <w:adjustRightInd w:val="0"/>
        <w:snapToGrid w:val="0"/>
      </w:pPr>
      <w:r>
        <w:rPr>
          <w:noProof/>
        </w:rPr>
        <w:drawing>
          <wp:inline distT="0" distB="0" distL="0" distR="0">
            <wp:extent cx="2958465" cy="1882775"/>
            <wp:effectExtent l="0" t="0" r="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958482" cy="1882800"/>
                    </a:xfrm>
                    <a:prstGeom prst="rect">
                      <a:avLst/>
                    </a:prstGeom>
                  </pic:spPr>
                </pic:pic>
              </a:graphicData>
            </a:graphic>
          </wp:inline>
        </w:drawing>
      </w:r>
    </w:p>
    <w:p w14:paraId="193F1362" w14:textId="77777777" w:rsidR="004A29BC" w:rsidRDefault="006C600F">
      <w:pPr>
        <w:adjustRightInd w:val="0"/>
        <w:snapToGrid w:val="0"/>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4</w:t>
      </w:r>
      <w:r>
        <w:rPr>
          <w:rFonts w:ascii="Times New Roman" w:hAnsi="Times New Roman" w:cs="Times New Roman" w:hint="eastAsia"/>
          <w:b/>
          <w:sz w:val="15"/>
          <w:szCs w:val="15"/>
        </w:rPr>
        <w:t>包层空气填充比</w:t>
      </w:r>
      <w:r>
        <w:rPr>
          <w:rFonts w:ascii="Times New Roman" w:hAnsi="Times New Roman" w:cs="Times New Roman"/>
          <w:b/>
          <w:sz w:val="15"/>
          <w:szCs w:val="15"/>
        </w:rPr>
        <w:t>d/Ʌ</w:t>
      </w:r>
      <w:r>
        <w:rPr>
          <w:rFonts w:ascii="Times New Roman" w:hAnsi="Times New Roman" w:cs="Times New Roman" w:hint="eastAsia"/>
          <w:b/>
          <w:sz w:val="15"/>
          <w:szCs w:val="15"/>
        </w:rPr>
        <w:t>不同时，灵敏度随波长的变化关系</w:t>
      </w:r>
    </w:p>
    <w:p w14:paraId="23D75B63" w14:textId="77777777" w:rsidR="004A29BC" w:rsidRDefault="006C600F">
      <w:pPr>
        <w:adjustRightInd w:val="0"/>
        <w:snapToGrid w:val="0"/>
        <w:spacing w:before="100" w:beforeAutospacing="1" w:after="100" w:afterAutospacing="1"/>
        <w:jc w:val="left"/>
        <w:rPr>
          <w:rFonts w:asciiTheme="minorEastAsia" w:hAnsiTheme="minorEastAsia" w:cs="Times New Roman"/>
          <w:b/>
        </w:rPr>
      </w:pPr>
      <w:r>
        <w:rPr>
          <w:rFonts w:asciiTheme="minorEastAsia" w:hAnsiTheme="minorEastAsia" w:cs="Times New Roman"/>
          <w:b/>
        </w:rPr>
        <w:t>2.2双折射特性分析</w:t>
      </w:r>
    </w:p>
    <w:p w14:paraId="17D9B511"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Times New Roman" w:hAnsi="Times New Roman" w:cs="Times New Roman"/>
          <w:szCs w:val="21"/>
        </w:rPr>
        <w:t>具有高双折射特性的</w:t>
      </w:r>
      <w:r>
        <w:rPr>
          <w:rFonts w:ascii="Times New Roman" w:hAnsi="Times New Roman" w:cs="Times New Roman"/>
          <w:szCs w:val="21"/>
        </w:rPr>
        <w:t>PCF</w:t>
      </w:r>
      <w:r>
        <w:rPr>
          <w:rFonts w:ascii="Times New Roman" w:hAnsi="Times New Roman" w:cs="Times New Roman"/>
          <w:szCs w:val="21"/>
        </w:rPr>
        <w:t>通过消除偏振模态色散，能够保持输入光的偏振态，从而显著提升传感光学器件的稳定性</w:t>
      </w:r>
      <w:r>
        <w:rPr>
          <w:rFonts w:ascii="Times New Roman" w:hAnsi="Times New Roman" w:cs="Times New Roman"/>
          <w:szCs w:val="21"/>
          <w:vertAlign w:val="superscript"/>
        </w:rPr>
        <w:t>[24]</w:t>
      </w:r>
      <w:r>
        <w:rPr>
          <w:rFonts w:ascii="Times New Roman" w:hAnsi="Times New Roman" w:cs="Times New Roman"/>
          <w:szCs w:val="21"/>
        </w:rPr>
        <w:t>。模式双折射定义为基模</w:t>
      </w:r>
      <w:r>
        <w:rPr>
          <w:rFonts w:ascii="Times New Roman" w:hAnsi="Times New Roman" w:cs="Times New Roman"/>
          <w:szCs w:val="21"/>
        </w:rPr>
        <w:t>x</w:t>
      </w:r>
      <w:r>
        <w:rPr>
          <w:rFonts w:ascii="Times New Roman" w:hAnsi="Times New Roman" w:cs="Times New Roman"/>
          <w:szCs w:val="21"/>
        </w:rPr>
        <w:t>偏振态和</w:t>
      </w:r>
      <w:r>
        <w:rPr>
          <w:rFonts w:ascii="Times New Roman" w:hAnsi="Times New Roman" w:cs="Times New Roman"/>
          <w:szCs w:val="21"/>
        </w:rPr>
        <w:t>y</w:t>
      </w:r>
      <w:r>
        <w:rPr>
          <w:rFonts w:ascii="Times New Roman" w:hAnsi="Times New Roman" w:cs="Times New Roman"/>
          <w:szCs w:val="21"/>
        </w:rPr>
        <w:t>偏振态的有效折射率实部之差的绝对值</w:t>
      </w:r>
      <w:r>
        <w:rPr>
          <w:rFonts w:ascii="Times New Roman" w:hAnsi="Times New Roman" w:cs="Times New Roman"/>
          <w:szCs w:val="21"/>
          <w:vertAlign w:val="superscript"/>
        </w:rPr>
        <w:t>[25]</w:t>
      </w:r>
      <w:r>
        <w:rPr>
          <w:rFonts w:ascii="Times New Roman" w:hAnsi="Times New Roman" w:cs="Times New Roman" w:hint="eastAsia"/>
          <w:szCs w:val="21"/>
        </w:rPr>
        <w:t>。</w:t>
      </w:r>
    </w:p>
    <w:p w14:paraId="16040753"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Times New Roman" w:hAnsi="Times New Roman" w:cs="Times New Roman"/>
          <w:color w:val="000000" w:themeColor="text1"/>
          <w:szCs w:val="21"/>
        </w:rPr>
        <w:t>在最佳设计参数</w:t>
      </w:r>
      <w:r>
        <w:rPr>
          <w:rFonts w:ascii="Times New Roman" w:hAnsi="Times New Roman" w:cs="Times New Roman"/>
          <w:color w:val="000000" w:themeColor="text1"/>
          <w:szCs w:val="21"/>
        </w:rPr>
        <w:t>Ʌ=1.24 μm</w:t>
      </w:r>
      <w:r>
        <w:rPr>
          <w:rFonts w:ascii="Times New Roman" w:hAnsi="Times New Roman" w:cs="Times New Roman"/>
          <w:color w:val="000000" w:themeColor="text1"/>
          <w:szCs w:val="21"/>
        </w:rPr>
        <w:t>、</w:t>
      </w:r>
      <w:r>
        <w:rPr>
          <w:rFonts w:ascii="Times New Roman" w:hAnsi="Times New Roman" w:cs="Times New Roman"/>
          <w:bCs/>
          <w:color w:val="000000" w:themeColor="text1"/>
          <w:szCs w:val="21"/>
        </w:rPr>
        <w:t>p=</w:t>
      </w:r>
      <w:r>
        <w:rPr>
          <w:rFonts w:ascii="Times New Roman" w:hAnsi="Times New Roman" w:cs="Times New Roman" w:hint="eastAsia"/>
          <w:bCs/>
          <w:color w:val="000000" w:themeColor="text1"/>
          <w:szCs w:val="21"/>
        </w:rPr>
        <w:t>0</w:t>
      </w:r>
      <w:r>
        <w:rPr>
          <w:rFonts w:ascii="Times New Roman" w:hAnsi="Times New Roman" w:cs="Times New Roman"/>
          <w:bCs/>
          <w:color w:val="000000" w:themeColor="text1"/>
          <w:szCs w:val="21"/>
        </w:rPr>
        <w:t>.62 μm</w:t>
      </w:r>
      <w:r>
        <w:rPr>
          <w:rFonts w:ascii="Times New Roman" w:hAnsi="Times New Roman" w:cs="Times New Roman"/>
          <w:bCs/>
          <w:color w:val="000000" w:themeColor="text1"/>
          <w:szCs w:val="21"/>
        </w:rPr>
        <w:t>、</w:t>
      </w:r>
      <w:r>
        <w:rPr>
          <w:rFonts w:ascii="Times New Roman" w:hAnsi="Times New Roman" w:cs="Times New Roman"/>
          <w:szCs w:val="21"/>
        </w:rPr>
        <w:t>d/Ʌ=0.98</w:t>
      </w:r>
      <w:r>
        <w:rPr>
          <w:rFonts w:ascii="Times New Roman" w:hAnsi="Times New Roman" w:cs="Times New Roman"/>
          <w:szCs w:val="21"/>
        </w:rPr>
        <w:t>、</w:t>
      </w:r>
      <w:r>
        <w:rPr>
          <w:rFonts w:ascii="Times New Roman" w:hAnsi="Times New Roman" w:cs="Times New Roman"/>
          <w:szCs w:val="21"/>
        </w:rPr>
        <w:t>b=3.65 μm</w:t>
      </w:r>
      <w:r>
        <w:rPr>
          <w:rFonts w:ascii="Times New Roman" w:hAnsi="Times New Roman" w:cs="Times New Roman"/>
          <w:szCs w:val="21"/>
        </w:rPr>
        <w:t>和</w:t>
      </w:r>
      <w:r>
        <w:rPr>
          <w:rFonts w:ascii="Times New Roman" w:hAnsi="Times New Roman" w:cs="Times New Roman"/>
          <w:szCs w:val="21"/>
        </w:rPr>
        <w:t>α=0.6 μm</w:t>
      </w:r>
      <w:r>
        <w:rPr>
          <w:rFonts w:ascii="Times New Roman" w:hAnsi="Times New Roman" w:cs="Times New Roman"/>
          <w:szCs w:val="21"/>
        </w:rPr>
        <w:t>下，双折射随波长的变化关系如图</w:t>
      </w:r>
      <w:r>
        <w:rPr>
          <w:rFonts w:ascii="Times New Roman" w:hAnsi="Times New Roman" w:cs="Times New Roman"/>
          <w:szCs w:val="21"/>
        </w:rPr>
        <w:t>5</w:t>
      </w:r>
      <w:r>
        <w:rPr>
          <w:rFonts w:ascii="Times New Roman" w:hAnsi="Times New Roman" w:cs="Times New Roman"/>
          <w:szCs w:val="21"/>
        </w:rPr>
        <w:t>所示。</w:t>
      </w:r>
      <w:r>
        <w:rPr>
          <w:rFonts w:ascii="Times New Roman" w:hAnsi="Times New Roman" w:cs="Times New Roman" w:hint="eastAsia"/>
          <w:szCs w:val="21"/>
        </w:rPr>
        <w:t>可以</w:t>
      </w:r>
      <w:r>
        <w:rPr>
          <w:rFonts w:ascii="Times New Roman" w:hAnsi="Times New Roman" w:cs="Times New Roman"/>
          <w:szCs w:val="21"/>
        </w:rPr>
        <w:t>看出，水</w:t>
      </w:r>
      <w:r>
        <w:rPr>
          <w:rFonts w:ascii="Times New Roman" w:hAnsi="Times New Roman" w:cs="Times New Roman" w:hint="eastAsia"/>
          <w:szCs w:val="21"/>
        </w:rPr>
        <w:t>、</w:t>
      </w:r>
      <w:r>
        <w:rPr>
          <w:rFonts w:ascii="Times New Roman" w:hAnsi="Times New Roman" w:cs="Times New Roman"/>
          <w:szCs w:val="21"/>
        </w:rPr>
        <w:t>乙醇、苯的双折射值在整个波长范围内随着波长的增加而逐渐降低。当工作波长</w:t>
      </w:r>
      <w:r>
        <w:rPr>
          <w:rFonts w:ascii="Times New Roman" w:hAnsi="Times New Roman" w:cs="Times New Roman" w:hint="eastAsia"/>
          <w:szCs w:val="21"/>
        </w:rPr>
        <w:t>为</w:t>
      </w:r>
      <w:r>
        <w:rPr>
          <w:rFonts w:ascii="Times New Roman" w:hAnsi="Times New Roman" w:cs="Times New Roman"/>
          <w:szCs w:val="21"/>
        </w:rPr>
        <w:t>1.55 μm</w:t>
      </w:r>
      <w:r>
        <w:rPr>
          <w:rFonts w:ascii="Times New Roman" w:hAnsi="Times New Roman" w:cs="Times New Roman" w:hint="eastAsia"/>
          <w:szCs w:val="21"/>
        </w:rPr>
        <w:t>时</w:t>
      </w:r>
      <w:r>
        <w:rPr>
          <w:rFonts w:ascii="Times New Roman" w:hAnsi="Times New Roman" w:cs="Times New Roman"/>
          <w:szCs w:val="21"/>
        </w:rPr>
        <w:t>，水</w:t>
      </w:r>
      <w:r>
        <w:rPr>
          <w:rFonts w:ascii="Times New Roman" w:hAnsi="Times New Roman" w:cs="Times New Roman" w:hint="eastAsia"/>
          <w:szCs w:val="21"/>
        </w:rPr>
        <w:t>、</w:t>
      </w:r>
      <w:r>
        <w:rPr>
          <w:rFonts w:ascii="Times New Roman" w:hAnsi="Times New Roman" w:cs="Times New Roman"/>
          <w:szCs w:val="21"/>
        </w:rPr>
        <w:t>乙醇、苯的双折射值分别为</w:t>
      </w:r>
      <w:r>
        <w:rPr>
          <w:rFonts w:ascii="Times New Roman" w:hAnsi="Times New Roman" w:cs="Times New Roman"/>
          <w:szCs w:val="21"/>
        </w:rPr>
        <w:t>3.4×10</w:t>
      </w:r>
      <w:r>
        <w:rPr>
          <w:rFonts w:ascii="Times New Roman" w:hAnsi="Times New Roman" w:cs="Times New Roman"/>
          <w:szCs w:val="21"/>
          <w:vertAlign w:val="superscript"/>
        </w:rPr>
        <w:t>-3</w:t>
      </w:r>
      <w:r>
        <w:rPr>
          <w:rFonts w:ascii="Times New Roman" w:hAnsi="Times New Roman" w:cs="Times New Roman" w:hint="eastAsia"/>
          <w:szCs w:val="21"/>
        </w:rPr>
        <w:t>、</w:t>
      </w:r>
      <w:r>
        <w:rPr>
          <w:rFonts w:ascii="Times New Roman" w:hAnsi="Times New Roman" w:cs="Times New Roman"/>
          <w:szCs w:val="21"/>
        </w:rPr>
        <w:t>1.97×10</w:t>
      </w:r>
      <w:r>
        <w:rPr>
          <w:rFonts w:ascii="Times New Roman" w:hAnsi="Times New Roman" w:cs="Times New Roman"/>
          <w:szCs w:val="21"/>
          <w:vertAlign w:val="superscript"/>
        </w:rPr>
        <w:t>-3</w:t>
      </w:r>
      <w:r>
        <w:rPr>
          <w:rFonts w:ascii="Times New Roman" w:hAnsi="Times New Roman" w:cs="Times New Roman"/>
          <w:szCs w:val="21"/>
        </w:rPr>
        <w:t>、</w:t>
      </w:r>
      <w:r>
        <w:rPr>
          <w:rFonts w:ascii="Times New Roman" w:hAnsi="Times New Roman" w:cs="Times New Roman"/>
          <w:szCs w:val="21"/>
        </w:rPr>
        <w:t>1.46×10</w:t>
      </w:r>
      <w:r>
        <w:rPr>
          <w:rFonts w:ascii="Times New Roman" w:hAnsi="Times New Roman" w:cs="Times New Roman"/>
          <w:szCs w:val="21"/>
          <w:vertAlign w:val="superscript"/>
        </w:rPr>
        <w:t>-3</w:t>
      </w:r>
      <w:r>
        <w:rPr>
          <w:rFonts w:ascii="Times New Roman" w:hAnsi="Times New Roman" w:cs="Times New Roman" w:hint="eastAsia"/>
          <w:szCs w:val="21"/>
        </w:rPr>
        <w:t>；</w:t>
      </w:r>
      <w:r>
        <w:rPr>
          <w:rFonts w:ascii="Times New Roman" w:hAnsi="Times New Roman" w:cs="Times New Roman"/>
          <w:szCs w:val="21"/>
        </w:rPr>
        <w:t>水的双折射值高于乙醇和苯</w:t>
      </w:r>
      <w:r>
        <w:rPr>
          <w:rFonts w:ascii="Times New Roman" w:hAnsi="Times New Roman" w:cs="Times New Roman" w:hint="eastAsia"/>
          <w:szCs w:val="21"/>
        </w:rPr>
        <w:t>。</w:t>
      </w:r>
      <w:r>
        <w:rPr>
          <w:rFonts w:ascii="Times New Roman" w:hAnsi="Times New Roman" w:cs="Times New Roman"/>
          <w:szCs w:val="21"/>
        </w:rPr>
        <w:t>这表明随着填充液体浓度的增加，模式不对称性较小，导致</w:t>
      </w:r>
      <w:r>
        <w:rPr>
          <w:rFonts w:ascii="Times New Roman" w:hAnsi="Times New Roman" w:cs="Times New Roman"/>
          <w:szCs w:val="21"/>
        </w:rPr>
        <w:t>x</w:t>
      </w:r>
      <w:r>
        <w:rPr>
          <w:rFonts w:ascii="Times New Roman" w:hAnsi="Times New Roman" w:cs="Times New Roman"/>
          <w:szCs w:val="21"/>
        </w:rPr>
        <w:t>偏振和</w:t>
      </w:r>
      <w:r>
        <w:rPr>
          <w:rFonts w:ascii="Times New Roman" w:hAnsi="Times New Roman" w:cs="Times New Roman"/>
          <w:szCs w:val="21"/>
        </w:rPr>
        <w:t>y</w:t>
      </w:r>
      <w:r>
        <w:rPr>
          <w:rFonts w:ascii="Times New Roman" w:hAnsi="Times New Roman" w:cs="Times New Roman"/>
          <w:szCs w:val="21"/>
        </w:rPr>
        <w:t>偏振的有效折射率差异减小，从而降低了双折射值。尽管如此，水</w:t>
      </w:r>
      <w:r>
        <w:rPr>
          <w:rFonts w:ascii="Times New Roman" w:hAnsi="Times New Roman" w:cs="Times New Roman" w:hint="eastAsia"/>
          <w:szCs w:val="21"/>
        </w:rPr>
        <w:t>、</w:t>
      </w:r>
      <w:r>
        <w:rPr>
          <w:rFonts w:ascii="Times New Roman" w:hAnsi="Times New Roman" w:cs="Times New Roman"/>
          <w:szCs w:val="21"/>
        </w:rPr>
        <w:t>乙醇、苯的双折射值均达到了</w:t>
      </w:r>
      <w:r>
        <w:rPr>
          <w:rFonts w:ascii="Times New Roman" w:hAnsi="Times New Roman" w:cs="Times New Roman"/>
          <w:szCs w:val="21"/>
        </w:rPr>
        <w:t>10</w:t>
      </w:r>
      <w:r>
        <w:rPr>
          <w:rFonts w:ascii="Times New Roman" w:hAnsi="Times New Roman" w:cs="Times New Roman"/>
          <w:szCs w:val="21"/>
          <w:vertAlign w:val="superscript"/>
        </w:rPr>
        <w:t>-3</w:t>
      </w:r>
      <w:r>
        <w:rPr>
          <w:rFonts w:ascii="Times New Roman" w:hAnsi="Times New Roman" w:cs="Times New Roman"/>
          <w:szCs w:val="21"/>
        </w:rPr>
        <w:t>数量级的高双折射。这种光纤结构设计不仅满足了高灵敏度的要求，而且有效地提升了传感光学器件的稳定性和性能。</w:t>
      </w:r>
    </w:p>
    <w:p w14:paraId="3399ACD5" w14:textId="77777777" w:rsidR="004A29BC" w:rsidRDefault="006C600F">
      <w:pPr>
        <w:adjustRightInd w:val="0"/>
        <w:snapToGrid w:val="0"/>
      </w:pPr>
      <w:r>
        <w:rPr>
          <w:noProof/>
        </w:rPr>
        <w:drawing>
          <wp:inline distT="0" distB="0" distL="0" distR="0">
            <wp:extent cx="2962275" cy="1885315"/>
            <wp:effectExtent l="0" t="0" r="952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962800" cy="1885548"/>
                    </a:xfrm>
                    <a:prstGeom prst="rect">
                      <a:avLst/>
                    </a:prstGeom>
                  </pic:spPr>
                </pic:pic>
              </a:graphicData>
            </a:graphic>
          </wp:inline>
        </w:drawing>
      </w:r>
    </w:p>
    <w:p w14:paraId="29882B44" w14:textId="77777777" w:rsidR="004A29BC" w:rsidRDefault="006C600F">
      <w:pPr>
        <w:adjustRightInd w:val="0"/>
        <w:snapToGrid w:val="0"/>
        <w:rPr>
          <w:rFonts w:asciiTheme="minorEastAsia" w:hAnsiTheme="minorEastAsia" w:cs="Times New Roman"/>
          <w:b/>
          <w:sz w:val="15"/>
          <w:szCs w:val="15"/>
        </w:rPr>
      </w:pPr>
      <w:r>
        <w:rPr>
          <w:rFonts w:asciiTheme="minorEastAsia" w:hAnsiTheme="minorEastAsia" w:cs="Times New Roman"/>
          <w:b/>
          <w:sz w:val="15"/>
          <w:szCs w:val="15"/>
        </w:rPr>
        <w:t>图5在最佳设计参数下双折射随波长的变化关系</w:t>
      </w:r>
    </w:p>
    <w:p w14:paraId="67F098E8" w14:textId="77777777" w:rsidR="004A29BC" w:rsidRDefault="006C600F">
      <w:pPr>
        <w:adjustRightInd w:val="0"/>
        <w:snapToGrid w:val="0"/>
        <w:spacing w:before="100" w:beforeAutospacing="1" w:after="100" w:afterAutospacing="1"/>
        <w:jc w:val="left"/>
        <w:rPr>
          <w:rFonts w:asciiTheme="minorEastAsia" w:hAnsiTheme="minorEastAsia" w:cs="Times New Roman"/>
          <w:b/>
          <w:szCs w:val="21"/>
        </w:rPr>
      </w:pPr>
      <w:r>
        <w:rPr>
          <w:rFonts w:asciiTheme="minorEastAsia" w:hAnsiTheme="minorEastAsia" w:cs="Times New Roman"/>
          <w:b/>
          <w:szCs w:val="21"/>
        </w:rPr>
        <w:lastRenderedPageBreak/>
        <w:t>2.3限制损耗特性分析</w:t>
      </w:r>
    </w:p>
    <w:p w14:paraId="1426E7E2"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Times New Roman" w:hAnsi="Times New Roman" w:cs="Times New Roman"/>
          <w:szCs w:val="21"/>
        </w:rPr>
        <w:t>限制损耗是</w:t>
      </w:r>
      <w:r>
        <w:rPr>
          <w:rFonts w:ascii="Times New Roman" w:hAnsi="Times New Roman" w:cs="Times New Roman"/>
          <w:szCs w:val="21"/>
        </w:rPr>
        <w:t>PCF</w:t>
      </w:r>
      <w:r>
        <w:rPr>
          <w:rFonts w:ascii="Times New Roman" w:hAnsi="Times New Roman" w:cs="Times New Roman"/>
          <w:szCs w:val="21"/>
        </w:rPr>
        <w:t>中一种特殊的损耗形式，它主要由纤芯中的光在传输过程中部分泄露到包层中所致，可以利用基模的有效折射率的虚部来计算，</w:t>
      </w:r>
      <w:r>
        <w:rPr>
          <w:rFonts w:ascii="Times New Roman" w:hAnsi="Times New Roman" w:cs="Times New Roman" w:hint="eastAsia"/>
          <w:szCs w:val="21"/>
        </w:rPr>
        <w:t>限制损耗</w:t>
      </w:r>
      <w:r>
        <w:rPr>
          <w:rFonts w:ascii="Times New Roman" w:hAnsi="Times New Roman" w:cs="Times New Roman" w:hint="eastAsia"/>
          <w:szCs w:val="21"/>
        </w:rPr>
        <w:t>L</w:t>
      </w:r>
      <w:r>
        <w:rPr>
          <w:rFonts w:ascii="Times New Roman" w:hAnsi="Times New Roman" w:cs="Times New Roman"/>
          <w:szCs w:val="21"/>
          <w:vertAlign w:val="subscript"/>
        </w:rPr>
        <w:t>C</w:t>
      </w:r>
      <w:r>
        <w:rPr>
          <w:rFonts w:ascii="Times New Roman" w:hAnsi="Times New Roman" w:cs="Times New Roman"/>
          <w:szCs w:val="21"/>
          <w:vertAlign w:val="superscript"/>
        </w:rPr>
        <w:t>[25]</w:t>
      </w:r>
      <w:r>
        <w:rPr>
          <w:rFonts w:ascii="Times New Roman" w:hAnsi="Times New Roman" w:cs="Times New Roman" w:hint="eastAsia"/>
          <w:szCs w:val="21"/>
        </w:rPr>
        <w:t>的</w:t>
      </w:r>
      <w:r>
        <w:rPr>
          <w:rFonts w:ascii="Times New Roman" w:hAnsi="Times New Roman" w:cs="Times New Roman"/>
          <w:szCs w:val="21"/>
        </w:rPr>
        <w:t>计算公式如下</w:t>
      </w:r>
      <w:r>
        <w:rPr>
          <w:rFonts w:ascii="Times New Roman" w:hAnsi="Times New Roman" w:cs="Times New Roman"/>
          <w:szCs w:val="21"/>
        </w:rPr>
        <w:t>:</w:t>
      </w:r>
    </w:p>
    <w:p w14:paraId="339A7649" w14:textId="77777777" w:rsidR="004A29BC" w:rsidRDefault="00671B75">
      <w:pPr>
        <w:adjustRightInd w:val="0"/>
        <w:snapToGrid w:val="0"/>
        <w:spacing w:before="100" w:beforeAutospacing="1" w:after="100" w:afterAutospacing="1"/>
        <w:ind w:firstLineChars="200" w:firstLine="420"/>
        <w:jc w:val="center"/>
        <w:rPr>
          <w:rFonts w:ascii="CharisSIL" w:hAnsi="CharisSIL" w:hint="eastAsia"/>
          <w:szCs w:val="21"/>
        </w:rPr>
      </w:pPr>
      <m:oMath>
        <m:sSub>
          <m:sSubPr>
            <m:ctrlPr>
              <w:rPr>
                <w:rFonts w:ascii="Cambria Math" w:hAnsi="Cambria Math"/>
                <w:i/>
                <w:szCs w:val="21"/>
              </w:rPr>
            </m:ctrlPr>
          </m:sSubPr>
          <m:e>
            <m:r>
              <w:rPr>
                <w:rFonts w:ascii="Cambria Math" w:hAnsi="Cambria Math"/>
                <w:szCs w:val="21"/>
              </w:rPr>
              <m:t>L</m:t>
            </m:r>
          </m:e>
          <m:sub>
            <m:r>
              <w:rPr>
                <w:rFonts w:ascii="Cambria Math" w:hAnsi="Cambria Math"/>
                <w:szCs w:val="21"/>
              </w:rPr>
              <m:t>C</m:t>
            </m:r>
          </m:sub>
        </m:sSub>
        <m:r>
          <w:rPr>
            <w:rFonts w:ascii="Cambria Math" w:hAnsi="Cambria Math"/>
            <w:szCs w:val="21"/>
          </w:rPr>
          <m:t>=8.686×</m:t>
        </m:r>
        <m:f>
          <m:fPr>
            <m:ctrlPr>
              <w:rPr>
                <w:rFonts w:ascii="Cambria Math" w:hAnsi="Cambria Math"/>
                <w:i/>
                <w:szCs w:val="21"/>
              </w:rPr>
            </m:ctrlPr>
          </m:fPr>
          <m:num>
            <m:r>
              <w:rPr>
                <w:rFonts w:ascii="Cambria Math" w:hAnsi="Cambria Math"/>
                <w:szCs w:val="21"/>
              </w:rPr>
              <m:t>2π</m:t>
            </m:r>
          </m:num>
          <m:den>
            <m:r>
              <w:rPr>
                <w:rFonts w:ascii="Cambria Math" w:hAnsi="Cambria Math"/>
                <w:szCs w:val="21"/>
              </w:rPr>
              <m:t>λ</m:t>
            </m:r>
          </m:den>
        </m:f>
        <m:r>
          <w:rPr>
            <w:rFonts w:ascii="Cambria Math" w:hAnsi="Cambria Math"/>
            <w:szCs w:val="21"/>
          </w:rPr>
          <m:t>Im</m:t>
        </m:r>
        <m:r>
          <w:rPr>
            <w:rFonts w:ascii="Cambria Math" w:hAnsi="Cambria Math"/>
            <w:szCs w:val="21"/>
          </w:rPr>
          <m:t>（</m:t>
        </m:r>
        <m:sSub>
          <m:sSubPr>
            <m:ctrlPr>
              <w:rPr>
                <w:rFonts w:ascii="Cambria Math" w:hAnsi="Cambria Math"/>
                <w:i/>
                <w:szCs w:val="21"/>
              </w:rPr>
            </m:ctrlPr>
          </m:sSubPr>
          <m:e>
            <m:r>
              <w:rPr>
                <w:rFonts w:ascii="Cambria Math" w:hAnsi="Cambria Math"/>
                <w:szCs w:val="21"/>
              </w:rPr>
              <m:t>n</m:t>
            </m:r>
          </m:e>
          <m:sub>
            <m:r>
              <w:rPr>
                <w:rFonts w:ascii="Cambria Math" w:hAnsi="Cambria Math"/>
                <w:szCs w:val="21"/>
              </w:rPr>
              <m:t>eff</m:t>
            </m:r>
          </m:sub>
        </m:sSub>
        <m:r>
          <w:rPr>
            <w:rFonts w:ascii="Cambria Math" w:hAnsi="Cambria Math"/>
            <w:szCs w:val="21"/>
          </w:rPr>
          <m:t>）</m:t>
        </m:r>
      </m:oMath>
      <w:r w:rsidR="006C600F">
        <w:rPr>
          <w:rFonts w:ascii="CharisSIL" w:hAnsi="CharisSIL" w:hint="eastAsia"/>
          <w:szCs w:val="21"/>
        </w:rPr>
        <w:t xml:space="preserve"> </w:t>
      </w:r>
      <w:r w:rsidR="006C600F">
        <w:rPr>
          <w:rFonts w:ascii="CharisSIL" w:hAnsi="CharisSIL"/>
          <w:szCs w:val="21"/>
        </w:rPr>
        <w:t xml:space="preserve">  </w:t>
      </w:r>
      <w:r w:rsidR="006C600F">
        <w:rPr>
          <w:rFonts w:ascii="CharisSIL" w:hAnsi="CharisSIL" w:hint="eastAsia"/>
          <w:szCs w:val="21"/>
        </w:rPr>
        <w:tab/>
      </w:r>
      <w:r w:rsidR="006C600F">
        <w:rPr>
          <w:rFonts w:ascii="CharisSIL" w:hAnsi="CharisSIL"/>
          <w:szCs w:val="21"/>
        </w:rPr>
        <w:t>（</w:t>
      </w:r>
      <w:r w:rsidR="006C600F">
        <w:rPr>
          <w:rFonts w:ascii="CharisSIL" w:hAnsi="CharisSIL"/>
          <w:szCs w:val="21"/>
        </w:rPr>
        <w:t>3</w:t>
      </w:r>
      <w:r w:rsidR="006C600F">
        <w:rPr>
          <w:rFonts w:ascii="CharisSIL" w:hAnsi="CharisSIL"/>
          <w:szCs w:val="21"/>
        </w:rPr>
        <w:t>）</w:t>
      </w:r>
    </w:p>
    <w:p w14:paraId="47B8964D"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Segoe UI" w:hAnsi="Segoe UI" w:cs="Segoe UI"/>
          <w:color w:val="404040"/>
        </w:rPr>
        <w:t>在最佳结构参数条件下，</w:t>
      </w:r>
      <w:r>
        <w:rPr>
          <w:rFonts w:ascii="Segoe UI" w:hAnsi="Segoe UI" w:cs="Segoe UI" w:hint="eastAsia"/>
          <w:color w:val="404040"/>
        </w:rPr>
        <w:t>3</w:t>
      </w:r>
      <w:r>
        <w:rPr>
          <w:rFonts w:ascii="Segoe UI" w:hAnsi="Segoe UI" w:cs="Segoe UI"/>
          <w:color w:val="404040"/>
        </w:rPr>
        <w:t>种分析物的限制损耗随波长的变化关系如图</w:t>
      </w:r>
      <w:r>
        <w:rPr>
          <w:rFonts w:ascii="Segoe UI" w:hAnsi="Segoe UI" w:cs="Segoe UI"/>
          <w:color w:val="404040"/>
        </w:rPr>
        <w:t>6</w:t>
      </w:r>
      <w:r>
        <w:rPr>
          <w:rFonts w:ascii="Segoe UI" w:hAnsi="Segoe UI" w:cs="Segoe UI"/>
          <w:color w:val="404040"/>
        </w:rPr>
        <w:t>所示。结果显示，限制损耗呈现随波长增加而逐渐增大的趋势。当工作波长为</w:t>
      </w:r>
      <w:r>
        <w:rPr>
          <w:rFonts w:ascii="Segoe UI" w:hAnsi="Segoe UI" w:cs="Segoe UI"/>
          <w:color w:val="404040"/>
        </w:rPr>
        <w:t>1.55 μm</w:t>
      </w:r>
      <w:r>
        <w:rPr>
          <w:rFonts w:ascii="Segoe UI" w:hAnsi="Segoe UI" w:cs="Segoe UI"/>
          <w:color w:val="404040"/>
        </w:rPr>
        <w:t>时，水、乙醇和苯的限制损耗分别为</w:t>
      </w:r>
      <w:r>
        <w:rPr>
          <w:rFonts w:ascii="Segoe UI" w:hAnsi="Segoe UI" w:cs="Segoe UI"/>
          <w:color w:val="404040"/>
        </w:rPr>
        <w:t>1.65×10</w:t>
      </w:r>
      <w:r>
        <w:rPr>
          <w:rFonts w:ascii="Segoe UI" w:hAnsi="Segoe UI" w:cs="Segoe UI"/>
          <w:color w:val="404040"/>
          <w:vertAlign w:val="superscript"/>
        </w:rPr>
        <w:t>-5</w:t>
      </w:r>
      <w:r>
        <w:rPr>
          <w:rFonts w:ascii="Segoe UI" w:hAnsi="Segoe UI" w:cs="Segoe UI"/>
          <w:color w:val="404040"/>
        </w:rPr>
        <w:t>、</w:t>
      </w:r>
      <w:r>
        <w:rPr>
          <w:rFonts w:ascii="Segoe UI" w:hAnsi="Segoe UI" w:cs="Segoe UI"/>
          <w:color w:val="404040"/>
        </w:rPr>
        <w:t>3.71×10</w:t>
      </w:r>
      <w:r>
        <w:rPr>
          <w:rFonts w:ascii="Segoe UI" w:hAnsi="Segoe UI" w:cs="Segoe UI"/>
          <w:color w:val="404040"/>
          <w:vertAlign w:val="superscript"/>
        </w:rPr>
        <w:t>-6</w:t>
      </w:r>
      <w:r>
        <w:rPr>
          <w:rFonts w:ascii="Segoe UI" w:hAnsi="Segoe UI" w:cs="Segoe UI" w:hint="eastAsia"/>
          <w:color w:val="404040"/>
        </w:rPr>
        <w:t>、</w:t>
      </w:r>
      <w:r>
        <w:rPr>
          <w:rFonts w:ascii="Segoe UI" w:hAnsi="Segoe UI" w:cs="Segoe UI"/>
          <w:color w:val="404040"/>
        </w:rPr>
        <w:t>1.77×10</w:t>
      </w:r>
      <w:r>
        <w:rPr>
          <w:rFonts w:ascii="Segoe UI" w:hAnsi="Segoe UI" w:cs="Segoe UI"/>
          <w:color w:val="404040"/>
          <w:vertAlign w:val="superscript"/>
        </w:rPr>
        <w:t>-6</w:t>
      </w:r>
      <w:r>
        <w:rPr>
          <w:rFonts w:ascii="Segoe UI" w:hAnsi="Segoe UI" w:cs="Segoe UI"/>
          <w:color w:val="404040"/>
        </w:rPr>
        <w:t xml:space="preserve"> dB/cm</w:t>
      </w:r>
      <w:r>
        <w:rPr>
          <w:rFonts w:ascii="Segoe UI" w:hAnsi="Segoe UI" w:cs="Segoe UI"/>
          <w:color w:val="404040"/>
        </w:rPr>
        <w:t>。其中，水的限制损耗相对较高，这主要源于其较低的液体浓度使得更多光能量泄漏至包层。需要指出的是，三种分析物的限制损耗均保持在</w:t>
      </w:r>
      <w:r>
        <w:rPr>
          <w:rFonts w:ascii="Segoe UI" w:hAnsi="Segoe UI" w:cs="Segoe UI"/>
          <w:color w:val="404040"/>
        </w:rPr>
        <w:t>10-5 dB/cm</w:t>
      </w:r>
      <w:r>
        <w:rPr>
          <w:rFonts w:ascii="Segoe UI" w:hAnsi="Segoe UI" w:cs="Segoe UI"/>
          <w:color w:val="404040"/>
        </w:rPr>
        <w:t>以下，表明该光纤结构在</w:t>
      </w:r>
      <w:r>
        <w:rPr>
          <w:rFonts w:ascii="Segoe UI" w:hAnsi="Segoe UI" w:cs="Segoe UI"/>
          <w:color w:val="404040"/>
        </w:rPr>
        <w:t>1.55 μm</w:t>
      </w:r>
      <w:r>
        <w:rPr>
          <w:rFonts w:ascii="Segoe UI" w:hAnsi="Segoe UI" w:cs="Segoe UI"/>
          <w:color w:val="404040"/>
        </w:rPr>
        <w:t>波长下具有优异的光传输特性。</w:t>
      </w:r>
    </w:p>
    <w:p w14:paraId="0F6AE244" w14:textId="77777777" w:rsidR="004A29BC" w:rsidRDefault="006C600F">
      <w:pPr>
        <w:adjustRightInd w:val="0"/>
        <w:snapToGrid w:val="0"/>
      </w:pPr>
      <w:r>
        <w:rPr>
          <w:noProof/>
        </w:rPr>
        <w:drawing>
          <wp:inline distT="0" distB="0" distL="0" distR="0">
            <wp:extent cx="2962275" cy="2094865"/>
            <wp:effectExtent l="0" t="0" r="0"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962800" cy="2095291"/>
                    </a:xfrm>
                    <a:prstGeom prst="rect">
                      <a:avLst/>
                    </a:prstGeom>
                  </pic:spPr>
                </pic:pic>
              </a:graphicData>
            </a:graphic>
          </wp:inline>
        </w:drawing>
      </w:r>
    </w:p>
    <w:p w14:paraId="1276F976" w14:textId="77777777" w:rsidR="004A29BC" w:rsidRDefault="006C600F">
      <w:pPr>
        <w:adjustRightInd w:val="0"/>
        <w:snapToGrid w:val="0"/>
        <w:rPr>
          <w:rFonts w:asciiTheme="minorEastAsia" w:hAnsiTheme="minorEastAsia" w:cs="Times New Roman"/>
          <w:b/>
          <w:sz w:val="15"/>
          <w:szCs w:val="15"/>
        </w:rPr>
      </w:pPr>
      <w:r>
        <w:rPr>
          <w:rFonts w:asciiTheme="minorEastAsia" w:hAnsiTheme="minorEastAsia" w:cs="Times New Roman"/>
          <w:b/>
          <w:sz w:val="15"/>
          <w:szCs w:val="15"/>
        </w:rPr>
        <w:t>图6在最佳设计参数下限制损耗随波长的变化关系</w:t>
      </w:r>
    </w:p>
    <w:p w14:paraId="794CE487"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szCs w:val="21"/>
        </w:rPr>
      </w:pPr>
      <w:r>
        <w:rPr>
          <w:rFonts w:ascii="Segoe UI" w:hAnsi="Segoe UI" w:cs="Segoe UI"/>
          <w:color w:val="404040"/>
        </w:rPr>
        <w:t>在</w:t>
      </w:r>
      <w:r>
        <w:rPr>
          <w:rFonts w:ascii="Segoe UI" w:hAnsi="Segoe UI" w:cs="Segoe UI"/>
          <w:color w:val="404040"/>
        </w:rPr>
        <w:t>1.55 μm</w:t>
      </w:r>
      <w:r>
        <w:rPr>
          <w:rFonts w:ascii="Segoe UI" w:hAnsi="Segoe UI" w:cs="Segoe UI"/>
          <w:color w:val="404040"/>
        </w:rPr>
        <w:t>波长处，所设计的</w:t>
      </w:r>
      <w:r>
        <w:rPr>
          <w:rFonts w:ascii="Segoe UI" w:hAnsi="Segoe UI" w:cs="Segoe UI"/>
          <w:color w:val="404040"/>
        </w:rPr>
        <w:t>PCF</w:t>
      </w:r>
      <w:r>
        <w:rPr>
          <w:rFonts w:ascii="Segoe UI" w:hAnsi="Segoe UI" w:cs="Segoe UI"/>
          <w:color w:val="404040"/>
        </w:rPr>
        <w:t>与现有</w:t>
      </w:r>
      <w:r>
        <w:rPr>
          <w:rFonts w:ascii="Segoe UI" w:hAnsi="Segoe UI" w:cs="Segoe UI"/>
          <w:color w:val="404040"/>
        </w:rPr>
        <w:t>PCF</w:t>
      </w:r>
      <w:r>
        <w:rPr>
          <w:rFonts w:ascii="Segoe UI" w:hAnsi="Segoe UI" w:cs="Segoe UI"/>
          <w:color w:val="404040"/>
        </w:rPr>
        <w:t>的性能对比如表</w:t>
      </w:r>
      <w:r>
        <w:rPr>
          <w:rFonts w:ascii="Segoe UI" w:hAnsi="Segoe UI" w:cs="Segoe UI"/>
          <w:color w:val="404040"/>
        </w:rPr>
        <w:t>1</w:t>
      </w:r>
      <w:r>
        <w:rPr>
          <w:rFonts w:ascii="Segoe UI" w:hAnsi="Segoe UI" w:cs="Segoe UI"/>
          <w:color w:val="404040"/>
        </w:rPr>
        <w:t>所示。实验数据显示，该结构对水、乙醇和苯的检测灵敏度分别达到</w:t>
      </w:r>
      <w:r>
        <w:rPr>
          <w:rFonts w:ascii="Segoe UI" w:hAnsi="Segoe UI" w:cs="Segoe UI"/>
          <w:color w:val="404040"/>
        </w:rPr>
        <w:t>71.8%</w:t>
      </w:r>
      <w:r>
        <w:rPr>
          <w:rFonts w:ascii="Segoe UI" w:hAnsi="Segoe UI" w:cs="Segoe UI"/>
          <w:color w:val="404040"/>
        </w:rPr>
        <w:t>、</w:t>
      </w:r>
      <w:r>
        <w:rPr>
          <w:rFonts w:ascii="Segoe UI" w:hAnsi="Segoe UI" w:cs="Segoe UI"/>
          <w:color w:val="404040"/>
        </w:rPr>
        <w:t>74.5%</w:t>
      </w:r>
      <w:r>
        <w:rPr>
          <w:rFonts w:ascii="Segoe UI" w:hAnsi="Segoe UI" w:cs="Segoe UI"/>
          <w:color w:val="404040"/>
        </w:rPr>
        <w:t>和</w:t>
      </w:r>
      <w:r>
        <w:rPr>
          <w:rFonts w:ascii="Segoe UI" w:hAnsi="Segoe UI" w:cs="Segoe UI"/>
          <w:color w:val="404040"/>
        </w:rPr>
        <w:t>75.6%</w:t>
      </w:r>
      <w:r>
        <w:rPr>
          <w:rFonts w:ascii="Segoe UI" w:hAnsi="Segoe UI" w:cs="Segoe UI"/>
          <w:color w:val="404040"/>
        </w:rPr>
        <w:t>。相较于现有</w:t>
      </w:r>
      <w:r>
        <w:rPr>
          <w:rFonts w:ascii="Segoe UI" w:hAnsi="Segoe UI" w:cs="Segoe UI"/>
          <w:color w:val="404040"/>
        </w:rPr>
        <w:t>PCF</w:t>
      </w:r>
      <w:r>
        <w:rPr>
          <w:rFonts w:ascii="Segoe UI" w:hAnsi="Segoe UI" w:cs="Segoe UI"/>
          <w:color w:val="404040"/>
        </w:rPr>
        <w:t>结构，新型</w:t>
      </w:r>
      <w:r>
        <w:rPr>
          <w:rFonts w:ascii="Segoe UI" w:hAnsi="Segoe UI" w:cs="Segoe UI"/>
          <w:color w:val="404040"/>
        </w:rPr>
        <w:t>PCF</w:t>
      </w:r>
      <w:r>
        <w:rPr>
          <w:rFonts w:ascii="Segoe UI" w:hAnsi="Segoe UI" w:cs="Segoe UI"/>
          <w:color w:val="404040"/>
        </w:rPr>
        <w:t>的灵敏度提升显著：乙醇检测灵敏度提高</w:t>
      </w:r>
      <w:r>
        <w:rPr>
          <w:rFonts w:ascii="Segoe UI" w:hAnsi="Segoe UI" w:cs="Segoe UI"/>
          <w:color w:val="404040"/>
        </w:rPr>
        <w:t>1.24~6.2</w:t>
      </w:r>
      <w:r>
        <w:rPr>
          <w:rFonts w:ascii="Segoe UI" w:hAnsi="Segoe UI" w:cs="Segoe UI"/>
          <w:color w:val="404040"/>
        </w:rPr>
        <w:t>倍，水检测灵敏度提升</w:t>
      </w:r>
      <w:r>
        <w:rPr>
          <w:rFonts w:ascii="Segoe UI" w:hAnsi="Segoe UI" w:cs="Segoe UI"/>
          <w:color w:val="404040"/>
        </w:rPr>
        <w:t>1.26~7.97</w:t>
      </w:r>
      <w:r>
        <w:rPr>
          <w:rFonts w:ascii="Segoe UI" w:hAnsi="Segoe UI" w:cs="Segoe UI"/>
          <w:color w:val="404040"/>
        </w:rPr>
        <w:t>倍，苯检测灵敏度增强</w:t>
      </w:r>
      <w:r>
        <w:rPr>
          <w:rFonts w:ascii="Segoe UI" w:hAnsi="Segoe UI" w:cs="Segoe UI"/>
          <w:color w:val="404040"/>
        </w:rPr>
        <w:t>1.2~5.6</w:t>
      </w:r>
      <w:r>
        <w:rPr>
          <w:rFonts w:ascii="Segoe UI" w:hAnsi="Segoe UI" w:cs="Segoe UI"/>
          <w:color w:val="404040"/>
        </w:rPr>
        <w:t>倍。这种兼具结构简洁性和高灵敏度的</w:t>
      </w:r>
      <w:r>
        <w:rPr>
          <w:rFonts w:ascii="Segoe UI" w:hAnsi="Segoe UI" w:cs="Segoe UI"/>
          <w:color w:val="404040"/>
        </w:rPr>
        <w:t>PCF</w:t>
      </w:r>
      <w:r>
        <w:rPr>
          <w:rFonts w:ascii="Segoe UI" w:hAnsi="Segoe UI" w:cs="Segoe UI"/>
          <w:color w:val="404040"/>
        </w:rPr>
        <w:t>设计，为化学传感、生物传感及环境监测等领域的应用提供了新的技术方案。</w:t>
      </w:r>
    </w:p>
    <w:p w14:paraId="15E805E2" w14:textId="77777777" w:rsidR="004A29BC" w:rsidRDefault="006C600F">
      <w:pPr>
        <w:autoSpaceDE w:val="0"/>
        <w:autoSpaceDN w:val="0"/>
        <w:adjustRightInd w:val="0"/>
        <w:snapToGrid w:val="0"/>
        <w:jc w:val="center"/>
        <w:rPr>
          <w:rFonts w:ascii="Times New Roman" w:eastAsia="仿宋" w:hAnsi="Times New Roman" w:cs="Times New Roman"/>
          <w:bCs/>
          <w:sz w:val="18"/>
          <w:szCs w:val="18"/>
        </w:rPr>
      </w:pPr>
      <w:r>
        <w:rPr>
          <w:rFonts w:ascii="Times New Roman" w:eastAsia="仿宋" w:hAnsi="Times New Roman" w:cs="Times New Roman"/>
          <w:bCs/>
          <w:sz w:val="18"/>
          <w:szCs w:val="18"/>
          <w:lang w:val="zh-CN"/>
        </w:rPr>
        <w:t>表</w:t>
      </w:r>
      <w:r>
        <w:rPr>
          <w:rFonts w:ascii="Times New Roman" w:eastAsia="仿宋" w:hAnsi="Times New Roman" w:cs="Times New Roman"/>
          <w:bCs/>
          <w:sz w:val="18"/>
          <w:szCs w:val="18"/>
        </w:rPr>
        <w:t xml:space="preserve"> 1  </w:t>
      </w:r>
      <w:r>
        <w:rPr>
          <w:rFonts w:ascii="Times New Roman" w:eastAsia="仿宋" w:hAnsi="Times New Roman" w:cs="Times New Roman"/>
          <w:bCs/>
          <w:sz w:val="18"/>
          <w:szCs w:val="18"/>
        </w:rPr>
        <w:t>在</w:t>
      </w:r>
      <w:r>
        <w:rPr>
          <w:rFonts w:ascii="Times New Roman" w:eastAsia="仿宋" w:hAnsi="Times New Roman" w:cs="Times New Roman"/>
          <w:bCs/>
          <w:sz w:val="18"/>
          <w:szCs w:val="18"/>
        </w:rPr>
        <w:t>1.55 μm</w:t>
      </w:r>
      <w:r>
        <w:rPr>
          <w:rFonts w:ascii="Times New Roman" w:eastAsia="仿宋" w:hAnsi="Times New Roman" w:cs="Times New Roman"/>
          <w:bCs/>
          <w:sz w:val="18"/>
          <w:szCs w:val="18"/>
        </w:rPr>
        <w:t>波长处，所设计</w:t>
      </w:r>
      <w:r>
        <w:rPr>
          <w:rFonts w:ascii="Times New Roman" w:eastAsia="仿宋" w:hAnsi="Times New Roman" w:cs="Times New Roman"/>
          <w:bCs/>
          <w:sz w:val="18"/>
          <w:szCs w:val="18"/>
        </w:rPr>
        <w:t>PCF</w:t>
      </w:r>
      <w:r>
        <w:rPr>
          <w:rFonts w:ascii="Times New Roman" w:eastAsia="仿宋" w:hAnsi="Times New Roman" w:cs="Times New Roman"/>
          <w:bCs/>
          <w:sz w:val="18"/>
          <w:szCs w:val="18"/>
        </w:rPr>
        <w:t>与现有</w:t>
      </w:r>
      <w:r>
        <w:rPr>
          <w:rFonts w:ascii="Times New Roman" w:eastAsia="仿宋" w:hAnsi="Times New Roman" w:cs="Times New Roman"/>
          <w:bCs/>
          <w:sz w:val="18"/>
          <w:szCs w:val="18"/>
        </w:rPr>
        <w:t>PCF</w:t>
      </w:r>
      <w:r>
        <w:rPr>
          <w:rFonts w:ascii="Times New Roman" w:eastAsia="仿宋" w:hAnsi="Times New Roman" w:cs="Times New Roman"/>
          <w:bCs/>
          <w:sz w:val="18"/>
          <w:szCs w:val="18"/>
        </w:rPr>
        <w:t>的比较</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01"/>
        <w:gridCol w:w="1701"/>
        <w:gridCol w:w="1984"/>
      </w:tblGrid>
      <w:tr w:rsidR="004A29BC" w14:paraId="584EA334" w14:textId="77777777">
        <w:trPr>
          <w:trHeight w:val="486"/>
          <w:jc w:val="center"/>
        </w:trPr>
        <w:tc>
          <w:tcPr>
            <w:tcW w:w="1418" w:type="dxa"/>
            <w:tcBorders>
              <w:top w:val="single" w:sz="8" w:space="0" w:color="auto"/>
              <w:left w:val="nil"/>
              <w:bottom w:val="single" w:sz="4" w:space="0" w:color="auto"/>
              <w:right w:val="nil"/>
            </w:tcBorders>
            <w:tcMar>
              <w:left w:w="0" w:type="dxa"/>
              <w:right w:w="0" w:type="dxa"/>
            </w:tcMar>
            <w:vAlign w:val="center"/>
          </w:tcPr>
          <w:p w14:paraId="013665E1" w14:textId="77777777" w:rsidR="004A29BC" w:rsidRDefault="006C600F">
            <w:pPr>
              <w:adjustRightInd w:val="0"/>
              <w:snapToGrid w:val="0"/>
              <w:ind w:firstLineChars="100" w:firstLine="180"/>
              <w:rPr>
                <w:rFonts w:ascii="仿宋" w:eastAsia="仿宋" w:hAnsi="仿宋" w:cs="Times New Roman"/>
                <w:sz w:val="18"/>
                <w:szCs w:val="18"/>
              </w:rPr>
            </w:pPr>
            <w:r>
              <w:rPr>
                <w:rFonts w:ascii="仿宋" w:eastAsia="仿宋" w:hAnsi="仿宋" w:cs="Times New Roman"/>
                <w:sz w:val="18"/>
                <w:szCs w:val="18"/>
              </w:rPr>
              <w:t>光子晶体光纤</w:t>
            </w:r>
          </w:p>
        </w:tc>
        <w:tc>
          <w:tcPr>
            <w:tcW w:w="1701" w:type="dxa"/>
            <w:tcBorders>
              <w:top w:val="single" w:sz="8" w:space="0" w:color="auto"/>
              <w:left w:val="nil"/>
              <w:bottom w:val="single" w:sz="4" w:space="0" w:color="auto"/>
              <w:right w:val="nil"/>
            </w:tcBorders>
          </w:tcPr>
          <w:p w14:paraId="1EEF13C0" w14:textId="77777777" w:rsidR="004A29BC" w:rsidRDefault="004A29BC">
            <w:pPr>
              <w:autoSpaceDE w:val="0"/>
              <w:autoSpaceDN w:val="0"/>
              <w:adjustRightInd w:val="0"/>
              <w:snapToGrid w:val="0"/>
              <w:jc w:val="center"/>
              <w:rPr>
                <w:rFonts w:ascii="仿宋" w:eastAsia="仿宋" w:hAnsi="仿宋" w:cs="Times New Roman"/>
                <w:sz w:val="18"/>
                <w:szCs w:val="18"/>
              </w:rPr>
            </w:pPr>
          </w:p>
          <w:p w14:paraId="54D56A44" w14:textId="77777777" w:rsidR="004A29BC" w:rsidRDefault="006C600F">
            <w:pPr>
              <w:autoSpaceDE w:val="0"/>
              <w:autoSpaceDN w:val="0"/>
              <w:adjustRightInd w:val="0"/>
              <w:snapToGrid w:val="0"/>
              <w:jc w:val="center"/>
              <w:rPr>
                <w:rFonts w:ascii="仿宋" w:eastAsia="仿宋" w:hAnsi="仿宋" w:cs="Times New Roman"/>
                <w:sz w:val="18"/>
                <w:szCs w:val="18"/>
              </w:rPr>
            </w:pPr>
            <w:r>
              <w:rPr>
                <w:rFonts w:ascii="仿宋" w:eastAsia="仿宋" w:hAnsi="仿宋" w:cs="Times New Roman" w:hint="eastAsia"/>
                <w:sz w:val="18"/>
                <w:szCs w:val="18"/>
              </w:rPr>
              <w:t>水</w:t>
            </w:r>
          </w:p>
        </w:tc>
        <w:tc>
          <w:tcPr>
            <w:tcW w:w="1701" w:type="dxa"/>
            <w:tcBorders>
              <w:top w:val="single" w:sz="8" w:space="0" w:color="auto"/>
              <w:left w:val="nil"/>
              <w:bottom w:val="single" w:sz="4" w:space="0" w:color="auto"/>
              <w:right w:val="nil"/>
            </w:tcBorders>
            <w:tcMar>
              <w:left w:w="0" w:type="dxa"/>
              <w:right w:w="0" w:type="dxa"/>
            </w:tcMar>
            <w:vAlign w:val="center"/>
          </w:tcPr>
          <w:p w14:paraId="1A5A9CEB" w14:textId="77777777" w:rsidR="004A29BC" w:rsidRDefault="006C600F">
            <w:pPr>
              <w:autoSpaceDE w:val="0"/>
              <w:autoSpaceDN w:val="0"/>
              <w:adjustRightInd w:val="0"/>
              <w:snapToGrid w:val="0"/>
              <w:jc w:val="center"/>
              <w:rPr>
                <w:rFonts w:ascii="仿宋" w:eastAsia="仿宋" w:hAnsi="仿宋" w:cs="Times New Roman"/>
                <w:sz w:val="18"/>
                <w:szCs w:val="18"/>
              </w:rPr>
            </w:pPr>
            <w:r>
              <w:rPr>
                <w:rFonts w:ascii="仿宋" w:eastAsia="仿宋" w:hAnsi="仿宋" w:cs="Times New Roman"/>
                <w:sz w:val="18"/>
                <w:szCs w:val="18"/>
              </w:rPr>
              <w:t>灵敏度 （%）</w:t>
            </w:r>
          </w:p>
          <w:p w14:paraId="214295E0" w14:textId="77777777" w:rsidR="004A29BC" w:rsidRDefault="006C600F">
            <w:pPr>
              <w:autoSpaceDE w:val="0"/>
              <w:autoSpaceDN w:val="0"/>
              <w:adjustRightInd w:val="0"/>
              <w:snapToGrid w:val="0"/>
              <w:jc w:val="center"/>
              <w:rPr>
                <w:rFonts w:ascii="仿宋" w:eastAsia="仿宋" w:hAnsi="仿宋" w:cs="Times New Roman"/>
                <w:sz w:val="18"/>
                <w:szCs w:val="18"/>
              </w:rPr>
            </w:pPr>
            <w:r>
              <w:rPr>
                <w:rFonts w:ascii="仿宋" w:eastAsia="仿宋" w:hAnsi="仿宋" w:cs="Times New Roman" w:hint="eastAsia"/>
                <w:sz w:val="18"/>
                <w:szCs w:val="18"/>
              </w:rPr>
              <w:t>乙醇</w:t>
            </w:r>
          </w:p>
        </w:tc>
        <w:tc>
          <w:tcPr>
            <w:tcW w:w="1984" w:type="dxa"/>
            <w:tcBorders>
              <w:top w:val="single" w:sz="8" w:space="0" w:color="auto"/>
              <w:left w:val="nil"/>
              <w:bottom w:val="single" w:sz="4" w:space="0" w:color="auto"/>
              <w:right w:val="nil"/>
            </w:tcBorders>
          </w:tcPr>
          <w:p w14:paraId="127C7630" w14:textId="77777777" w:rsidR="004A29BC" w:rsidRDefault="004A29BC">
            <w:pPr>
              <w:autoSpaceDE w:val="0"/>
              <w:autoSpaceDN w:val="0"/>
              <w:adjustRightInd w:val="0"/>
              <w:snapToGrid w:val="0"/>
              <w:jc w:val="center"/>
              <w:rPr>
                <w:rFonts w:ascii="仿宋" w:eastAsia="仿宋" w:hAnsi="仿宋" w:cs="Times New Roman"/>
                <w:sz w:val="18"/>
                <w:szCs w:val="18"/>
              </w:rPr>
            </w:pPr>
          </w:p>
          <w:p w14:paraId="4BCED1AC" w14:textId="77777777" w:rsidR="004A29BC" w:rsidRDefault="006C600F">
            <w:pPr>
              <w:autoSpaceDE w:val="0"/>
              <w:autoSpaceDN w:val="0"/>
              <w:adjustRightInd w:val="0"/>
              <w:snapToGrid w:val="0"/>
              <w:jc w:val="center"/>
              <w:rPr>
                <w:rFonts w:ascii="仿宋" w:eastAsia="仿宋" w:hAnsi="仿宋" w:cs="Times New Roman"/>
                <w:sz w:val="18"/>
                <w:szCs w:val="18"/>
              </w:rPr>
            </w:pPr>
            <w:r>
              <w:rPr>
                <w:rFonts w:ascii="仿宋" w:eastAsia="仿宋" w:hAnsi="仿宋" w:cs="Times New Roman" w:hint="eastAsia"/>
                <w:sz w:val="18"/>
                <w:szCs w:val="18"/>
              </w:rPr>
              <w:t>苯</w:t>
            </w:r>
          </w:p>
        </w:tc>
      </w:tr>
      <w:tr w:rsidR="004A29BC" w14:paraId="03EC2688" w14:textId="77777777">
        <w:trPr>
          <w:trHeight w:val="230"/>
          <w:jc w:val="center"/>
        </w:trPr>
        <w:tc>
          <w:tcPr>
            <w:tcW w:w="1418" w:type="dxa"/>
            <w:tcBorders>
              <w:top w:val="single" w:sz="4" w:space="0" w:color="auto"/>
              <w:left w:val="nil"/>
              <w:bottom w:val="nil"/>
              <w:right w:val="nil"/>
            </w:tcBorders>
            <w:tcMar>
              <w:left w:w="0" w:type="dxa"/>
              <w:right w:w="0" w:type="dxa"/>
            </w:tcMar>
            <w:vAlign w:val="center"/>
          </w:tcPr>
          <w:p w14:paraId="5BD7D50F" w14:textId="77777777" w:rsidR="004A29BC" w:rsidRDefault="006C600F">
            <w:pPr>
              <w:adjustRightInd w:val="0"/>
              <w:snapToGrid w:val="0"/>
              <w:ind w:firstLineChars="100" w:firstLine="180"/>
              <w:rPr>
                <w:rFonts w:ascii="Times New Roman" w:hAnsi="Times New Roman" w:cs="Times New Roman"/>
                <w:sz w:val="18"/>
                <w:szCs w:val="18"/>
              </w:rPr>
            </w:pPr>
            <w:r>
              <w:rPr>
                <w:rFonts w:ascii="Times New Roman" w:hAnsi="Times New Roman" w:cs="Times New Roman"/>
                <w:sz w:val="18"/>
                <w:szCs w:val="18"/>
              </w:rPr>
              <w:t>Ref</w:t>
            </w:r>
            <w:r>
              <w:rPr>
                <w:rFonts w:ascii="Times New Roman" w:hAnsi="Times New Roman" w:cs="Times New Roman" w:hint="eastAsia"/>
                <w:sz w:val="18"/>
                <w:szCs w:val="18"/>
              </w:rPr>
              <w:t>[</w:t>
            </w:r>
            <w:r>
              <w:rPr>
                <w:rFonts w:ascii="Times New Roman" w:hAnsi="Times New Roman" w:cs="Times New Roman"/>
                <w:sz w:val="18"/>
                <w:szCs w:val="18"/>
              </w:rPr>
              <w:t>13]</w:t>
            </w:r>
          </w:p>
        </w:tc>
        <w:tc>
          <w:tcPr>
            <w:tcW w:w="1701" w:type="dxa"/>
            <w:tcBorders>
              <w:top w:val="single" w:sz="4" w:space="0" w:color="auto"/>
              <w:left w:val="nil"/>
              <w:bottom w:val="nil"/>
              <w:right w:val="nil"/>
            </w:tcBorders>
            <w:vAlign w:val="center"/>
          </w:tcPr>
          <w:p w14:paraId="0215921F"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9</w:t>
            </w:r>
            <w:r>
              <w:rPr>
                <w:rFonts w:ascii="Times New Roman" w:hAnsi="Times New Roman" w:cs="Times New Roman"/>
                <w:sz w:val="18"/>
                <w:szCs w:val="18"/>
                <w:shd w:val="clear" w:color="auto" w:fill="FFFFFF"/>
              </w:rPr>
              <w:t>%</w:t>
            </w:r>
          </w:p>
        </w:tc>
        <w:tc>
          <w:tcPr>
            <w:tcW w:w="1701" w:type="dxa"/>
            <w:tcBorders>
              <w:top w:val="single" w:sz="4" w:space="0" w:color="auto"/>
              <w:left w:val="nil"/>
              <w:bottom w:val="nil"/>
              <w:right w:val="nil"/>
            </w:tcBorders>
            <w:tcMar>
              <w:left w:w="0" w:type="dxa"/>
              <w:right w:w="0" w:type="dxa"/>
            </w:tcMar>
            <w:vAlign w:val="center"/>
          </w:tcPr>
          <w:p w14:paraId="1093516F"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12%</w:t>
            </w:r>
          </w:p>
        </w:tc>
        <w:tc>
          <w:tcPr>
            <w:tcW w:w="1984" w:type="dxa"/>
            <w:tcBorders>
              <w:top w:val="single" w:sz="4" w:space="0" w:color="auto"/>
              <w:left w:val="nil"/>
              <w:bottom w:val="nil"/>
              <w:right w:val="nil"/>
            </w:tcBorders>
          </w:tcPr>
          <w:p w14:paraId="7EA7BC35"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1</w:t>
            </w:r>
            <w:r>
              <w:rPr>
                <w:rFonts w:ascii="Times New Roman" w:hAnsi="Times New Roman" w:cs="Times New Roman"/>
                <w:sz w:val="18"/>
                <w:szCs w:val="18"/>
                <w:shd w:val="clear" w:color="auto" w:fill="FFFFFF"/>
              </w:rPr>
              <w:t>3.5%</w:t>
            </w:r>
          </w:p>
        </w:tc>
      </w:tr>
      <w:tr w:rsidR="004A29BC" w14:paraId="731DA451" w14:textId="77777777">
        <w:trPr>
          <w:trHeight w:val="230"/>
          <w:jc w:val="center"/>
        </w:trPr>
        <w:tc>
          <w:tcPr>
            <w:tcW w:w="1418" w:type="dxa"/>
            <w:tcBorders>
              <w:top w:val="nil"/>
              <w:left w:val="nil"/>
              <w:bottom w:val="nil"/>
              <w:right w:val="nil"/>
            </w:tcBorders>
            <w:tcMar>
              <w:left w:w="0" w:type="dxa"/>
              <w:right w:w="0" w:type="dxa"/>
            </w:tcMar>
            <w:vAlign w:val="center"/>
          </w:tcPr>
          <w:p w14:paraId="158EEAD4" w14:textId="77777777" w:rsidR="004A29BC" w:rsidRDefault="006C600F">
            <w:pPr>
              <w:autoSpaceDE w:val="0"/>
              <w:autoSpaceDN w:val="0"/>
              <w:adjustRightInd w:val="0"/>
              <w:snapToGrid w:val="0"/>
              <w:ind w:firstLineChars="100" w:firstLine="180"/>
              <w:rPr>
                <w:rFonts w:ascii="Times New Roman" w:hAnsi="Times New Roman" w:cs="Times New Roman"/>
                <w:sz w:val="18"/>
                <w:szCs w:val="18"/>
              </w:rPr>
            </w:pPr>
            <w:r>
              <w:rPr>
                <w:rFonts w:ascii="Times New Roman" w:hAnsi="Times New Roman" w:cs="Times New Roman"/>
                <w:sz w:val="18"/>
                <w:szCs w:val="18"/>
              </w:rPr>
              <w:t>Ref[14]</w:t>
            </w:r>
          </w:p>
        </w:tc>
        <w:tc>
          <w:tcPr>
            <w:tcW w:w="1701" w:type="dxa"/>
            <w:tcBorders>
              <w:top w:val="nil"/>
              <w:left w:val="nil"/>
              <w:bottom w:val="nil"/>
              <w:right w:val="nil"/>
            </w:tcBorders>
            <w:vAlign w:val="center"/>
          </w:tcPr>
          <w:p w14:paraId="26D37C11"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w:t>
            </w: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0%</w:t>
            </w:r>
          </w:p>
        </w:tc>
        <w:tc>
          <w:tcPr>
            <w:tcW w:w="1701" w:type="dxa"/>
            <w:tcBorders>
              <w:top w:val="nil"/>
              <w:left w:val="nil"/>
              <w:bottom w:val="nil"/>
              <w:right w:val="nil"/>
            </w:tcBorders>
            <w:tcMar>
              <w:left w:w="0" w:type="dxa"/>
              <w:right w:w="0" w:type="dxa"/>
            </w:tcMar>
            <w:vAlign w:val="center"/>
          </w:tcPr>
          <w:p w14:paraId="1A4B62BB"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w:t>
            </w: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0%</w:t>
            </w:r>
          </w:p>
        </w:tc>
        <w:tc>
          <w:tcPr>
            <w:tcW w:w="1984" w:type="dxa"/>
            <w:tcBorders>
              <w:top w:val="nil"/>
              <w:left w:val="nil"/>
              <w:bottom w:val="nil"/>
              <w:right w:val="nil"/>
            </w:tcBorders>
            <w:vAlign w:val="center"/>
          </w:tcPr>
          <w:p w14:paraId="59176F82"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w:t>
            </w: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0%</w:t>
            </w:r>
          </w:p>
        </w:tc>
      </w:tr>
      <w:tr w:rsidR="004A29BC" w14:paraId="1FD1F780" w14:textId="77777777">
        <w:trPr>
          <w:trHeight w:val="230"/>
          <w:jc w:val="center"/>
        </w:trPr>
        <w:tc>
          <w:tcPr>
            <w:tcW w:w="1418" w:type="dxa"/>
            <w:tcBorders>
              <w:top w:val="nil"/>
              <w:left w:val="nil"/>
              <w:bottom w:val="nil"/>
              <w:right w:val="nil"/>
            </w:tcBorders>
            <w:tcMar>
              <w:left w:w="0" w:type="dxa"/>
              <w:right w:w="0" w:type="dxa"/>
            </w:tcMar>
            <w:vAlign w:val="center"/>
          </w:tcPr>
          <w:p w14:paraId="5335AC50" w14:textId="77777777" w:rsidR="004A29BC" w:rsidRDefault="006C600F">
            <w:pPr>
              <w:autoSpaceDE w:val="0"/>
              <w:autoSpaceDN w:val="0"/>
              <w:adjustRightInd w:val="0"/>
              <w:snapToGrid w:val="0"/>
              <w:ind w:firstLineChars="100" w:firstLine="180"/>
              <w:rPr>
                <w:rFonts w:ascii="Times New Roman" w:hAnsi="Times New Roman" w:cs="Times New Roman"/>
                <w:sz w:val="18"/>
                <w:szCs w:val="18"/>
              </w:rPr>
            </w:pPr>
            <w:r>
              <w:rPr>
                <w:rFonts w:ascii="Times New Roman" w:hAnsi="Times New Roman" w:cs="Times New Roman"/>
                <w:sz w:val="18"/>
                <w:szCs w:val="18"/>
              </w:rPr>
              <w:t>Ref[15]</w:t>
            </w:r>
          </w:p>
        </w:tc>
        <w:tc>
          <w:tcPr>
            <w:tcW w:w="1701" w:type="dxa"/>
            <w:tcBorders>
              <w:top w:val="nil"/>
              <w:left w:val="nil"/>
              <w:bottom w:val="nil"/>
              <w:right w:val="nil"/>
            </w:tcBorders>
            <w:vAlign w:val="center"/>
          </w:tcPr>
          <w:p w14:paraId="4D2060B0"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w:t>
            </w: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0%</w:t>
            </w:r>
          </w:p>
        </w:tc>
        <w:tc>
          <w:tcPr>
            <w:tcW w:w="1701" w:type="dxa"/>
            <w:tcBorders>
              <w:top w:val="nil"/>
              <w:left w:val="nil"/>
              <w:bottom w:val="nil"/>
              <w:right w:val="nil"/>
            </w:tcBorders>
            <w:tcMar>
              <w:left w:w="0" w:type="dxa"/>
              <w:right w:w="0" w:type="dxa"/>
            </w:tcMar>
            <w:vAlign w:val="center"/>
          </w:tcPr>
          <w:p w14:paraId="6E2A21CB"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w:t>
            </w: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5%</w:t>
            </w:r>
          </w:p>
        </w:tc>
        <w:tc>
          <w:tcPr>
            <w:tcW w:w="1984" w:type="dxa"/>
            <w:tcBorders>
              <w:top w:val="nil"/>
              <w:left w:val="nil"/>
              <w:bottom w:val="nil"/>
              <w:right w:val="nil"/>
            </w:tcBorders>
            <w:vAlign w:val="center"/>
          </w:tcPr>
          <w:p w14:paraId="615F4B20"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&lt;60%</w:t>
            </w:r>
          </w:p>
        </w:tc>
      </w:tr>
      <w:tr w:rsidR="004A29BC" w14:paraId="4BD1FD26" w14:textId="77777777">
        <w:trPr>
          <w:trHeight w:val="230"/>
          <w:jc w:val="center"/>
        </w:trPr>
        <w:tc>
          <w:tcPr>
            <w:tcW w:w="1418" w:type="dxa"/>
            <w:tcBorders>
              <w:top w:val="nil"/>
              <w:left w:val="nil"/>
              <w:bottom w:val="nil"/>
              <w:right w:val="nil"/>
            </w:tcBorders>
            <w:tcMar>
              <w:left w:w="0" w:type="dxa"/>
              <w:right w:w="0" w:type="dxa"/>
            </w:tcMar>
            <w:vAlign w:val="center"/>
          </w:tcPr>
          <w:p w14:paraId="55109A0D" w14:textId="77777777" w:rsidR="004A29BC" w:rsidRDefault="006C600F">
            <w:pPr>
              <w:autoSpaceDE w:val="0"/>
              <w:autoSpaceDN w:val="0"/>
              <w:adjustRightInd w:val="0"/>
              <w:snapToGrid w:val="0"/>
              <w:ind w:firstLineChars="100" w:firstLine="180"/>
              <w:rPr>
                <w:rFonts w:ascii="Times New Roman" w:hAnsi="Times New Roman" w:cs="Times New Roman"/>
                <w:sz w:val="18"/>
                <w:szCs w:val="18"/>
              </w:rPr>
            </w:pPr>
            <w:r>
              <w:rPr>
                <w:rFonts w:ascii="Times New Roman" w:hAnsi="Times New Roman" w:cs="Times New Roman"/>
                <w:sz w:val="18"/>
                <w:szCs w:val="18"/>
              </w:rPr>
              <w:t>Ref[16]</w:t>
            </w:r>
          </w:p>
        </w:tc>
        <w:tc>
          <w:tcPr>
            <w:tcW w:w="1701" w:type="dxa"/>
            <w:tcBorders>
              <w:top w:val="nil"/>
              <w:left w:val="nil"/>
              <w:bottom w:val="nil"/>
              <w:right w:val="nil"/>
            </w:tcBorders>
          </w:tcPr>
          <w:p w14:paraId="78F2D988" w14:textId="77777777" w:rsidR="004A29BC" w:rsidRDefault="006C600F">
            <w:pPr>
              <w:autoSpaceDE w:val="0"/>
              <w:autoSpaceDN w:val="0"/>
              <w:adjustRightInd w:val="0"/>
              <w:snapToGrid w:val="0"/>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 xml:space="preserve"> </w:t>
            </w:r>
            <w:r>
              <w:rPr>
                <w:rFonts w:ascii="Times New Roman" w:hAnsi="Times New Roman" w:cs="Times New Roman"/>
                <w:sz w:val="18"/>
                <w:szCs w:val="18"/>
                <w:shd w:val="clear" w:color="auto" w:fill="FFFFFF"/>
              </w:rPr>
              <w:t xml:space="preserve">    56.8%</w:t>
            </w:r>
          </w:p>
        </w:tc>
        <w:tc>
          <w:tcPr>
            <w:tcW w:w="1701" w:type="dxa"/>
            <w:tcBorders>
              <w:top w:val="nil"/>
              <w:left w:val="nil"/>
              <w:bottom w:val="nil"/>
              <w:right w:val="nil"/>
            </w:tcBorders>
            <w:tcMar>
              <w:left w:w="0" w:type="dxa"/>
              <w:right w:w="0" w:type="dxa"/>
            </w:tcMar>
            <w:vAlign w:val="center"/>
          </w:tcPr>
          <w:p w14:paraId="17903D6E"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w:t>
            </w:r>
          </w:p>
        </w:tc>
        <w:tc>
          <w:tcPr>
            <w:tcW w:w="1984" w:type="dxa"/>
            <w:tcBorders>
              <w:top w:val="nil"/>
              <w:left w:val="nil"/>
              <w:bottom w:val="nil"/>
              <w:right w:val="nil"/>
            </w:tcBorders>
          </w:tcPr>
          <w:p w14:paraId="139164BA"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w:t>
            </w:r>
          </w:p>
        </w:tc>
      </w:tr>
      <w:tr w:rsidR="004A29BC" w14:paraId="385AC484" w14:textId="77777777">
        <w:trPr>
          <w:trHeight w:val="230"/>
          <w:jc w:val="center"/>
        </w:trPr>
        <w:tc>
          <w:tcPr>
            <w:tcW w:w="1418" w:type="dxa"/>
            <w:tcBorders>
              <w:top w:val="nil"/>
              <w:left w:val="nil"/>
              <w:bottom w:val="nil"/>
              <w:right w:val="nil"/>
            </w:tcBorders>
            <w:tcMar>
              <w:left w:w="0" w:type="dxa"/>
              <w:right w:w="0" w:type="dxa"/>
            </w:tcMar>
            <w:vAlign w:val="center"/>
          </w:tcPr>
          <w:p w14:paraId="51E982E1" w14:textId="77777777" w:rsidR="004A29BC" w:rsidRDefault="006C600F">
            <w:pPr>
              <w:autoSpaceDE w:val="0"/>
              <w:autoSpaceDN w:val="0"/>
              <w:adjustRightInd w:val="0"/>
              <w:snapToGrid w:val="0"/>
              <w:ind w:firstLineChars="100" w:firstLine="180"/>
              <w:rPr>
                <w:rFonts w:ascii="Times New Roman" w:hAnsi="Times New Roman" w:cs="Times New Roman"/>
                <w:sz w:val="18"/>
                <w:szCs w:val="18"/>
              </w:rPr>
            </w:pPr>
            <w:r>
              <w:rPr>
                <w:rFonts w:ascii="Times New Roman" w:hAnsi="Times New Roman" w:cs="Times New Roman"/>
                <w:sz w:val="18"/>
                <w:szCs w:val="18"/>
              </w:rPr>
              <w:t>Ref[17]</w:t>
            </w:r>
          </w:p>
        </w:tc>
        <w:tc>
          <w:tcPr>
            <w:tcW w:w="1701" w:type="dxa"/>
            <w:tcBorders>
              <w:top w:val="nil"/>
              <w:left w:val="nil"/>
              <w:bottom w:val="nil"/>
              <w:right w:val="nil"/>
            </w:tcBorders>
          </w:tcPr>
          <w:p w14:paraId="064ED70C"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45%</w:t>
            </w:r>
          </w:p>
        </w:tc>
        <w:tc>
          <w:tcPr>
            <w:tcW w:w="1701" w:type="dxa"/>
            <w:tcBorders>
              <w:top w:val="nil"/>
              <w:left w:val="nil"/>
              <w:bottom w:val="nil"/>
              <w:right w:val="nil"/>
            </w:tcBorders>
            <w:tcMar>
              <w:left w:w="0" w:type="dxa"/>
              <w:right w:w="0" w:type="dxa"/>
            </w:tcMar>
            <w:vAlign w:val="center"/>
          </w:tcPr>
          <w:p w14:paraId="199C8AA7"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w:t>
            </w:r>
          </w:p>
        </w:tc>
        <w:tc>
          <w:tcPr>
            <w:tcW w:w="1984" w:type="dxa"/>
            <w:tcBorders>
              <w:top w:val="nil"/>
              <w:left w:val="nil"/>
              <w:bottom w:val="nil"/>
              <w:right w:val="nil"/>
            </w:tcBorders>
          </w:tcPr>
          <w:p w14:paraId="257FF15A"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w:t>
            </w:r>
          </w:p>
        </w:tc>
      </w:tr>
      <w:tr w:rsidR="004A29BC" w14:paraId="23570393" w14:textId="77777777">
        <w:trPr>
          <w:trHeight w:val="230"/>
          <w:jc w:val="center"/>
        </w:trPr>
        <w:tc>
          <w:tcPr>
            <w:tcW w:w="1418" w:type="dxa"/>
            <w:tcBorders>
              <w:top w:val="nil"/>
              <w:left w:val="nil"/>
              <w:bottom w:val="nil"/>
              <w:right w:val="nil"/>
            </w:tcBorders>
            <w:tcMar>
              <w:left w:w="0" w:type="dxa"/>
              <w:right w:w="0" w:type="dxa"/>
            </w:tcMar>
            <w:vAlign w:val="center"/>
          </w:tcPr>
          <w:p w14:paraId="0D31C5FC" w14:textId="77777777" w:rsidR="004A29BC" w:rsidRDefault="006C600F">
            <w:pPr>
              <w:adjustRightInd w:val="0"/>
              <w:snapToGrid w:val="0"/>
              <w:ind w:leftChars="100" w:left="210"/>
              <w:rPr>
                <w:rFonts w:ascii="Times New Roman" w:hAnsi="Times New Roman" w:cs="Times New Roman"/>
                <w:sz w:val="18"/>
                <w:szCs w:val="18"/>
              </w:rPr>
            </w:pPr>
            <w:r>
              <w:rPr>
                <w:rFonts w:ascii="Times New Roman" w:hAnsi="Times New Roman" w:cs="Times New Roman"/>
                <w:sz w:val="18"/>
                <w:szCs w:val="18"/>
              </w:rPr>
              <w:t>Ref[18]</w:t>
            </w:r>
          </w:p>
        </w:tc>
        <w:tc>
          <w:tcPr>
            <w:tcW w:w="1701" w:type="dxa"/>
            <w:tcBorders>
              <w:top w:val="nil"/>
              <w:left w:val="nil"/>
              <w:bottom w:val="nil"/>
              <w:right w:val="nil"/>
            </w:tcBorders>
          </w:tcPr>
          <w:p w14:paraId="498519B5"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5</w:t>
            </w:r>
            <w:r>
              <w:rPr>
                <w:rFonts w:ascii="Times New Roman" w:hAnsi="Times New Roman" w:cs="Times New Roman"/>
                <w:sz w:val="18"/>
                <w:szCs w:val="18"/>
                <w:shd w:val="clear" w:color="auto" w:fill="FFFFFF"/>
              </w:rPr>
              <w:t>6.3%</w:t>
            </w:r>
          </w:p>
        </w:tc>
        <w:tc>
          <w:tcPr>
            <w:tcW w:w="1701" w:type="dxa"/>
            <w:tcBorders>
              <w:top w:val="nil"/>
              <w:left w:val="nil"/>
              <w:bottom w:val="nil"/>
              <w:right w:val="nil"/>
            </w:tcBorders>
            <w:tcMar>
              <w:left w:w="0" w:type="dxa"/>
              <w:right w:w="0" w:type="dxa"/>
            </w:tcMar>
            <w:vAlign w:val="center"/>
          </w:tcPr>
          <w:p w14:paraId="12380155"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59.9%</w:t>
            </w:r>
          </w:p>
        </w:tc>
        <w:tc>
          <w:tcPr>
            <w:tcW w:w="1984" w:type="dxa"/>
            <w:tcBorders>
              <w:top w:val="nil"/>
              <w:left w:val="nil"/>
              <w:bottom w:val="nil"/>
              <w:right w:val="nil"/>
            </w:tcBorders>
          </w:tcPr>
          <w:p w14:paraId="0997E5C9"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6</w:t>
            </w:r>
            <w:r>
              <w:rPr>
                <w:rFonts w:ascii="Times New Roman" w:hAnsi="Times New Roman" w:cs="Times New Roman"/>
                <w:sz w:val="18"/>
                <w:szCs w:val="18"/>
                <w:shd w:val="clear" w:color="auto" w:fill="FFFFFF"/>
              </w:rPr>
              <w:t>2.7%</w:t>
            </w:r>
          </w:p>
        </w:tc>
      </w:tr>
      <w:tr w:rsidR="004A29BC" w14:paraId="6333B87C" w14:textId="77777777">
        <w:trPr>
          <w:trHeight w:val="230"/>
          <w:jc w:val="center"/>
        </w:trPr>
        <w:tc>
          <w:tcPr>
            <w:tcW w:w="1418" w:type="dxa"/>
            <w:tcBorders>
              <w:top w:val="nil"/>
              <w:left w:val="nil"/>
              <w:bottom w:val="single" w:sz="8" w:space="0" w:color="auto"/>
              <w:right w:val="nil"/>
            </w:tcBorders>
            <w:tcMar>
              <w:left w:w="0" w:type="dxa"/>
              <w:right w:w="0" w:type="dxa"/>
            </w:tcMar>
            <w:vAlign w:val="center"/>
          </w:tcPr>
          <w:p w14:paraId="5C30D0AE" w14:textId="77777777" w:rsidR="004A29BC" w:rsidRDefault="006C600F">
            <w:pPr>
              <w:adjustRightInd w:val="0"/>
              <w:snapToGrid w:val="0"/>
              <w:ind w:leftChars="100" w:left="210"/>
              <w:rPr>
                <w:rFonts w:ascii="Times New Roman" w:hAnsi="Times New Roman" w:cs="Times New Roman"/>
                <w:sz w:val="18"/>
                <w:szCs w:val="18"/>
              </w:rPr>
            </w:pPr>
            <w:r>
              <w:rPr>
                <w:rFonts w:ascii="Times New Roman" w:hAnsi="Times New Roman" w:cs="Times New Roman" w:hint="eastAsia"/>
                <w:sz w:val="18"/>
                <w:szCs w:val="18"/>
              </w:rPr>
              <w:t>本文</w:t>
            </w:r>
            <w:r>
              <w:rPr>
                <w:rFonts w:ascii="Times New Roman" w:hAnsi="Times New Roman" w:cs="Times New Roman"/>
                <w:sz w:val="18"/>
                <w:szCs w:val="18"/>
              </w:rPr>
              <w:t>设计</w:t>
            </w:r>
          </w:p>
        </w:tc>
        <w:tc>
          <w:tcPr>
            <w:tcW w:w="1701" w:type="dxa"/>
            <w:tcBorders>
              <w:top w:val="nil"/>
              <w:left w:val="nil"/>
              <w:bottom w:val="single" w:sz="8" w:space="0" w:color="auto"/>
              <w:right w:val="nil"/>
            </w:tcBorders>
          </w:tcPr>
          <w:p w14:paraId="57C2787A"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7</w:t>
            </w:r>
            <w:r>
              <w:rPr>
                <w:rFonts w:ascii="Times New Roman" w:hAnsi="Times New Roman" w:cs="Times New Roman"/>
                <w:sz w:val="18"/>
                <w:szCs w:val="18"/>
                <w:shd w:val="clear" w:color="auto" w:fill="FFFFFF"/>
              </w:rPr>
              <w:t>1.8%</w:t>
            </w:r>
          </w:p>
        </w:tc>
        <w:tc>
          <w:tcPr>
            <w:tcW w:w="1701" w:type="dxa"/>
            <w:tcBorders>
              <w:top w:val="nil"/>
              <w:left w:val="nil"/>
              <w:bottom w:val="single" w:sz="8" w:space="0" w:color="auto"/>
              <w:right w:val="nil"/>
            </w:tcBorders>
            <w:tcMar>
              <w:left w:w="0" w:type="dxa"/>
              <w:right w:w="0" w:type="dxa"/>
            </w:tcMar>
            <w:vAlign w:val="center"/>
          </w:tcPr>
          <w:p w14:paraId="5A94D548"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74.5%</w:t>
            </w:r>
          </w:p>
        </w:tc>
        <w:tc>
          <w:tcPr>
            <w:tcW w:w="1984" w:type="dxa"/>
            <w:tcBorders>
              <w:top w:val="nil"/>
              <w:left w:val="nil"/>
              <w:bottom w:val="single" w:sz="8" w:space="0" w:color="auto"/>
              <w:right w:val="nil"/>
            </w:tcBorders>
          </w:tcPr>
          <w:p w14:paraId="1AC719C1" w14:textId="77777777" w:rsidR="004A29BC" w:rsidRDefault="006C600F">
            <w:pPr>
              <w:autoSpaceDE w:val="0"/>
              <w:autoSpaceDN w:val="0"/>
              <w:adjustRightInd w:val="0"/>
              <w:snapToGrid w:val="0"/>
              <w:jc w:val="center"/>
              <w:rPr>
                <w:rFonts w:ascii="Times New Roman" w:hAnsi="Times New Roman" w:cs="Times New Roman"/>
                <w:sz w:val="18"/>
                <w:szCs w:val="18"/>
                <w:shd w:val="clear" w:color="auto" w:fill="FFFFFF"/>
              </w:rPr>
            </w:pPr>
            <w:r>
              <w:rPr>
                <w:rFonts w:ascii="Times New Roman" w:hAnsi="Times New Roman" w:cs="Times New Roman" w:hint="eastAsia"/>
                <w:sz w:val="18"/>
                <w:szCs w:val="18"/>
                <w:shd w:val="clear" w:color="auto" w:fill="FFFFFF"/>
              </w:rPr>
              <w:t>7</w:t>
            </w:r>
            <w:r>
              <w:rPr>
                <w:rFonts w:ascii="Times New Roman" w:hAnsi="Times New Roman" w:cs="Times New Roman"/>
                <w:sz w:val="18"/>
                <w:szCs w:val="18"/>
                <w:shd w:val="clear" w:color="auto" w:fill="FFFFFF"/>
              </w:rPr>
              <w:t>5.6%</w:t>
            </w:r>
          </w:p>
        </w:tc>
      </w:tr>
    </w:tbl>
    <w:p w14:paraId="52394FCD" w14:textId="77777777" w:rsidR="004A29BC" w:rsidRDefault="006C600F">
      <w:pPr>
        <w:adjustRightInd w:val="0"/>
        <w:snapToGrid w:val="0"/>
        <w:spacing w:before="100" w:beforeAutospacing="1" w:after="100" w:afterAutospacing="1"/>
        <w:jc w:val="left"/>
        <w:rPr>
          <w:rFonts w:asciiTheme="minorEastAsia" w:hAnsiTheme="minorEastAsia"/>
          <w:b/>
          <w:sz w:val="24"/>
          <w:szCs w:val="24"/>
        </w:rPr>
      </w:pPr>
      <w:r>
        <w:rPr>
          <w:rFonts w:asciiTheme="minorEastAsia" w:hAnsiTheme="minorEastAsia"/>
          <w:b/>
          <w:szCs w:val="21"/>
        </w:rPr>
        <w:t>2.4光纤制造可行性分析</w:t>
      </w:r>
    </w:p>
    <w:p w14:paraId="7BB754BE" w14:textId="77777777" w:rsidR="004A29BC" w:rsidRDefault="006C600F">
      <w:pPr>
        <w:widowControl/>
        <w:spacing w:before="100" w:beforeAutospacing="1" w:after="100" w:afterAutospacing="1"/>
        <w:ind w:firstLine="420"/>
        <w:jc w:val="left"/>
        <w:rPr>
          <w:rFonts w:ascii="Times New Roman" w:hAnsi="Times New Roman" w:cs="Times New Roman"/>
          <w:szCs w:val="21"/>
        </w:rPr>
      </w:pPr>
      <w:r>
        <w:rPr>
          <w:rFonts w:ascii="Segoe UI" w:eastAsia="宋体" w:hAnsi="Segoe UI" w:cs="Segoe UI"/>
          <w:color w:val="404040"/>
          <w:kern w:val="0"/>
          <w:szCs w:val="21"/>
        </w:rPr>
        <w:t>与传统光纤相比，</w:t>
      </w:r>
      <w:r>
        <w:rPr>
          <w:rFonts w:ascii="Segoe UI" w:eastAsia="宋体" w:hAnsi="Segoe UI" w:cs="Segoe UI"/>
          <w:color w:val="404040"/>
          <w:kern w:val="0"/>
          <w:szCs w:val="21"/>
        </w:rPr>
        <w:t>PCF</w:t>
      </w:r>
      <w:r>
        <w:rPr>
          <w:rFonts w:ascii="Segoe UI" w:eastAsia="宋体" w:hAnsi="Segoe UI" w:cs="Segoe UI"/>
          <w:color w:val="404040"/>
          <w:kern w:val="0"/>
          <w:szCs w:val="21"/>
        </w:rPr>
        <w:t>的制备工艺更为复杂。目前主要的制备方法包括堆叠</w:t>
      </w:r>
      <w:r>
        <w:rPr>
          <w:rFonts w:ascii="Segoe UI" w:eastAsia="宋体" w:hAnsi="Segoe UI" w:cs="Segoe UI"/>
          <w:color w:val="404040"/>
          <w:kern w:val="0"/>
          <w:szCs w:val="21"/>
        </w:rPr>
        <w:t>-</w:t>
      </w:r>
      <w:r>
        <w:rPr>
          <w:rFonts w:ascii="Segoe UI" w:eastAsia="宋体" w:hAnsi="Segoe UI" w:cs="Segoe UI"/>
          <w:color w:val="404040"/>
          <w:kern w:val="0"/>
          <w:szCs w:val="21"/>
        </w:rPr>
        <w:t>拉制法</w:t>
      </w:r>
      <w:r>
        <w:rPr>
          <w:rFonts w:ascii="Segoe UI" w:eastAsia="宋体" w:hAnsi="Segoe UI" w:cs="Segoe UI"/>
          <w:color w:val="404040"/>
          <w:kern w:val="0"/>
          <w:szCs w:val="21"/>
        </w:rPr>
        <w:t>[26]</w:t>
      </w:r>
      <w:r>
        <w:rPr>
          <w:rFonts w:ascii="Segoe UI" w:eastAsia="宋体" w:hAnsi="Segoe UI" w:cs="Segoe UI"/>
          <w:color w:val="404040"/>
          <w:kern w:val="0"/>
          <w:szCs w:val="21"/>
        </w:rPr>
        <w:t>、钻孔法</w:t>
      </w:r>
      <w:r>
        <w:rPr>
          <w:rFonts w:ascii="Segoe UI" w:eastAsia="宋体" w:hAnsi="Segoe UI" w:cs="Segoe UI"/>
          <w:color w:val="404040"/>
          <w:kern w:val="0"/>
          <w:szCs w:val="21"/>
        </w:rPr>
        <w:t>[27]</w:t>
      </w:r>
      <w:r>
        <w:rPr>
          <w:rFonts w:ascii="Segoe UI" w:eastAsia="宋体" w:hAnsi="Segoe UI" w:cs="Segoe UI"/>
          <w:color w:val="404040"/>
          <w:kern w:val="0"/>
          <w:szCs w:val="21"/>
        </w:rPr>
        <w:t>、挤压法</w:t>
      </w:r>
      <w:r>
        <w:rPr>
          <w:rFonts w:ascii="Segoe UI" w:eastAsia="宋体" w:hAnsi="Segoe UI" w:cs="Segoe UI"/>
          <w:color w:val="404040"/>
          <w:kern w:val="0"/>
          <w:szCs w:val="21"/>
        </w:rPr>
        <w:t>[28]</w:t>
      </w:r>
      <w:r>
        <w:rPr>
          <w:rFonts w:ascii="Segoe UI" w:eastAsia="宋体" w:hAnsi="Segoe UI" w:cs="Segoe UI"/>
          <w:color w:val="404040"/>
          <w:kern w:val="0"/>
          <w:szCs w:val="21"/>
        </w:rPr>
        <w:t>以及溶胶</w:t>
      </w:r>
      <w:r>
        <w:rPr>
          <w:rFonts w:ascii="Segoe UI" w:eastAsia="宋体" w:hAnsi="Segoe UI" w:cs="Segoe UI"/>
          <w:color w:val="404040"/>
          <w:kern w:val="0"/>
          <w:szCs w:val="21"/>
        </w:rPr>
        <w:t>-</w:t>
      </w:r>
      <w:r>
        <w:rPr>
          <w:rFonts w:ascii="Segoe UI" w:eastAsia="宋体" w:hAnsi="Segoe UI" w:cs="Segoe UI"/>
          <w:color w:val="404040"/>
          <w:kern w:val="0"/>
          <w:szCs w:val="21"/>
        </w:rPr>
        <w:t>凝胶法</w:t>
      </w:r>
      <w:r>
        <w:rPr>
          <w:rFonts w:ascii="Segoe UI" w:eastAsia="宋体" w:hAnsi="Segoe UI" w:cs="Segoe UI"/>
          <w:color w:val="404040"/>
          <w:kern w:val="0"/>
          <w:szCs w:val="21"/>
        </w:rPr>
        <w:t>[29]</w:t>
      </w:r>
      <w:r>
        <w:rPr>
          <w:rFonts w:ascii="Segoe UI" w:eastAsia="宋体" w:hAnsi="Segoe UI" w:cs="Segoe UI"/>
          <w:color w:val="404040"/>
          <w:kern w:val="0"/>
          <w:szCs w:val="21"/>
        </w:rPr>
        <w:t>。在这些方法中，溶胶</w:t>
      </w:r>
      <w:r>
        <w:rPr>
          <w:rFonts w:ascii="Segoe UI" w:eastAsia="宋体" w:hAnsi="Segoe UI" w:cs="Segoe UI"/>
          <w:color w:val="404040"/>
          <w:kern w:val="0"/>
          <w:szCs w:val="21"/>
        </w:rPr>
        <w:t>-</w:t>
      </w:r>
      <w:r>
        <w:rPr>
          <w:rFonts w:ascii="Segoe UI" w:eastAsia="宋体" w:hAnsi="Segoe UI" w:cs="Segoe UI"/>
          <w:color w:val="404040"/>
          <w:kern w:val="0"/>
          <w:szCs w:val="21"/>
        </w:rPr>
        <w:t>凝胶法因其优异的工艺灵活性而具有显著优势。该方法特别适用于制备具有复杂包层结构的</w:t>
      </w:r>
      <w:r>
        <w:rPr>
          <w:rFonts w:ascii="Segoe UI" w:eastAsia="宋体" w:hAnsi="Segoe UI" w:cs="Segoe UI"/>
          <w:color w:val="404040"/>
          <w:kern w:val="0"/>
          <w:szCs w:val="21"/>
        </w:rPr>
        <w:t>PCF</w:t>
      </w:r>
      <w:r>
        <w:rPr>
          <w:rFonts w:ascii="Segoe UI" w:eastAsia="宋体" w:hAnsi="Segoe UI" w:cs="Segoe UI"/>
          <w:color w:val="404040"/>
          <w:kern w:val="0"/>
          <w:szCs w:val="21"/>
        </w:rPr>
        <w:t>，能够精确调控气孔的几何参数（包括形状、尺寸和间距），从而有效避免传统方法易导致的结构</w:t>
      </w:r>
      <w:r>
        <w:rPr>
          <w:rFonts w:ascii="Segoe UI" w:eastAsia="宋体" w:hAnsi="Segoe UI" w:cs="Segoe UI"/>
          <w:color w:val="404040"/>
          <w:kern w:val="0"/>
          <w:szCs w:val="21"/>
        </w:rPr>
        <w:lastRenderedPageBreak/>
        <w:t>坍塌问题。其工艺流程为：首先将熔融石英与预制模具结合制备纤维预制件，随后通过拉丝工艺制成光纤。这种技术理论上适用于任何可模具化的</w:t>
      </w:r>
      <w:r>
        <w:rPr>
          <w:rFonts w:ascii="Segoe UI" w:eastAsia="宋体" w:hAnsi="Segoe UI" w:cs="Segoe UI"/>
          <w:color w:val="404040"/>
          <w:kern w:val="0"/>
          <w:szCs w:val="21"/>
        </w:rPr>
        <w:t>PCF</w:t>
      </w:r>
      <w:r>
        <w:rPr>
          <w:rFonts w:ascii="Segoe UI" w:eastAsia="宋体" w:hAnsi="Segoe UI" w:cs="Segoe UI"/>
          <w:color w:val="404040"/>
          <w:kern w:val="0"/>
          <w:szCs w:val="21"/>
        </w:rPr>
        <w:t>结构设计，包括本文提出的光纤构型。</w:t>
      </w:r>
      <w:r>
        <w:rPr>
          <w:rFonts w:ascii="Segoe UI" w:eastAsia="宋体" w:hAnsi="Segoe UI" w:cs="Segoe UI" w:hint="eastAsia"/>
          <w:color w:val="404040"/>
          <w:kern w:val="0"/>
          <w:szCs w:val="21"/>
        </w:rPr>
        <w:t>然</w:t>
      </w:r>
      <w:r>
        <w:rPr>
          <w:rFonts w:ascii="Segoe UI" w:eastAsia="宋体" w:hAnsi="Segoe UI" w:cs="Segoe UI"/>
          <w:color w:val="404040"/>
          <w:kern w:val="0"/>
          <w:szCs w:val="21"/>
        </w:rPr>
        <w:t>而，在拉制过程中，气孔直径通常会产生</w:t>
      </w:r>
      <w:r>
        <w:rPr>
          <w:rFonts w:ascii="Segoe UI" w:eastAsia="宋体" w:hAnsi="Segoe UI" w:cs="Segoe UI"/>
          <w:color w:val="404040"/>
          <w:kern w:val="0"/>
          <w:szCs w:val="21"/>
        </w:rPr>
        <w:t>1%</w:t>
      </w:r>
      <w:r>
        <w:rPr>
          <w:rFonts w:ascii="Segoe UI" w:eastAsia="宋体" w:hAnsi="Segoe UI" w:cs="Segoe UI"/>
          <w:color w:val="404040"/>
          <w:kern w:val="0"/>
          <w:szCs w:val="21"/>
        </w:rPr>
        <w:t>～</w:t>
      </w:r>
      <w:r>
        <w:rPr>
          <w:rFonts w:ascii="Segoe UI" w:eastAsia="宋体" w:hAnsi="Segoe UI" w:cs="Segoe UI"/>
          <w:color w:val="404040"/>
          <w:kern w:val="0"/>
          <w:szCs w:val="21"/>
        </w:rPr>
        <w:t>2%</w:t>
      </w:r>
      <w:r>
        <w:rPr>
          <w:rFonts w:ascii="Segoe UI" w:eastAsia="宋体" w:hAnsi="Segoe UI" w:cs="Segoe UI"/>
          <w:color w:val="404040"/>
          <w:kern w:val="0"/>
          <w:szCs w:val="21"/>
        </w:rPr>
        <w:t>的工艺偏差。为评估这种偏差对器件性能的影响，</w:t>
      </w:r>
      <w:r>
        <w:rPr>
          <w:rFonts w:ascii="Segoe UI" w:eastAsia="宋体" w:hAnsi="Segoe UI" w:cs="Segoe UI" w:hint="eastAsia"/>
          <w:color w:val="404040"/>
          <w:kern w:val="0"/>
          <w:szCs w:val="21"/>
        </w:rPr>
        <w:t>本文</w:t>
      </w:r>
      <w:r>
        <w:rPr>
          <w:rFonts w:ascii="Segoe UI" w:eastAsia="宋体" w:hAnsi="Segoe UI" w:cs="Segoe UI"/>
          <w:color w:val="404040"/>
          <w:kern w:val="0"/>
          <w:szCs w:val="21"/>
        </w:rPr>
        <w:t>重点分析了制造误差对</w:t>
      </w:r>
      <w:r>
        <w:rPr>
          <w:rFonts w:ascii="Segoe UI" w:eastAsia="宋体" w:hAnsi="Segoe UI" w:cs="Segoe UI"/>
          <w:color w:val="404040"/>
          <w:kern w:val="0"/>
          <w:szCs w:val="21"/>
        </w:rPr>
        <w:t>PCF</w:t>
      </w:r>
      <w:r>
        <w:rPr>
          <w:rFonts w:ascii="Segoe UI" w:eastAsia="宋体" w:hAnsi="Segoe UI" w:cs="Segoe UI"/>
          <w:color w:val="404040"/>
          <w:kern w:val="0"/>
          <w:szCs w:val="21"/>
        </w:rPr>
        <w:t>灵敏度的影响特性。图</w:t>
      </w:r>
      <w:r>
        <w:rPr>
          <w:rFonts w:ascii="Segoe UI" w:eastAsia="宋体" w:hAnsi="Segoe UI" w:cs="Segoe UI"/>
          <w:color w:val="404040"/>
          <w:kern w:val="0"/>
          <w:szCs w:val="21"/>
        </w:rPr>
        <w:t>7</w:t>
      </w:r>
      <w:r>
        <w:rPr>
          <w:rFonts w:ascii="Segoe UI" w:eastAsia="宋体" w:hAnsi="Segoe UI" w:cs="Segoe UI"/>
          <w:color w:val="404040"/>
          <w:kern w:val="0"/>
          <w:szCs w:val="21"/>
        </w:rPr>
        <w:t>所示的仿真结果表明，当结构参数在最佳值附近</w:t>
      </w:r>
      <w:r>
        <w:rPr>
          <w:rFonts w:ascii="Segoe UI" w:eastAsia="宋体" w:hAnsi="Segoe UI" w:cs="Segoe UI"/>
          <w:color w:val="404040"/>
          <w:kern w:val="0"/>
          <w:szCs w:val="21"/>
        </w:rPr>
        <w:t>±1%</w:t>
      </w:r>
      <w:r>
        <w:rPr>
          <w:rFonts w:ascii="Segoe UI" w:eastAsia="宋体" w:hAnsi="Segoe UI" w:cs="Segoe UI"/>
          <w:color w:val="404040"/>
          <w:kern w:val="0"/>
          <w:szCs w:val="21"/>
        </w:rPr>
        <w:t>～</w:t>
      </w:r>
      <w:r>
        <w:rPr>
          <w:rFonts w:ascii="Segoe UI" w:eastAsia="宋体" w:hAnsi="Segoe UI" w:cs="Segoe UI"/>
          <w:color w:val="404040"/>
          <w:kern w:val="0"/>
          <w:szCs w:val="21"/>
        </w:rPr>
        <w:t>±2%</w:t>
      </w:r>
      <w:r>
        <w:rPr>
          <w:rFonts w:ascii="Segoe UI" w:eastAsia="宋体" w:hAnsi="Segoe UI" w:cs="Segoe UI"/>
          <w:color w:val="404040"/>
          <w:kern w:val="0"/>
          <w:szCs w:val="21"/>
        </w:rPr>
        <w:t>范围内波动时，三种分析物的检测灵敏度仅出现微小变化。</w:t>
      </w:r>
      <w:r>
        <w:rPr>
          <w:rFonts w:ascii="Segoe UI" w:eastAsia="宋体" w:hAnsi="Segoe UI" w:cs="Segoe UI" w:hint="eastAsia"/>
          <w:color w:val="404040"/>
          <w:kern w:val="0"/>
          <w:szCs w:val="21"/>
        </w:rPr>
        <w:t>然而</w:t>
      </w:r>
      <w:r>
        <w:rPr>
          <w:rFonts w:ascii="Segoe UI" w:eastAsia="宋体" w:hAnsi="Segoe UI" w:cs="Segoe UI"/>
          <w:color w:val="404040"/>
          <w:kern w:val="0"/>
          <w:szCs w:val="21"/>
        </w:rPr>
        <w:t>，灵敏度在特定波段的稳定性并不意味着制造误差对光学特性毫无影响，而是表明在给定工艺容差范围内，这种影响处于可控状态。这一特性显著提升了该</w:t>
      </w:r>
      <w:r>
        <w:rPr>
          <w:rFonts w:ascii="Segoe UI" w:eastAsia="宋体" w:hAnsi="Segoe UI" w:cs="Segoe UI"/>
          <w:color w:val="404040"/>
          <w:kern w:val="0"/>
          <w:szCs w:val="21"/>
        </w:rPr>
        <w:t>PCF</w:t>
      </w:r>
      <w:r>
        <w:rPr>
          <w:rFonts w:ascii="Segoe UI" w:eastAsia="宋体" w:hAnsi="Segoe UI" w:cs="Segoe UI"/>
          <w:color w:val="404040"/>
          <w:kern w:val="0"/>
          <w:szCs w:val="21"/>
        </w:rPr>
        <w:t>结构的实际制造可行性。</w:t>
      </w:r>
    </w:p>
    <w:p w14:paraId="433B0518" w14:textId="77777777" w:rsidR="004A29BC" w:rsidRDefault="006C600F">
      <w:pPr>
        <w:adjustRightInd w:val="0"/>
        <w:snapToGrid w:val="0"/>
        <w:rPr>
          <w:rFonts w:ascii="CharisSIL" w:hAnsi="CharisSIL" w:hint="eastAsia"/>
          <w:sz w:val="18"/>
          <w:szCs w:val="18"/>
        </w:rPr>
      </w:pPr>
      <w:r>
        <w:rPr>
          <w:rFonts w:ascii="CharisSIL" w:hAnsi="CharisSIL" w:hint="eastAsia"/>
          <w:noProof/>
          <w:sz w:val="18"/>
          <w:szCs w:val="18"/>
        </w:rPr>
        <w:drawing>
          <wp:inline distT="0" distB="0" distL="0" distR="0">
            <wp:extent cx="2330450" cy="1647825"/>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340743" cy="1655373"/>
                    </a:xfrm>
                    <a:prstGeom prst="rect">
                      <a:avLst/>
                    </a:prstGeom>
                  </pic:spPr>
                </pic:pic>
              </a:graphicData>
            </a:graphic>
          </wp:inline>
        </w:drawing>
      </w:r>
    </w:p>
    <w:p w14:paraId="4A3F3E2A" w14:textId="77777777" w:rsidR="004A29BC" w:rsidRDefault="006C600F">
      <w:pPr>
        <w:adjustRightInd w:val="0"/>
        <w:snapToGrid w:val="0"/>
        <w:rPr>
          <w:rFonts w:ascii="CharisSIL" w:hAnsi="CharisSIL" w:hint="eastAsia"/>
          <w:sz w:val="18"/>
          <w:szCs w:val="18"/>
        </w:rPr>
      </w:pPr>
      <w:r>
        <w:rPr>
          <w:rFonts w:ascii="CharisSIL" w:hAnsi="CharisSIL" w:hint="eastAsia"/>
          <w:noProof/>
          <w:sz w:val="18"/>
          <w:szCs w:val="18"/>
        </w:rPr>
        <w:drawing>
          <wp:inline distT="0" distB="0" distL="0" distR="0">
            <wp:extent cx="2331085" cy="1648460"/>
            <wp:effectExtent l="0" t="0" r="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331449" cy="1648800"/>
                    </a:xfrm>
                    <a:prstGeom prst="rect">
                      <a:avLst/>
                    </a:prstGeom>
                  </pic:spPr>
                </pic:pic>
              </a:graphicData>
            </a:graphic>
          </wp:inline>
        </w:drawing>
      </w:r>
    </w:p>
    <w:p w14:paraId="77409FEE" w14:textId="77777777" w:rsidR="004A29BC" w:rsidRDefault="006C600F">
      <w:pPr>
        <w:tabs>
          <w:tab w:val="left" w:pos="1560"/>
        </w:tabs>
        <w:adjustRightInd w:val="0"/>
        <w:snapToGrid w:val="0"/>
        <w:rPr>
          <w:rFonts w:ascii="CharisSIL" w:hAnsi="CharisSIL" w:hint="eastAsia"/>
          <w:sz w:val="18"/>
          <w:szCs w:val="18"/>
        </w:rPr>
      </w:pPr>
      <w:r>
        <w:rPr>
          <w:rFonts w:ascii="CharisSIL" w:hAnsi="CharisSIL" w:hint="eastAsia"/>
          <w:noProof/>
          <w:sz w:val="18"/>
          <w:szCs w:val="18"/>
        </w:rPr>
        <w:drawing>
          <wp:inline distT="0" distB="0" distL="0" distR="0">
            <wp:extent cx="2330450" cy="1647825"/>
            <wp:effectExtent l="0" t="0" r="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336543" cy="1652402"/>
                    </a:xfrm>
                    <a:prstGeom prst="rect">
                      <a:avLst/>
                    </a:prstGeom>
                  </pic:spPr>
                </pic:pic>
              </a:graphicData>
            </a:graphic>
          </wp:inline>
        </w:drawing>
      </w:r>
    </w:p>
    <w:p w14:paraId="05446307" w14:textId="77777777" w:rsidR="004A29BC" w:rsidRDefault="006C600F">
      <w:pPr>
        <w:adjustRightInd w:val="0"/>
        <w:snapToGrid w:val="0"/>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 xml:space="preserve">7 </w:t>
      </w:r>
      <w:r>
        <w:rPr>
          <w:rFonts w:ascii="Times New Roman" w:hAnsi="Times New Roman" w:cs="Times New Roman" w:hint="eastAsia"/>
          <w:b/>
          <w:sz w:val="15"/>
          <w:szCs w:val="15"/>
        </w:rPr>
        <w:t>存在制造误差</w:t>
      </w:r>
      <w:r>
        <w:rPr>
          <w:rFonts w:ascii="Times New Roman" w:hAnsi="Times New Roman" w:cs="Times New Roman"/>
          <w:b/>
          <w:sz w:val="15"/>
          <w:szCs w:val="15"/>
        </w:rPr>
        <w:t>时</w:t>
      </w:r>
      <w:r>
        <w:rPr>
          <w:rFonts w:ascii="Times New Roman" w:hAnsi="Times New Roman" w:cs="Times New Roman" w:hint="eastAsia"/>
          <w:b/>
          <w:sz w:val="15"/>
          <w:szCs w:val="15"/>
        </w:rPr>
        <w:t>，</w:t>
      </w:r>
      <w:r>
        <w:rPr>
          <w:rFonts w:ascii="Times New Roman" w:hAnsi="Times New Roman" w:cs="Times New Roman"/>
          <w:b/>
          <w:sz w:val="15"/>
          <w:szCs w:val="15"/>
        </w:rPr>
        <w:t>灵敏度</w:t>
      </w:r>
      <w:r>
        <w:rPr>
          <w:rFonts w:ascii="Times New Roman" w:hAnsi="Times New Roman" w:cs="Times New Roman" w:hint="eastAsia"/>
          <w:b/>
          <w:sz w:val="15"/>
          <w:szCs w:val="15"/>
        </w:rPr>
        <w:t>随</w:t>
      </w:r>
      <w:r>
        <w:rPr>
          <w:rFonts w:ascii="Times New Roman" w:hAnsi="Times New Roman" w:cs="Times New Roman"/>
          <w:b/>
          <w:sz w:val="15"/>
          <w:szCs w:val="15"/>
        </w:rPr>
        <w:t>波长的变化</w:t>
      </w:r>
      <w:r>
        <w:rPr>
          <w:rFonts w:ascii="Times New Roman" w:hAnsi="Times New Roman" w:cs="Times New Roman"/>
          <w:b/>
          <w:sz w:val="15"/>
          <w:szCs w:val="15"/>
        </w:rPr>
        <w:t>:</w:t>
      </w: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w:t>
      </w:r>
      <w:r>
        <w:rPr>
          <w:rFonts w:ascii="Times New Roman" w:hAnsi="Times New Roman" w:cs="Times New Roman" w:hint="eastAsia"/>
          <w:b/>
          <w:sz w:val="15"/>
          <w:szCs w:val="15"/>
        </w:rPr>
        <w:t>分析</w:t>
      </w:r>
      <w:r>
        <w:rPr>
          <w:rFonts w:ascii="Times New Roman" w:hAnsi="Times New Roman" w:cs="Times New Roman"/>
          <w:b/>
          <w:sz w:val="15"/>
          <w:szCs w:val="15"/>
        </w:rPr>
        <w:t>物</w:t>
      </w:r>
      <w:r>
        <w:rPr>
          <w:rFonts w:ascii="Times New Roman" w:hAnsi="Times New Roman" w:cs="Times New Roman" w:hint="eastAsia"/>
          <w:b/>
          <w:sz w:val="15"/>
          <w:szCs w:val="15"/>
        </w:rPr>
        <w:t>为</w:t>
      </w:r>
      <w:r>
        <w:rPr>
          <w:rFonts w:ascii="Times New Roman" w:hAnsi="Times New Roman" w:cs="Times New Roman"/>
          <w:b/>
          <w:sz w:val="15"/>
          <w:szCs w:val="15"/>
        </w:rPr>
        <w:t>水</w:t>
      </w:r>
      <w:r>
        <w:rPr>
          <w:rFonts w:ascii="Times New Roman" w:hAnsi="Times New Roman" w:cs="Times New Roman" w:hint="eastAsia"/>
          <w:b/>
          <w:sz w:val="15"/>
          <w:szCs w:val="15"/>
        </w:rPr>
        <w:t>;</w:t>
      </w:r>
      <w:r>
        <w:rPr>
          <w:rFonts w:ascii="Times New Roman" w:hAnsi="Times New Roman" w:cs="Times New Roman"/>
          <w:b/>
          <w:sz w:val="15"/>
          <w:szCs w:val="15"/>
        </w:rPr>
        <w:t>（</w:t>
      </w:r>
      <w:r>
        <w:rPr>
          <w:rFonts w:ascii="Times New Roman" w:hAnsi="Times New Roman" w:cs="Times New Roman"/>
          <w:b/>
          <w:sz w:val="15"/>
          <w:szCs w:val="15"/>
        </w:rPr>
        <w:t>b</w:t>
      </w:r>
      <w:r>
        <w:rPr>
          <w:rFonts w:ascii="Times New Roman" w:hAnsi="Times New Roman" w:cs="Times New Roman"/>
          <w:b/>
          <w:sz w:val="15"/>
          <w:szCs w:val="15"/>
        </w:rPr>
        <w:t>）</w:t>
      </w:r>
      <w:r>
        <w:rPr>
          <w:rFonts w:ascii="Times New Roman" w:hAnsi="Times New Roman" w:cs="Times New Roman" w:hint="eastAsia"/>
          <w:b/>
          <w:sz w:val="15"/>
          <w:szCs w:val="15"/>
        </w:rPr>
        <w:t>分析</w:t>
      </w:r>
      <w:r>
        <w:rPr>
          <w:rFonts w:ascii="Times New Roman" w:hAnsi="Times New Roman" w:cs="Times New Roman"/>
          <w:b/>
          <w:sz w:val="15"/>
          <w:szCs w:val="15"/>
        </w:rPr>
        <w:t>物</w:t>
      </w:r>
      <w:r>
        <w:rPr>
          <w:rFonts w:ascii="Times New Roman" w:hAnsi="Times New Roman" w:cs="Times New Roman" w:hint="eastAsia"/>
          <w:b/>
          <w:sz w:val="15"/>
          <w:szCs w:val="15"/>
        </w:rPr>
        <w:t>为</w:t>
      </w:r>
      <w:r>
        <w:rPr>
          <w:rFonts w:ascii="Times New Roman" w:hAnsi="Times New Roman" w:cs="Times New Roman"/>
          <w:b/>
          <w:sz w:val="15"/>
          <w:szCs w:val="15"/>
        </w:rPr>
        <w:t>乙醇</w:t>
      </w:r>
      <w:r>
        <w:rPr>
          <w:rFonts w:ascii="Times New Roman" w:hAnsi="Times New Roman" w:cs="Times New Roman" w:hint="eastAsia"/>
          <w:b/>
          <w:sz w:val="15"/>
          <w:szCs w:val="15"/>
        </w:rPr>
        <w:t>;</w:t>
      </w:r>
      <w:r>
        <w:rPr>
          <w:rFonts w:ascii="Times New Roman" w:hAnsi="Times New Roman" w:cs="Times New Roman"/>
          <w:b/>
          <w:sz w:val="15"/>
          <w:szCs w:val="15"/>
        </w:rPr>
        <w:t>（</w:t>
      </w:r>
      <w:r>
        <w:rPr>
          <w:rFonts w:ascii="Times New Roman" w:hAnsi="Times New Roman" w:cs="Times New Roman"/>
          <w:b/>
          <w:sz w:val="15"/>
          <w:szCs w:val="15"/>
        </w:rPr>
        <w:t>c</w:t>
      </w:r>
      <w:r>
        <w:rPr>
          <w:rFonts w:ascii="Times New Roman" w:hAnsi="Times New Roman" w:cs="Times New Roman"/>
          <w:b/>
          <w:sz w:val="15"/>
          <w:szCs w:val="15"/>
        </w:rPr>
        <w:t>）</w:t>
      </w:r>
      <w:r>
        <w:rPr>
          <w:rFonts w:ascii="Times New Roman" w:hAnsi="Times New Roman" w:cs="Times New Roman" w:hint="eastAsia"/>
          <w:b/>
          <w:sz w:val="15"/>
          <w:szCs w:val="15"/>
        </w:rPr>
        <w:t>分析</w:t>
      </w:r>
      <w:r>
        <w:rPr>
          <w:rFonts w:ascii="Times New Roman" w:hAnsi="Times New Roman" w:cs="Times New Roman"/>
          <w:b/>
          <w:sz w:val="15"/>
          <w:szCs w:val="15"/>
        </w:rPr>
        <w:t>物</w:t>
      </w:r>
      <w:r>
        <w:rPr>
          <w:rFonts w:ascii="Times New Roman" w:hAnsi="Times New Roman" w:cs="Times New Roman" w:hint="eastAsia"/>
          <w:b/>
          <w:sz w:val="15"/>
          <w:szCs w:val="15"/>
        </w:rPr>
        <w:t>为</w:t>
      </w:r>
      <w:r>
        <w:rPr>
          <w:rFonts w:ascii="Times New Roman" w:hAnsi="Times New Roman" w:cs="Times New Roman"/>
          <w:b/>
          <w:sz w:val="15"/>
          <w:szCs w:val="15"/>
        </w:rPr>
        <w:t>苯</w:t>
      </w:r>
    </w:p>
    <w:p w14:paraId="2B97B6DF" w14:textId="77777777" w:rsidR="004A29BC" w:rsidRDefault="006C600F">
      <w:pPr>
        <w:adjustRightInd w:val="0"/>
        <w:snapToGrid w:val="0"/>
        <w:spacing w:before="100" w:beforeAutospacing="1" w:after="100" w:afterAutospacing="1"/>
        <w:jc w:val="left"/>
        <w:rPr>
          <w:rFonts w:asciiTheme="majorEastAsia" w:eastAsiaTheme="majorEastAsia" w:hAnsiTheme="majorEastAsia"/>
          <w:b/>
          <w:sz w:val="24"/>
          <w:szCs w:val="24"/>
        </w:rPr>
      </w:pPr>
      <w:r>
        <w:rPr>
          <w:rFonts w:asciiTheme="majorEastAsia" w:eastAsiaTheme="majorEastAsia" w:hAnsiTheme="majorEastAsia"/>
          <w:b/>
          <w:sz w:val="24"/>
          <w:szCs w:val="24"/>
        </w:rPr>
        <w:t xml:space="preserve">3 </w:t>
      </w:r>
      <w:r>
        <w:rPr>
          <w:rFonts w:asciiTheme="majorEastAsia" w:eastAsiaTheme="majorEastAsia" w:hAnsiTheme="majorEastAsia" w:hint="eastAsia"/>
          <w:b/>
          <w:sz w:val="24"/>
          <w:szCs w:val="24"/>
        </w:rPr>
        <w:t>结束语</w:t>
      </w:r>
    </w:p>
    <w:p w14:paraId="764F4CBE"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bCs/>
          <w:szCs w:val="21"/>
        </w:rPr>
      </w:pPr>
      <w:r>
        <w:rPr>
          <w:rFonts w:ascii="Times New Roman" w:hAnsi="Times New Roman" w:cs="Times New Roman" w:hint="eastAsia"/>
          <w:bCs/>
          <w:szCs w:val="21"/>
        </w:rPr>
        <w:t>本文</w:t>
      </w:r>
      <w:r>
        <w:rPr>
          <w:rFonts w:ascii="Segoe UI" w:hAnsi="Segoe UI" w:cs="Segoe UI" w:hint="eastAsia"/>
          <w:color w:val="404040"/>
        </w:rPr>
        <w:t>设计</w:t>
      </w:r>
      <w:r>
        <w:rPr>
          <w:rFonts w:ascii="Segoe UI" w:hAnsi="Segoe UI" w:cs="Segoe UI"/>
          <w:color w:val="404040"/>
        </w:rPr>
        <w:t>了一种</w:t>
      </w:r>
      <w:r>
        <w:rPr>
          <w:rFonts w:hint="eastAsia"/>
          <w:szCs w:val="21"/>
        </w:rPr>
        <w:t>提出一种由圆形与矩形空气孔复合构成的新型</w:t>
      </w:r>
      <w:r>
        <w:rPr>
          <w:rFonts w:hint="eastAsia"/>
          <w:szCs w:val="21"/>
        </w:rPr>
        <w:t>PCF</w:t>
      </w:r>
      <w:r>
        <w:rPr>
          <w:rFonts w:ascii="Segoe UI" w:hAnsi="Segoe UI" w:cs="Segoe UI"/>
          <w:color w:val="404040"/>
        </w:rPr>
        <w:t>。该</w:t>
      </w:r>
      <w:r>
        <w:rPr>
          <w:rFonts w:ascii="Segoe UI" w:hAnsi="Segoe UI" w:cs="Segoe UI" w:hint="eastAsia"/>
          <w:color w:val="404040"/>
        </w:rPr>
        <w:t>结构由</w:t>
      </w:r>
      <w:r>
        <w:rPr>
          <w:rFonts w:ascii="Segoe UI" w:hAnsi="Segoe UI" w:cs="Segoe UI" w:hint="eastAsia"/>
          <w:color w:val="404040"/>
        </w:rPr>
        <w:t>4</w:t>
      </w:r>
      <w:r>
        <w:rPr>
          <w:rFonts w:ascii="Segoe UI" w:hAnsi="Segoe UI" w:cs="Segoe UI"/>
          <w:color w:val="404040"/>
        </w:rPr>
        <w:t>层圆形空气孔包层和纤芯区</w:t>
      </w:r>
      <w:r>
        <w:rPr>
          <w:rFonts w:ascii="Segoe UI" w:hAnsi="Segoe UI" w:cs="Segoe UI"/>
          <w:color w:val="404040"/>
        </w:rPr>
        <w:t>5</w:t>
      </w:r>
      <w:r>
        <w:rPr>
          <w:rFonts w:ascii="Segoe UI" w:hAnsi="Segoe UI" w:cs="Segoe UI"/>
          <w:color w:val="404040"/>
        </w:rPr>
        <w:t>个矩形空气孔</w:t>
      </w:r>
      <w:r>
        <w:rPr>
          <w:rFonts w:ascii="Segoe UI" w:hAnsi="Segoe UI" w:cs="Segoe UI" w:hint="eastAsia"/>
          <w:color w:val="404040"/>
        </w:rPr>
        <w:t>组成</w:t>
      </w:r>
      <w:r>
        <w:rPr>
          <w:rFonts w:ascii="Times New Roman" w:hAnsi="Times New Roman" w:cs="Times New Roman" w:hint="eastAsia"/>
          <w:bCs/>
          <w:szCs w:val="21"/>
        </w:rPr>
        <w:t>。该设计通过创新的纤芯</w:t>
      </w:r>
      <w:r>
        <w:rPr>
          <w:rFonts w:ascii="Times New Roman" w:hAnsi="Times New Roman" w:cs="Times New Roman" w:hint="eastAsia"/>
          <w:bCs/>
          <w:szCs w:val="21"/>
        </w:rPr>
        <w:t>-</w:t>
      </w:r>
      <w:r>
        <w:rPr>
          <w:rFonts w:ascii="Times New Roman" w:hAnsi="Times New Roman" w:cs="Times New Roman" w:hint="eastAsia"/>
          <w:bCs/>
          <w:szCs w:val="21"/>
        </w:rPr>
        <w:t>包层结构优化，在保证高灵敏度的同时实现了优异的双折射特性。光纤包层采用</w:t>
      </w:r>
      <w:r>
        <w:rPr>
          <w:rFonts w:ascii="Times New Roman" w:hAnsi="Times New Roman" w:cs="Times New Roman" w:hint="eastAsia"/>
          <w:bCs/>
          <w:szCs w:val="21"/>
        </w:rPr>
        <w:t>4</w:t>
      </w:r>
      <w:r>
        <w:rPr>
          <w:rFonts w:ascii="Times New Roman" w:hAnsi="Times New Roman" w:cs="Times New Roman" w:hint="eastAsia"/>
          <w:bCs/>
          <w:szCs w:val="21"/>
        </w:rPr>
        <w:t>层四边形排列的圆形空气孔阵列，而纤芯区域则创新性地采用</w:t>
      </w:r>
      <w:r>
        <w:rPr>
          <w:rFonts w:ascii="Times New Roman" w:hAnsi="Times New Roman" w:cs="Times New Roman" w:hint="eastAsia"/>
          <w:bCs/>
          <w:szCs w:val="21"/>
        </w:rPr>
        <w:t>5</w:t>
      </w:r>
      <w:r>
        <w:rPr>
          <w:rFonts w:ascii="Times New Roman" w:hAnsi="Times New Roman" w:cs="Times New Roman" w:hint="eastAsia"/>
          <w:bCs/>
          <w:szCs w:val="21"/>
        </w:rPr>
        <w:t>个矩形空气孔替代传统的</w:t>
      </w:r>
      <w:r>
        <w:rPr>
          <w:rFonts w:ascii="Times New Roman" w:hAnsi="Times New Roman" w:cs="Times New Roman" w:hint="eastAsia"/>
          <w:bCs/>
          <w:szCs w:val="21"/>
        </w:rPr>
        <w:t>9</w:t>
      </w:r>
      <w:r>
        <w:rPr>
          <w:rFonts w:ascii="Times New Roman" w:hAnsi="Times New Roman" w:cs="Times New Roman" w:hint="eastAsia"/>
          <w:bCs/>
          <w:szCs w:val="21"/>
        </w:rPr>
        <w:t>个圆形空气孔排列。这种结构设计不仅减少了包层圈数、简化了纤芯构型，同时具有良好的工艺可行性。</w:t>
      </w:r>
    </w:p>
    <w:p w14:paraId="5B401D04" w14:textId="77777777" w:rsidR="004A29BC" w:rsidRDefault="004A29BC">
      <w:pPr>
        <w:adjustRightInd w:val="0"/>
        <w:snapToGrid w:val="0"/>
        <w:spacing w:before="100" w:beforeAutospacing="1" w:after="100" w:afterAutospacing="1"/>
        <w:ind w:firstLineChars="200" w:firstLine="420"/>
        <w:rPr>
          <w:rFonts w:ascii="Times New Roman" w:hAnsi="Times New Roman" w:cs="Times New Roman"/>
          <w:bCs/>
          <w:szCs w:val="21"/>
        </w:rPr>
      </w:pPr>
    </w:p>
    <w:p w14:paraId="45A6165E"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bCs/>
          <w:szCs w:val="21"/>
        </w:rPr>
      </w:pPr>
      <w:r>
        <w:rPr>
          <w:rFonts w:ascii="Times New Roman" w:hAnsi="Times New Roman" w:cs="Times New Roman" w:hint="eastAsia"/>
          <w:bCs/>
          <w:szCs w:val="21"/>
        </w:rPr>
        <w:lastRenderedPageBreak/>
        <w:t>基于有限元方法，本文系统研究了结构参数对</w:t>
      </w:r>
      <w:r>
        <w:rPr>
          <w:rFonts w:ascii="Times New Roman" w:hAnsi="Times New Roman" w:cs="Times New Roman" w:hint="eastAsia"/>
          <w:bCs/>
          <w:szCs w:val="21"/>
        </w:rPr>
        <w:t>PCF</w:t>
      </w:r>
      <w:r>
        <w:rPr>
          <w:rFonts w:ascii="Times New Roman" w:hAnsi="Times New Roman" w:cs="Times New Roman" w:hint="eastAsia"/>
          <w:bCs/>
          <w:szCs w:val="21"/>
        </w:rPr>
        <w:t>传感性能的影响规律，并通过参数优化获得了最佳性能配置。实验结果表明，在</w:t>
      </w:r>
      <w:r>
        <w:rPr>
          <w:rFonts w:ascii="Times New Roman" w:hAnsi="Times New Roman" w:cs="Times New Roman" w:hint="eastAsia"/>
          <w:bCs/>
          <w:szCs w:val="21"/>
        </w:rPr>
        <w:t xml:space="preserve">1.55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工作波长下，该结构对水、乙醇和苯的检测灵敏度分别达到</w:t>
      </w:r>
      <w:r>
        <w:rPr>
          <w:rFonts w:ascii="Times New Roman" w:hAnsi="Times New Roman" w:cs="Times New Roman" w:hint="eastAsia"/>
          <w:bCs/>
          <w:szCs w:val="21"/>
        </w:rPr>
        <w:t>71.8%</w:t>
      </w:r>
      <w:r>
        <w:rPr>
          <w:rFonts w:ascii="Times New Roman" w:hAnsi="Times New Roman" w:cs="Times New Roman" w:hint="eastAsia"/>
          <w:bCs/>
          <w:szCs w:val="21"/>
        </w:rPr>
        <w:t>、</w:t>
      </w:r>
      <w:r>
        <w:rPr>
          <w:rFonts w:ascii="Times New Roman" w:hAnsi="Times New Roman" w:cs="Times New Roman" w:hint="eastAsia"/>
          <w:bCs/>
          <w:szCs w:val="21"/>
        </w:rPr>
        <w:t>74.5%</w:t>
      </w:r>
      <w:r>
        <w:rPr>
          <w:rFonts w:ascii="Times New Roman" w:hAnsi="Times New Roman" w:cs="Times New Roman" w:hint="eastAsia"/>
          <w:bCs/>
          <w:szCs w:val="21"/>
        </w:rPr>
        <w:t>和</w:t>
      </w:r>
      <w:r>
        <w:rPr>
          <w:rFonts w:ascii="Times New Roman" w:hAnsi="Times New Roman" w:cs="Times New Roman" w:hint="eastAsia"/>
          <w:bCs/>
          <w:szCs w:val="21"/>
        </w:rPr>
        <w:t>75.6%</w:t>
      </w:r>
      <w:r>
        <w:rPr>
          <w:rFonts w:ascii="Times New Roman" w:hAnsi="Times New Roman" w:cs="Times New Roman" w:hint="eastAsia"/>
          <w:bCs/>
          <w:szCs w:val="21"/>
        </w:rPr>
        <w:t>，较现有</w:t>
      </w:r>
      <w:r>
        <w:rPr>
          <w:rFonts w:ascii="Times New Roman" w:hAnsi="Times New Roman" w:cs="Times New Roman" w:hint="eastAsia"/>
          <w:bCs/>
          <w:szCs w:val="21"/>
        </w:rPr>
        <w:t>PCF</w:t>
      </w:r>
      <w:r>
        <w:rPr>
          <w:rFonts w:ascii="Times New Roman" w:hAnsi="Times New Roman" w:cs="Times New Roman" w:hint="eastAsia"/>
          <w:bCs/>
          <w:szCs w:val="21"/>
        </w:rPr>
        <w:t>结构提升显著：水检测灵敏度提高</w:t>
      </w:r>
      <w:r>
        <w:rPr>
          <w:rFonts w:ascii="Times New Roman" w:hAnsi="Times New Roman" w:cs="Times New Roman" w:hint="eastAsia"/>
          <w:bCs/>
          <w:szCs w:val="21"/>
        </w:rPr>
        <w:t>1.26</w:t>
      </w:r>
      <w:r>
        <w:rPr>
          <w:rFonts w:ascii="Times New Roman" w:hAnsi="Times New Roman" w:cs="Times New Roman"/>
          <w:bCs/>
          <w:szCs w:val="21"/>
        </w:rPr>
        <w:t>~</w:t>
      </w:r>
      <w:r>
        <w:rPr>
          <w:rFonts w:ascii="Times New Roman" w:hAnsi="Times New Roman" w:cs="Times New Roman" w:hint="eastAsia"/>
          <w:bCs/>
          <w:szCs w:val="21"/>
        </w:rPr>
        <w:t>7.97</w:t>
      </w:r>
      <w:r>
        <w:rPr>
          <w:rFonts w:ascii="Times New Roman" w:hAnsi="Times New Roman" w:cs="Times New Roman" w:hint="eastAsia"/>
          <w:bCs/>
          <w:szCs w:val="21"/>
        </w:rPr>
        <w:t>倍，乙醇提高</w:t>
      </w:r>
      <w:r>
        <w:rPr>
          <w:rFonts w:ascii="Times New Roman" w:hAnsi="Times New Roman" w:cs="Times New Roman" w:hint="eastAsia"/>
          <w:bCs/>
          <w:szCs w:val="21"/>
        </w:rPr>
        <w:t>1.24</w:t>
      </w:r>
      <w:r>
        <w:rPr>
          <w:rFonts w:ascii="Times New Roman" w:hAnsi="Times New Roman" w:cs="Times New Roman"/>
          <w:bCs/>
          <w:szCs w:val="21"/>
        </w:rPr>
        <w:t>~</w:t>
      </w:r>
      <w:r>
        <w:rPr>
          <w:rFonts w:ascii="Times New Roman" w:hAnsi="Times New Roman" w:cs="Times New Roman" w:hint="eastAsia"/>
          <w:bCs/>
          <w:szCs w:val="21"/>
        </w:rPr>
        <w:t>6.2</w:t>
      </w:r>
      <w:r>
        <w:rPr>
          <w:rFonts w:ascii="Times New Roman" w:hAnsi="Times New Roman" w:cs="Times New Roman" w:hint="eastAsia"/>
          <w:bCs/>
          <w:szCs w:val="21"/>
        </w:rPr>
        <w:t>倍，苯提高</w:t>
      </w:r>
      <w:r>
        <w:rPr>
          <w:rFonts w:ascii="Times New Roman" w:hAnsi="Times New Roman" w:cs="Times New Roman" w:hint="eastAsia"/>
          <w:bCs/>
          <w:szCs w:val="21"/>
        </w:rPr>
        <w:t>1.2</w:t>
      </w:r>
      <w:r>
        <w:rPr>
          <w:rFonts w:ascii="Times New Roman" w:hAnsi="Times New Roman" w:cs="Times New Roman"/>
          <w:bCs/>
          <w:szCs w:val="21"/>
        </w:rPr>
        <w:t>~</w:t>
      </w:r>
      <w:r>
        <w:rPr>
          <w:rFonts w:ascii="Times New Roman" w:hAnsi="Times New Roman" w:cs="Times New Roman" w:hint="eastAsia"/>
          <w:bCs/>
          <w:szCs w:val="21"/>
        </w:rPr>
        <w:t>5.6</w:t>
      </w:r>
      <w:r>
        <w:rPr>
          <w:rFonts w:ascii="Times New Roman" w:hAnsi="Times New Roman" w:cs="Times New Roman" w:hint="eastAsia"/>
          <w:bCs/>
          <w:szCs w:val="21"/>
        </w:rPr>
        <w:t>倍。在双折射性能方面，</w:t>
      </w:r>
      <w:r>
        <w:rPr>
          <w:rFonts w:ascii="Times New Roman" w:hAnsi="Times New Roman" w:cs="Times New Roman" w:hint="eastAsia"/>
          <w:bCs/>
          <w:szCs w:val="21"/>
        </w:rPr>
        <w:t>3</w:t>
      </w:r>
      <w:r>
        <w:rPr>
          <w:rFonts w:ascii="Times New Roman" w:hAnsi="Times New Roman" w:cs="Times New Roman" w:hint="eastAsia"/>
          <w:bCs/>
          <w:szCs w:val="21"/>
        </w:rPr>
        <w:t>种分析物对应的双折射值分别为</w:t>
      </w:r>
      <w:r>
        <w:rPr>
          <w:rFonts w:ascii="Times New Roman" w:hAnsi="Times New Roman" w:cs="Times New Roman" w:hint="eastAsia"/>
          <w:bCs/>
          <w:szCs w:val="21"/>
        </w:rPr>
        <w:t>3.4</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-3</w:t>
      </w:r>
      <w:r>
        <w:rPr>
          <w:rFonts w:ascii="Times New Roman" w:hAnsi="Times New Roman" w:cs="Times New Roman" w:hint="eastAsia"/>
          <w:bCs/>
          <w:szCs w:val="21"/>
        </w:rPr>
        <w:t>、</w:t>
      </w:r>
      <w:r>
        <w:rPr>
          <w:rFonts w:ascii="Times New Roman" w:hAnsi="Times New Roman" w:cs="Times New Roman" w:hint="eastAsia"/>
          <w:bCs/>
          <w:szCs w:val="21"/>
        </w:rPr>
        <w:t>1.97</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-3</w:t>
      </w:r>
      <w:r>
        <w:rPr>
          <w:rFonts w:ascii="Times New Roman" w:hAnsi="Times New Roman" w:cs="Times New Roman" w:hint="eastAsia"/>
          <w:bCs/>
          <w:szCs w:val="21"/>
        </w:rPr>
        <w:t>、</w:t>
      </w:r>
      <w:r>
        <w:rPr>
          <w:rFonts w:ascii="Times New Roman" w:hAnsi="Times New Roman" w:cs="Times New Roman" w:hint="eastAsia"/>
          <w:bCs/>
          <w:szCs w:val="21"/>
        </w:rPr>
        <w:t>1.46</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-3</w:t>
      </w:r>
      <w:r>
        <w:rPr>
          <w:rFonts w:ascii="Times New Roman" w:hAnsi="Times New Roman" w:cs="Times New Roman" w:hint="eastAsia"/>
          <w:bCs/>
          <w:szCs w:val="21"/>
        </w:rPr>
        <w:t>，限制损耗则低至</w:t>
      </w:r>
      <w:r>
        <w:rPr>
          <w:rFonts w:ascii="Times New Roman" w:hAnsi="Times New Roman" w:cs="Times New Roman" w:hint="eastAsia"/>
          <w:bCs/>
          <w:szCs w:val="21"/>
        </w:rPr>
        <w:t>1.65</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-5</w:t>
      </w:r>
      <w:r>
        <w:rPr>
          <w:rFonts w:ascii="Times New Roman" w:hAnsi="Times New Roman" w:cs="Times New Roman" w:hint="eastAsia"/>
          <w:bCs/>
          <w:szCs w:val="21"/>
        </w:rPr>
        <w:t>、</w:t>
      </w:r>
      <w:r>
        <w:rPr>
          <w:rFonts w:ascii="Times New Roman" w:hAnsi="Times New Roman" w:cs="Times New Roman" w:hint="eastAsia"/>
          <w:bCs/>
          <w:szCs w:val="21"/>
        </w:rPr>
        <w:t>3.71</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-6</w:t>
      </w:r>
      <w:r>
        <w:rPr>
          <w:rFonts w:ascii="Times New Roman" w:hAnsi="Times New Roman" w:cs="Times New Roman" w:hint="eastAsia"/>
          <w:bCs/>
          <w:szCs w:val="21"/>
        </w:rPr>
        <w:t>、</w:t>
      </w:r>
      <w:r>
        <w:rPr>
          <w:rFonts w:ascii="Times New Roman" w:hAnsi="Times New Roman" w:cs="Times New Roman" w:hint="eastAsia"/>
          <w:bCs/>
          <w:szCs w:val="21"/>
        </w:rPr>
        <w:t>1.77</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hint="eastAsia"/>
          <w:bCs/>
          <w:szCs w:val="21"/>
          <w:vertAlign w:val="superscript"/>
        </w:rPr>
        <w:t>-6</w:t>
      </w:r>
      <w:r>
        <w:rPr>
          <w:rFonts w:ascii="Times New Roman" w:hAnsi="Times New Roman" w:cs="Times New Roman" w:hint="eastAsia"/>
          <w:bCs/>
          <w:szCs w:val="21"/>
        </w:rPr>
        <w:t xml:space="preserve"> dB/cm</w:t>
      </w:r>
      <w:r>
        <w:rPr>
          <w:rFonts w:ascii="Times New Roman" w:hAnsi="Times New Roman" w:cs="Times New Roman" w:hint="eastAsia"/>
          <w:bCs/>
          <w:szCs w:val="21"/>
        </w:rPr>
        <w:t>。</w:t>
      </w:r>
    </w:p>
    <w:p w14:paraId="0FB4EDEA" w14:textId="77777777" w:rsidR="004A29BC" w:rsidRDefault="006C600F">
      <w:pPr>
        <w:adjustRightInd w:val="0"/>
        <w:snapToGrid w:val="0"/>
        <w:spacing w:before="100" w:beforeAutospacing="1" w:after="100" w:afterAutospacing="1"/>
        <w:ind w:firstLineChars="200" w:firstLine="420"/>
        <w:rPr>
          <w:rFonts w:ascii="Times New Roman" w:hAnsi="Times New Roman" w:cs="Times New Roman"/>
          <w:bCs/>
          <w:szCs w:val="21"/>
        </w:rPr>
      </w:pPr>
      <w:r>
        <w:rPr>
          <w:rFonts w:ascii="Times New Roman" w:hAnsi="Times New Roman" w:cs="Times New Roman" w:hint="eastAsia"/>
          <w:bCs/>
          <w:szCs w:val="21"/>
        </w:rPr>
        <w:t>这种兼具高灵敏度、高双折射和低损耗特性的</w:t>
      </w:r>
      <w:r>
        <w:rPr>
          <w:rFonts w:ascii="Times New Roman" w:hAnsi="Times New Roman" w:cs="Times New Roman" w:hint="eastAsia"/>
          <w:bCs/>
          <w:szCs w:val="21"/>
        </w:rPr>
        <w:t>PCF</w:t>
      </w:r>
      <w:r>
        <w:rPr>
          <w:rFonts w:ascii="Times New Roman" w:hAnsi="Times New Roman" w:cs="Times New Roman" w:hint="eastAsia"/>
          <w:bCs/>
          <w:szCs w:val="21"/>
        </w:rPr>
        <w:t>结构，为化学传感、生物检测及环境监测等领域提供了新的器件解决方案，在生化传感应用方面展现出重要的实用价值。</w:t>
      </w:r>
    </w:p>
    <w:p w14:paraId="2B17F4B7" w14:textId="77777777" w:rsidR="004A29BC" w:rsidRDefault="004A29BC">
      <w:pPr>
        <w:adjustRightInd w:val="0"/>
        <w:snapToGrid w:val="0"/>
        <w:rPr>
          <w:rFonts w:ascii="CharisSIL" w:hAnsi="CharisSIL" w:hint="eastAsia"/>
          <w:sz w:val="18"/>
          <w:szCs w:val="18"/>
        </w:rPr>
      </w:pPr>
    </w:p>
    <w:p w14:paraId="5113C7A1" w14:textId="77777777" w:rsidR="004A29BC" w:rsidRDefault="006C600F">
      <w:pPr>
        <w:adjustRightInd w:val="0"/>
        <w:snapToGrid w:val="0"/>
        <w:rPr>
          <w:rFonts w:asciiTheme="minorEastAsia" w:hAnsiTheme="minorEastAsia"/>
          <w:b/>
          <w:szCs w:val="21"/>
        </w:rPr>
      </w:pPr>
      <w:r>
        <w:rPr>
          <w:rFonts w:asciiTheme="minorEastAsia" w:hAnsiTheme="minorEastAsia"/>
          <w:b/>
          <w:szCs w:val="21"/>
        </w:rPr>
        <w:t>参考文献</w:t>
      </w:r>
      <w:r>
        <w:rPr>
          <w:rFonts w:asciiTheme="minorEastAsia" w:hAnsiTheme="minorEastAsia" w:hint="eastAsia"/>
          <w:b/>
          <w:szCs w:val="21"/>
        </w:rPr>
        <w:t>:</w:t>
      </w:r>
    </w:p>
    <w:p w14:paraId="7EDE3956" w14:textId="77777777" w:rsidR="004A29BC" w:rsidRDefault="006C600F">
      <w:pPr>
        <w:adjustRightInd w:val="0"/>
        <w:snapToGrid w:val="0"/>
        <w:rPr>
          <w:rFonts w:ascii="NEU-BZ-Regular" w:hAnsi="NEU-BZ-Regular" w:hint="eastAsia"/>
          <w:szCs w:val="21"/>
        </w:rPr>
      </w:pPr>
      <w:r>
        <w:rPr>
          <w:rFonts w:ascii="NEU-BZ-Regular" w:hAnsi="NEU-BZ-Regular"/>
          <w:szCs w:val="21"/>
        </w:rPr>
        <w:t xml:space="preserve">[1] </w:t>
      </w:r>
      <w:r>
        <w:rPr>
          <w:rFonts w:ascii="NEU-BZ-Regular" w:hAnsi="NEU-BZ-Regular" w:hint="eastAsia"/>
          <w:szCs w:val="21"/>
        </w:rPr>
        <w:t>G</w:t>
      </w:r>
      <w:r>
        <w:rPr>
          <w:rFonts w:ascii="NEU-BZ-Regular" w:hAnsi="NEU-BZ-Regular"/>
          <w:szCs w:val="21"/>
        </w:rPr>
        <w:t>U R</w:t>
      </w:r>
      <w:r>
        <w:rPr>
          <w:rFonts w:ascii="NEU-BZ-Regular" w:hAnsi="NEU-BZ-Regular" w:hint="eastAsia"/>
          <w:szCs w:val="21"/>
        </w:rPr>
        <w:t xml:space="preserve"> F , H</w:t>
      </w:r>
      <w:r>
        <w:rPr>
          <w:rFonts w:ascii="NEU-BZ-Regular" w:hAnsi="NEU-BZ-Regular"/>
          <w:szCs w:val="21"/>
        </w:rPr>
        <w:t>ONG T</w:t>
      </w:r>
      <w:r>
        <w:rPr>
          <w:rFonts w:ascii="NEU-BZ-Regular" w:hAnsi="NEU-BZ-Regular" w:hint="eastAsia"/>
          <w:szCs w:val="21"/>
        </w:rPr>
        <w:t xml:space="preserve"> L , T</w:t>
      </w:r>
      <w:r>
        <w:rPr>
          <w:rFonts w:ascii="NEU-BZ-Regular" w:hAnsi="NEU-BZ-Regular"/>
          <w:szCs w:val="21"/>
        </w:rPr>
        <w:t xml:space="preserve">IAN Q </w:t>
      </w:r>
      <w:r>
        <w:rPr>
          <w:rFonts w:ascii="NEU-BZ-Regular" w:hAnsi="NEU-BZ-Regular" w:hint="eastAsia"/>
          <w:szCs w:val="21"/>
        </w:rPr>
        <w:t>H</w:t>
      </w:r>
      <w:r>
        <w:rPr>
          <w:rFonts w:ascii="NEU-BZ-Regular" w:hAnsi="NEU-BZ-Regular"/>
          <w:szCs w:val="21"/>
        </w:rPr>
        <w:t xml:space="preserve">, et al. </w:t>
      </w:r>
      <w:r>
        <w:rPr>
          <w:rFonts w:ascii="NEU-BZ-Regular" w:hAnsi="NEU-BZ-Regular" w:hint="eastAsia"/>
          <w:szCs w:val="21"/>
        </w:rPr>
        <w:t>Research on ultra-sensitive refractive index sensor based on a homogeneous polymer nine-liquid-core photonics crystal fiber</w:t>
      </w:r>
      <w:r>
        <w:rPr>
          <w:rFonts w:ascii="NEU-BZ-Regular" w:hAnsi="NEU-BZ-Regular"/>
          <w:szCs w:val="21"/>
        </w:rPr>
        <w:t xml:space="preserve">[J]. </w:t>
      </w:r>
      <w:r>
        <w:rPr>
          <w:rFonts w:ascii="NEU-BZ-Regular" w:hAnsi="NEU-BZ-Regular" w:hint="eastAsia"/>
          <w:szCs w:val="21"/>
        </w:rPr>
        <w:t>Results in Optics</w:t>
      </w:r>
      <w:r>
        <w:rPr>
          <w:rFonts w:ascii="NEU-BZ-Regular" w:hAnsi="NEU-BZ-Regular"/>
          <w:szCs w:val="21"/>
        </w:rPr>
        <w:t>, 2021,</w:t>
      </w:r>
      <w:r>
        <w:rPr>
          <w:rFonts w:ascii="NEU-BZ-Regular" w:hAnsi="NEU-BZ-Regular" w:hint="eastAsia"/>
          <w:szCs w:val="21"/>
        </w:rPr>
        <w:t xml:space="preserve"> 5</w:t>
      </w:r>
      <w:r>
        <w:rPr>
          <w:rFonts w:ascii="NEU-BZ-Regular" w:hAnsi="NEU-BZ-Regular"/>
          <w:szCs w:val="21"/>
        </w:rPr>
        <w:t>,</w:t>
      </w:r>
      <w:r>
        <w:rPr>
          <w:rFonts w:ascii="NEU-BZ-Regular" w:hAnsi="NEU-BZ-Regular" w:hint="eastAsia"/>
          <w:szCs w:val="21"/>
        </w:rPr>
        <w:t xml:space="preserve"> 100194</w:t>
      </w:r>
      <w:r>
        <w:rPr>
          <w:rFonts w:ascii="NEU-BZ-Regular" w:hAnsi="NEU-BZ-Regular"/>
          <w:szCs w:val="21"/>
        </w:rPr>
        <w:t>-1-</w:t>
      </w:r>
      <w:r>
        <w:rPr>
          <w:rFonts w:ascii="NEU-BZ-Regular" w:hAnsi="NEU-BZ-Regular" w:hint="eastAsia"/>
          <w:szCs w:val="21"/>
        </w:rPr>
        <w:t>100194</w:t>
      </w:r>
      <w:r>
        <w:rPr>
          <w:rFonts w:ascii="NEU-BZ-Regular" w:hAnsi="NEU-BZ-Regular"/>
          <w:szCs w:val="21"/>
        </w:rPr>
        <w:t>-7.</w:t>
      </w:r>
    </w:p>
    <w:p w14:paraId="2E4A8DE2" w14:textId="77777777" w:rsidR="004A29BC" w:rsidRDefault="006C600F">
      <w:pPr>
        <w:adjustRightInd w:val="0"/>
        <w:snapToGrid w:val="0"/>
        <w:rPr>
          <w:rFonts w:ascii="NEU-BZ-Regular" w:hAnsi="NEU-BZ-Regular" w:hint="eastAsia"/>
          <w:color w:val="000000" w:themeColor="text1"/>
          <w:szCs w:val="21"/>
        </w:rPr>
      </w:pPr>
      <w:r>
        <w:rPr>
          <w:rFonts w:ascii="NEU-BZ-Regular" w:hAnsi="NEU-BZ-Regular" w:hint="eastAsia"/>
          <w:szCs w:val="21"/>
        </w:rPr>
        <w:t>[</w:t>
      </w:r>
      <w:r>
        <w:rPr>
          <w:rFonts w:ascii="NEU-BZ-Regular" w:hAnsi="NEU-BZ-Regular"/>
          <w:szCs w:val="21"/>
        </w:rPr>
        <w:t xml:space="preserve">2] </w:t>
      </w:r>
      <w:r>
        <w:rPr>
          <w:rFonts w:ascii="NEU-BZ-Regular" w:hAnsi="NEU-BZ-Regular"/>
          <w:color w:val="000000" w:themeColor="text1"/>
          <w:szCs w:val="21"/>
        </w:rPr>
        <w:t xml:space="preserve">VIJAY S C, DHARMENDRA K, GYAN P M, et al. Plasmonic biosensor with gold and titanium dioxide immobilized on photonic crystal fiber for blood composition detection [J]. IEEE Sensors Journal, 2022, 22 </w:t>
      </w:r>
      <w:r>
        <w:rPr>
          <w:rFonts w:ascii="NEU-BZ-Regular" w:hAnsi="NEU-BZ-Regular"/>
          <w:color w:val="000000" w:themeColor="text1"/>
          <w:szCs w:val="21"/>
        </w:rPr>
        <w:t>（</w:t>
      </w:r>
      <w:r>
        <w:rPr>
          <w:rFonts w:ascii="NEU-BZ-Regular" w:hAnsi="NEU-BZ-Regular"/>
          <w:color w:val="000000" w:themeColor="text1"/>
          <w:szCs w:val="21"/>
        </w:rPr>
        <w:t>9</w:t>
      </w:r>
      <w:r>
        <w:rPr>
          <w:rFonts w:ascii="NEU-BZ-Regular" w:hAnsi="NEU-BZ-Regular"/>
          <w:color w:val="000000" w:themeColor="text1"/>
          <w:szCs w:val="21"/>
        </w:rPr>
        <w:t>）</w:t>
      </w:r>
      <w:r>
        <w:rPr>
          <w:rFonts w:ascii="NEU-BZ-Regular" w:hAnsi="NEU-BZ-Regular"/>
          <w:color w:val="000000" w:themeColor="text1"/>
          <w:szCs w:val="21"/>
        </w:rPr>
        <w:t>: 8474–8481.</w:t>
      </w:r>
    </w:p>
    <w:p w14:paraId="7D31D178" w14:textId="77777777" w:rsidR="004A29BC" w:rsidRDefault="006C600F">
      <w:pPr>
        <w:adjustRightInd w:val="0"/>
        <w:snapToGrid w:val="0"/>
        <w:rPr>
          <w:rFonts w:ascii="NEU-BZ-Regular" w:hAnsi="NEU-BZ-Regular" w:hint="eastAsia"/>
          <w:szCs w:val="21"/>
        </w:rPr>
      </w:pPr>
      <w:r>
        <w:rPr>
          <w:rFonts w:ascii="NEU-BZ-Regular" w:hAnsi="NEU-BZ-Regular"/>
          <w:szCs w:val="21"/>
        </w:rPr>
        <w:t>[3]</w:t>
      </w:r>
      <w:r>
        <w:rPr>
          <w:rFonts w:ascii="NEU-BZ-Regular" w:hAnsi="NEU-BZ-Regular" w:hint="eastAsia"/>
          <w:szCs w:val="21"/>
        </w:rPr>
        <w:t xml:space="preserve"> </w:t>
      </w:r>
      <w:r>
        <w:rPr>
          <w:rFonts w:ascii="NEU-BZ-Regular" w:hAnsi="NEU-BZ-Regular"/>
          <w:szCs w:val="21"/>
        </w:rPr>
        <w:t>SUDHIR</w:t>
      </w:r>
      <w:r>
        <w:rPr>
          <w:rFonts w:ascii="NEU-BZ-Regular" w:hAnsi="NEU-BZ-Regular" w:hint="eastAsia"/>
          <w:szCs w:val="21"/>
        </w:rPr>
        <w:t xml:space="preserve"> </w:t>
      </w:r>
      <w:r>
        <w:rPr>
          <w:rFonts w:ascii="NEU-BZ-Regular" w:hAnsi="NEU-BZ-Regular"/>
          <w:szCs w:val="21"/>
        </w:rPr>
        <w:t>K</w:t>
      </w:r>
      <w:r>
        <w:rPr>
          <w:rFonts w:ascii="NEU-BZ-Regular" w:hAnsi="NEU-BZ-Regular" w:hint="eastAsia"/>
          <w:szCs w:val="21"/>
        </w:rPr>
        <w:t>, D</w:t>
      </w:r>
      <w:r>
        <w:rPr>
          <w:rFonts w:ascii="NEU-BZ-Regular" w:hAnsi="NEU-BZ-Regular"/>
          <w:szCs w:val="21"/>
        </w:rPr>
        <w:t>ILIP K</w:t>
      </w:r>
      <w:r>
        <w:rPr>
          <w:rFonts w:ascii="NEU-BZ-Regular" w:hAnsi="NEU-BZ-Regular" w:hint="eastAsia"/>
          <w:szCs w:val="21"/>
        </w:rPr>
        <w:t xml:space="preserve">. Lower index liquid chemical detection by using photonic crystal fiber[J]. </w:t>
      </w:r>
      <w:r>
        <w:rPr>
          <w:rFonts w:ascii="NEU-BZ-Regular" w:hAnsi="NEU-BZ-Regular"/>
          <w:szCs w:val="21"/>
        </w:rPr>
        <w:t>S</w:t>
      </w:r>
      <w:r>
        <w:rPr>
          <w:rFonts w:ascii="NEU-BZ-Regular" w:hAnsi="NEU-BZ-Regular" w:hint="eastAsia"/>
          <w:szCs w:val="21"/>
        </w:rPr>
        <w:t>ensor, 2022, 64</w:t>
      </w:r>
      <w:r>
        <w:rPr>
          <w:rFonts w:ascii="NEU-BZ-Regular" w:hAnsi="NEU-BZ-Regular" w:hint="eastAsia"/>
          <w:szCs w:val="21"/>
        </w:rPr>
        <w:t>（</w:t>
      </w:r>
      <w:r>
        <w:rPr>
          <w:rFonts w:ascii="NEU-BZ-Regular" w:hAnsi="NEU-BZ-Regular" w:hint="eastAsia"/>
          <w:szCs w:val="21"/>
        </w:rPr>
        <w:t>1</w:t>
      </w:r>
      <w:r>
        <w:rPr>
          <w:rFonts w:ascii="NEU-BZ-Regular" w:hAnsi="NEU-BZ-Regular" w:hint="eastAsia"/>
          <w:szCs w:val="21"/>
        </w:rPr>
        <w:t>）</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69-73.</w:t>
      </w:r>
    </w:p>
    <w:p w14:paraId="7B3DD589" w14:textId="77777777" w:rsidR="004A29BC" w:rsidRDefault="006C600F">
      <w:pPr>
        <w:adjustRightInd w:val="0"/>
        <w:snapToGrid w:val="0"/>
        <w:rPr>
          <w:rFonts w:ascii="NEU-BZ-Regular" w:hAnsi="NEU-BZ-Regular" w:hint="eastAsia"/>
          <w:color w:val="000000" w:themeColor="text1"/>
          <w:szCs w:val="21"/>
        </w:rPr>
      </w:pPr>
      <w:r>
        <w:rPr>
          <w:rFonts w:ascii="NEU-BZ-Regular" w:hAnsi="NEU-BZ-Regular" w:hint="eastAsia"/>
          <w:szCs w:val="21"/>
        </w:rPr>
        <w:t>[</w:t>
      </w:r>
      <w:r>
        <w:rPr>
          <w:rFonts w:ascii="NEU-BZ-Regular" w:hAnsi="NEU-BZ-Regular"/>
          <w:szCs w:val="21"/>
        </w:rPr>
        <w:t>4]</w:t>
      </w:r>
      <w:r>
        <w:rPr>
          <w:rFonts w:ascii="NEU-BZ-Regular" w:hAnsi="NEU-BZ-Regular"/>
          <w:color w:val="000000" w:themeColor="text1"/>
          <w:szCs w:val="21"/>
        </w:rPr>
        <w:t xml:space="preserve"> IBADUL I, BIKASH K P , KAWSAR A, et al. Highly birefringent single mode spiral shape photonic crystal fiber based sensor for gas sensing applications [J]. Sensing and Bio-Sensing Research, 2017, 14:30-38. </w:t>
      </w:r>
    </w:p>
    <w:p w14:paraId="0E35ED2C" w14:textId="77777777" w:rsidR="004A29BC" w:rsidRDefault="006C600F">
      <w:pPr>
        <w:adjustRightInd w:val="0"/>
        <w:snapToGrid w:val="0"/>
        <w:rPr>
          <w:rFonts w:ascii="NEU-BZ-Regular" w:hAnsi="NEU-BZ-Regular" w:hint="eastAsia"/>
          <w:szCs w:val="21"/>
        </w:rPr>
      </w:pPr>
      <w:r>
        <w:rPr>
          <w:rFonts w:ascii="NEU-BZ-Regular" w:hAnsi="NEU-BZ-Regular"/>
          <w:szCs w:val="21"/>
        </w:rPr>
        <w:t>[5] MOUTUSI</w:t>
      </w:r>
      <w:r>
        <w:rPr>
          <w:rFonts w:ascii="NEU-BZ-Regular" w:hAnsi="NEU-BZ-Regular"/>
          <w:color w:val="000000" w:themeColor="text1"/>
          <w:szCs w:val="21"/>
        </w:rPr>
        <w:t xml:space="preserve"> D, SINGH V K. Magnetic fluid infiltrated dual core photonic crystal fiber based highly sensitive magnetic field sensor [J]. Optics &amp; Laser Technology, 2018, 106: 61-68.</w:t>
      </w:r>
    </w:p>
    <w:p w14:paraId="45D862F6" w14:textId="77777777" w:rsidR="004A29BC" w:rsidRDefault="006C600F">
      <w:pPr>
        <w:adjustRightInd w:val="0"/>
        <w:snapToGrid w:val="0"/>
        <w:rPr>
          <w:rFonts w:ascii="NEU-BZ-Regular" w:hAnsi="NEU-BZ-Regular" w:hint="eastAsia"/>
          <w:color w:val="FF0000"/>
          <w:szCs w:val="21"/>
        </w:rPr>
      </w:pPr>
      <w:r>
        <w:rPr>
          <w:rFonts w:ascii="NEU-BZ-Regular" w:hAnsi="NEU-BZ-Regular" w:hint="eastAsia"/>
          <w:szCs w:val="21"/>
        </w:rPr>
        <w:t>[</w:t>
      </w:r>
      <w:r>
        <w:rPr>
          <w:rFonts w:ascii="NEU-BZ-Regular" w:hAnsi="NEU-BZ-Regular"/>
          <w:szCs w:val="21"/>
        </w:rPr>
        <w:t>6] SHI Q, JIN H Y, XIAN Z, et al. Highly sensitive temperature sensing based on all-solid cladding dual-core</w:t>
      </w:r>
      <w:r>
        <w:rPr>
          <w:rFonts w:ascii="NEU-BZ-Regular" w:hAnsi="NEU-BZ-Regular" w:hint="eastAsia"/>
          <w:szCs w:val="21"/>
        </w:rPr>
        <w:t xml:space="preserve"> </w:t>
      </w:r>
      <w:r>
        <w:rPr>
          <w:rFonts w:ascii="NEU-BZ-Regular" w:hAnsi="NEU-BZ-Regular"/>
          <w:szCs w:val="21"/>
        </w:rPr>
        <w:t>photonic crystal fiber filled with the toluene and ethanol[J]</w:t>
      </w:r>
      <w:r>
        <w:rPr>
          <w:rFonts w:ascii="NEU-BZ-Regular" w:hAnsi="NEU-BZ-Regular" w:hint="eastAsia"/>
          <w:szCs w:val="21"/>
        </w:rPr>
        <w:t>.</w:t>
      </w:r>
      <w:r>
        <w:rPr>
          <w:rFonts w:ascii="NEU-BZ-Regular" w:hAnsi="NEU-BZ-Regular"/>
          <w:szCs w:val="21"/>
        </w:rPr>
        <w:t xml:space="preserve"> Optics Communications, 2020, 477</w:t>
      </w:r>
      <w:r>
        <w:rPr>
          <w:rFonts w:ascii="NEU-BZ-Regular" w:hAnsi="NEU-BZ-Regular"/>
          <w:szCs w:val="21"/>
        </w:rPr>
        <w:t>（</w:t>
      </w:r>
      <w:r>
        <w:rPr>
          <w:rFonts w:ascii="NEU-BZ-Regular" w:hAnsi="NEU-BZ-Regular"/>
          <w:szCs w:val="21"/>
        </w:rPr>
        <w:t>15</w:t>
      </w:r>
      <w:r>
        <w:rPr>
          <w:rFonts w:ascii="NEU-BZ-Regular" w:hAnsi="NEU-BZ-Regular"/>
          <w:szCs w:val="21"/>
        </w:rPr>
        <w:t>）</w:t>
      </w:r>
      <w:r>
        <w:rPr>
          <w:rFonts w:ascii="NEU-BZ-Regular" w:hAnsi="NEU-BZ-Regular"/>
          <w:szCs w:val="21"/>
        </w:rPr>
        <w:t>:</w:t>
      </w:r>
      <w:r>
        <w:rPr>
          <w:szCs w:val="21"/>
        </w:rPr>
        <w:t xml:space="preserve"> </w:t>
      </w:r>
      <w:r>
        <w:rPr>
          <w:rFonts w:ascii="NEU-BZ-Regular" w:hAnsi="NEU-BZ-Regular"/>
          <w:szCs w:val="21"/>
        </w:rPr>
        <w:t>126357-1~126357</w:t>
      </w:r>
      <w:r>
        <w:rPr>
          <w:rFonts w:ascii="NEU-BZ-Regular" w:hAnsi="NEU-BZ-Regular"/>
          <w:szCs w:val="21"/>
          <w:highlight w:val="yellow"/>
        </w:rPr>
        <w:t>-</w:t>
      </w:r>
      <w:r>
        <w:rPr>
          <w:rFonts w:ascii="NEU-BZ-Regular" w:hAnsi="NEU-BZ-Regular" w:hint="eastAsia"/>
          <w:szCs w:val="21"/>
          <w:highlight w:val="yellow"/>
        </w:rPr>
        <w:t>9</w:t>
      </w:r>
      <w:r>
        <w:rPr>
          <w:rFonts w:ascii="NEU-BZ-Regular" w:hAnsi="NEU-BZ-Regular"/>
          <w:szCs w:val="21"/>
        </w:rPr>
        <w:t xml:space="preserve">. </w:t>
      </w:r>
    </w:p>
    <w:p w14:paraId="19595721"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7]</w:t>
      </w:r>
      <w:r>
        <w:rPr>
          <w:rFonts w:ascii="NEU-BZ-Regular" w:hAnsi="NEU-BZ-Regular" w:hint="eastAsia"/>
          <w:szCs w:val="21"/>
        </w:rPr>
        <w:t xml:space="preserve"> </w:t>
      </w:r>
      <w:r>
        <w:rPr>
          <w:rFonts w:ascii="NEU-BZ-Regular" w:hAnsi="NEU-BZ-Regular"/>
          <w:szCs w:val="21"/>
        </w:rPr>
        <w:t>ZHANG Y P , ZHANG X Q , CHU S C, et al,</w:t>
      </w:r>
      <w:r>
        <w:rPr>
          <w:szCs w:val="21"/>
        </w:rPr>
        <w:t xml:space="preserve"> </w:t>
      </w:r>
      <w:r>
        <w:rPr>
          <w:rFonts w:ascii="NEU-BZ-Regular" w:hAnsi="NEU-BZ-Regular"/>
          <w:szCs w:val="21"/>
        </w:rPr>
        <w:t xml:space="preserve">A highly sensitive photonic crystal fiber temperature sensor based on Sagnac interferometer with full liquid filling[J]. </w:t>
      </w:r>
      <w:r>
        <w:rPr>
          <w:rFonts w:ascii="NEU-BZ-Regular" w:hAnsi="NEU-BZ-Regular" w:hint="eastAsia"/>
          <w:szCs w:val="21"/>
        </w:rPr>
        <w:t>Optical and Quantum Electronics,</w:t>
      </w:r>
      <w:r>
        <w:rPr>
          <w:rFonts w:ascii="NEU-BZ-Regular" w:hAnsi="NEU-BZ-Regular"/>
          <w:szCs w:val="21"/>
        </w:rPr>
        <w:t xml:space="preserve"> 2023, 55</w:t>
      </w:r>
      <w:r>
        <w:rPr>
          <w:rFonts w:ascii="NEU-BZ-Regular" w:hAnsi="NEU-BZ-Regular"/>
          <w:szCs w:val="21"/>
        </w:rPr>
        <w:t>（</w:t>
      </w:r>
      <w:r>
        <w:rPr>
          <w:rFonts w:ascii="NEU-BZ-Regular" w:hAnsi="NEU-BZ-Regular"/>
          <w:szCs w:val="21"/>
        </w:rPr>
        <w:t>4</w:t>
      </w:r>
      <w:r>
        <w:rPr>
          <w:rFonts w:ascii="NEU-BZ-Regular" w:hAnsi="NEU-BZ-Regular"/>
          <w:szCs w:val="21"/>
        </w:rPr>
        <w:t>）</w:t>
      </w:r>
      <w:r>
        <w:rPr>
          <w:rFonts w:ascii="NEU-BZ-Regular" w:hAnsi="NEU-BZ-Regular"/>
          <w:szCs w:val="21"/>
        </w:rPr>
        <w:t xml:space="preserve">: 371-382. </w:t>
      </w:r>
    </w:p>
    <w:p w14:paraId="137045B6" w14:textId="77777777" w:rsidR="004A29BC" w:rsidRDefault="006C600F">
      <w:pPr>
        <w:adjustRightInd w:val="0"/>
        <w:snapToGrid w:val="0"/>
        <w:rPr>
          <w:rFonts w:ascii="NEU-BZ-Regular" w:hAnsi="NEU-BZ-Regular" w:hint="eastAsia"/>
          <w:szCs w:val="21"/>
        </w:rPr>
      </w:pPr>
      <w:r>
        <w:rPr>
          <w:rFonts w:ascii="NEU-BZ-Regular" w:hAnsi="NEU-BZ-Regular"/>
          <w:szCs w:val="21"/>
        </w:rPr>
        <w:t xml:space="preserve">[8] </w:t>
      </w:r>
      <w:r>
        <w:rPr>
          <w:rFonts w:ascii="NEU-BZ-Regular" w:hAnsi="NEU-BZ-Regular" w:hint="eastAsia"/>
          <w:szCs w:val="21"/>
        </w:rPr>
        <w:t>王晴，丁毅，谭策，等</w:t>
      </w:r>
      <w:r>
        <w:rPr>
          <w:rFonts w:ascii="NEU-BZ-Regular" w:hAnsi="NEU-BZ-Regular"/>
          <w:szCs w:val="21"/>
        </w:rPr>
        <w:t xml:space="preserve">. </w:t>
      </w:r>
      <w:r>
        <w:rPr>
          <w:rFonts w:ascii="NEU-BZ-Regular" w:hAnsi="NEU-BZ-Regular" w:hint="eastAsia"/>
          <w:szCs w:val="21"/>
        </w:rPr>
        <w:t>液体填充光子晶体光纤长周期光栅双谐振温度传感器的设计与优化</w:t>
      </w:r>
      <w:r>
        <w:rPr>
          <w:rFonts w:ascii="NEU-BZ-Regular" w:hAnsi="NEU-BZ-Regular" w:hint="eastAsia"/>
          <w:szCs w:val="21"/>
        </w:rPr>
        <w:t>[</w:t>
      </w:r>
      <w:r>
        <w:rPr>
          <w:rFonts w:ascii="NEU-BZ-Regular" w:hAnsi="NEU-BZ-Regular"/>
          <w:szCs w:val="21"/>
        </w:rPr>
        <w:t>J].</w:t>
      </w:r>
      <w:r>
        <w:rPr>
          <w:rFonts w:ascii="NEU-BZ-Regular" w:hAnsi="NEU-BZ-Regular" w:hint="eastAsia"/>
          <w:szCs w:val="21"/>
        </w:rPr>
        <w:t xml:space="preserve"> </w:t>
      </w:r>
      <w:r>
        <w:rPr>
          <w:rFonts w:ascii="NEU-BZ-Regular" w:hAnsi="NEU-BZ-Regular" w:hint="eastAsia"/>
          <w:szCs w:val="21"/>
        </w:rPr>
        <w:t>量子光学学报</w:t>
      </w:r>
      <w:r>
        <w:rPr>
          <w:rFonts w:ascii="NEU-BZ-Regular" w:hAnsi="NEU-BZ-Regular" w:hint="eastAsia"/>
          <w:szCs w:val="21"/>
        </w:rPr>
        <w:t>. 2018,</w:t>
      </w:r>
      <w:r>
        <w:rPr>
          <w:rFonts w:ascii="NEU-BZ-Regular" w:hAnsi="NEU-BZ-Regular"/>
          <w:szCs w:val="21"/>
        </w:rPr>
        <w:t xml:space="preserve"> </w:t>
      </w:r>
      <w:r>
        <w:rPr>
          <w:rFonts w:ascii="NEU-BZ-Regular" w:hAnsi="NEU-BZ-Regular" w:hint="eastAsia"/>
          <w:szCs w:val="21"/>
        </w:rPr>
        <w:t>24</w:t>
      </w:r>
      <w:r>
        <w:rPr>
          <w:rFonts w:ascii="NEU-BZ-Regular" w:hAnsi="NEU-BZ-Regular" w:hint="eastAsia"/>
          <w:szCs w:val="21"/>
        </w:rPr>
        <w:t>（</w:t>
      </w:r>
      <w:r>
        <w:rPr>
          <w:rFonts w:ascii="NEU-BZ-Regular" w:hAnsi="NEU-BZ-Regular" w:hint="eastAsia"/>
          <w:szCs w:val="21"/>
        </w:rPr>
        <w:t>1</w:t>
      </w:r>
      <w:r>
        <w:rPr>
          <w:rFonts w:ascii="NEU-BZ-Regular" w:hAnsi="NEU-BZ-Regular" w:hint="eastAsia"/>
          <w:szCs w:val="21"/>
        </w:rPr>
        <w:t>）</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84-92.</w:t>
      </w:r>
    </w:p>
    <w:p w14:paraId="552F1DD9"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 xml:space="preserve">9] </w:t>
      </w:r>
      <w:r>
        <w:rPr>
          <w:rFonts w:ascii="NEU-BZ-Regular" w:hAnsi="NEU-BZ-Regular" w:hint="eastAsia"/>
          <w:szCs w:val="21"/>
        </w:rPr>
        <w:t>熊明强，黄勇林，</w:t>
      </w:r>
      <w:r>
        <w:rPr>
          <w:rFonts w:hint="eastAsia"/>
          <w:szCs w:val="21"/>
        </w:rPr>
        <w:t>詹平，</w:t>
      </w:r>
      <w:r>
        <w:rPr>
          <w:rFonts w:ascii="NEU-BZ-Regular" w:hAnsi="NEU-BZ-Regular" w:hint="eastAsia"/>
          <w:szCs w:val="21"/>
        </w:rPr>
        <w:t>等</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双侧抛</w:t>
      </w:r>
      <w:r>
        <w:rPr>
          <w:rFonts w:ascii="NEU-BZ-Regular" w:hAnsi="NEU-BZ-Regular" w:hint="eastAsia"/>
          <w:szCs w:val="21"/>
        </w:rPr>
        <w:t>D</w:t>
      </w:r>
      <w:r>
        <w:rPr>
          <w:rFonts w:ascii="NEU-BZ-Regular" w:hAnsi="NEU-BZ-Regular" w:hint="eastAsia"/>
          <w:szCs w:val="21"/>
        </w:rPr>
        <w:t>型光子晶体光纤表面等离子体温度传感器</w:t>
      </w:r>
      <w:r>
        <w:rPr>
          <w:rFonts w:ascii="NEU-BZ-Regular" w:hAnsi="NEU-BZ-Regular" w:hint="eastAsia"/>
          <w:szCs w:val="21"/>
        </w:rPr>
        <w:t xml:space="preserve">[J]. </w:t>
      </w:r>
      <w:r>
        <w:rPr>
          <w:rFonts w:ascii="NEU-BZ-Regular" w:hAnsi="NEU-BZ-Regular" w:hint="eastAsia"/>
          <w:szCs w:val="21"/>
        </w:rPr>
        <w:t>光通信技术，</w:t>
      </w:r>
      <w:r>
        <w:rPr>
          <w:rFonts w:ascii="NEU-BZ-Regular" w:hAnsi="NEU-BZ-Regular" w:hint="eastAsia"/>
          <w:szCs w:val="21"/>
        </w:rPr>
        <w:t>2023</w:t>
      </w:r>
      <w:r>
        <w:rPr>
          <w:rFonts w:ascii="NEU-BZ-Regular" w:hAnsi="NEU-BZ-Regular" w:hint="eastAsia"/>
          <w:szCs w:val="21"/>
        </w:rPr>
        <w:t>，</w:t>
      </w:r>
      <w:r>
        <w:rPr>
          <w:rFonts w:ascii="NEU-BZ-Regular" w:hAnsi="NEU-BZ-Regular" w:hint="eastAsia"/>
          <w:szCs w:val="21"/>
        </w:rPr>
        <w:t>47</w:t>
      </w:r>
      <w:r>
        <w:rPr>
          <w:rFonts w:ascii="NEU-BZ-Regular" w:hAnsi="NEU-BZ-Regular" w:hint="eastAsia"/>
          <w:szCs w:val="21"/>
        </w:rPr>
        <w:t>（</w:t>
      </w:r>
      <w:r>
        <w:rPr>
          <w:rFonts w:ascii="NEU-BZ-Regular" w:hAnsi="NEU-BZ-Regular" w:hint="eastAsia"/>
          <w:szCs w:val="21"/>
        </w:rPr>
        <w:t>2</w:t>
      </w:r>
      <w:r>
        <w:rPr>
          <w:rFonts w:ascii="NEU-BZ-Regular" w:hAnsi="NEU-BZ-Regular" w:hint="eastAsia"/>
          <w:szCs w:val="21"/>
        </w:rPr>
        <w:t>）：</w:t>
      </w:r>
      <w:r>
        <w:rPr>
          <w:rFonts w:ascii="NEU-BZ-Regular" w:hAnsi="NEU-BZ-Regular" w:hint="eastAsia"/>
          <w:szCs w:val="21"/>
        </w:rPr>
        <w:t xml:space="preserve">23-27. </w:t>
      </w:r>
    </w:p>
    <w:p w14:paraId="0B98F9A8" w14:textId="77777777" w:rsidR="004A29BC" w:rsidRDefault="006C600F">
      <w:pPr>
        <w:adjustRightInd w:val="0"/>
        <w:snapToGrid w:val="0"/>
        <w:rPr>
          <w:rFonts w:ascii="NEU-BZ-Regular" w:hAnsi="NEU-BZ-Regular" w:hint="eastAsia"/>
          <w:color w:val="FF0000"/>
          <w:szCs w:val="21"/>
        </w:rPr>
      </w:pPr>
      <w:r>
        <w:rPr>
          <w:rFonts w:ascii="NEU-BZ-Regular" w:hAnsi="NEU-BZ-Regular" w:hint="eastAsia"/>
          <w:szCs w:val="21"/>
        </w:rPr>
        <w:t>[</w:t>
      </w:r>
      <w:r>
        <w:rPr>
          <w:rFonts w:ascii="NEU-BZ-Regular" w:hAnsi="NEU-BZ-Regular"/>
          <w:szCs w:val="21"/>
        </w:rPr>
        <w:t>10]</w:t>
      </w:r>
      <w:r>
        <w:rPr>
          <w:szCs w:val="21"/>
        </w:rPr>
        <w:t xml:space="preserve"> </w:t>
      </w:r>
      <w:r>
        <w:rPr>
          <w:rFonts w:ascii="NEU-BZ-Regular" w:hAnsi="NEU-BZ-Regular"/>
          <w:color w:val="000000" w:themeColor="text1"/>
          <w:szCs w:val="21"/>
        </w:rPr>
        <w:t>YU Z, WEN J S, YI F Q, et al. Fiber liquid-pressure sensor with high sensitivity and a wide measurement range using photopolymer [J].</w:t>
      </w:r>
      <w:r>
        <w:rPr>
          <w:color w:val="000000" w:themeColor="text1"/>
          <w:szCs w:val="21"/>
        </w:rPr>
        <w:t xml:space="preserve"> </w:t>
      </w:r>
      <w:r>
        <w:rPr>
          <w:rFonts w:ascii="NEU-BZ-Regular" w:hAnsi="NEU-BZ-Regular"/>
          <w:color w:val="000000" w:themeColor="text1"/>
          <w:szCs w:val="21"/>
        </w:rPr>
        <w:t>Optics Letters, 2023,48</w:t>
      </w:r>
      <w:r>
        <w:rPr>
          <w:rFonts w:ascii="NEU-BZ-Regular" w:hAnsi="NEU-BZ-Regular"/>
          <w:color w:val="000000" w:themeColor="text1"/>
          <w:szCs w:val="21"/>
        </w:rPr>
        <w:t>（</w:t>
      </w:r>
      <w:r>
        <w:rPr>
          <w:rFonts w:ascii="NEU-BZ-Regular" w:hAnsi="NEU-BZ-Regular"/>
          <w:color w:val="000000" w:themeColor="text1"/>
          <w:szCs w:val="21"/>
        </w:rPr>
        <w:t>14</w:t>
      </w:r>
      <w:r>
        <w:rPr>
          <w:rFonts w:ascii="NEU-BZ-Regular" w:hAnsi="NEU-BZ-Regular"/>
          <w:color w:val="000000" w:themeColor="text1"/>
          <w:szCs w:val="21"/>
        </w:rPr>
        <w:t>）</w:t>
      </w:r>
      <w:r>
        <w:rPr>
          <w:rFonts w:ascii="NEU-BZ-Regular" w:hAnsi="NEU-BZ-Regular"/>
          <w:color w:val="000000" w:themeColor="text1"/>
          <w:szCs w:val="21"/>
        </w:rPr>
        <w:t>:</w:t>
      </w:r>
      <w:r>
        <w:rPr>
          <w:color w:val="000000" w:themeColor="text1"/>
          <w:szCs w:val="21"/>
        </w:rPr>
        <w:t xml:space="preserve"> </w:t>
      </w:r>
      <w:r>
        <w:rPr>
          <w:rFonts w:ascii="NEU-BZ-Regular" w:hAnsi="NEU-BZ-Regular"/>
          <w:color w:val="000000" w:themeColor="text1"/>
          <w:szCs w:val="21"/>
        </w:rPr>
        <w:t xml:space="preserve">3641-3644. </w:t>
      </w:r>
    </w:p>
    <w:p w14:paraId="06AE641F" w14:textId="77777777" w:rsidR="004A29BC" w:rsidRDefault="006C600F">
      <w:pPr>
        <w:adjustRightInd w:val="0"/>
        <w:snapToGrid w:val="0"/>
        <w:rPr>
          <w:rFonts w:ascii="NEU-BZ-Regular" w:hAnsi="NEU-BZ-Regular" w:hint="eastAsia"/>
          <w:szCs w:val="21"/>
        </w:rPr>
      </w:pPr>
      <w:r>
        <w:rPr>
          <w:rFonts w:ascii="NEU-BZ-Regular" w:hAnsi="NEU-BZ-Regular"/>
          <w:szCs w:val="21"/>
        </w:rPr>
        <w:t>[11]</w:t>
      </w:r>
      <w:r>
        <w:rPr>
          <w:rFonts w:ascii="NEU-BZ-Regular" w:hAnsi="NEU-BZ-Regular" w:hint="eastAsia"/>
          <w:szCs w:val="21"/>
        </w:rPr>
        <w:t xml:space="preserve"> </w:t>
      </w:r>
      <w:r>
        <w:rPr>
          <w:rFonts w:ascii="NEU-BZ-Regular" w:hAnsi="NEU-BZ-Regular" w:hint="eastAsia"/>
          <w:szCs w:val="21"/>
        </w:rPr>
        <w:t>武彪，刘云东，陈海良等</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基于保偏光子晶体光纤的</w:t>
      </w:r>
      <w:r>
        <w:rPr>
          <w:rFonts w:ascii="NEU-BZ-Regular" w:hAnsi="NEU-BZ-Regular" w:hint="eastAsia"/>
          <w:szCs w:val="21"/>
        </w:rPr>
        <w:t>Sagnac</w:t>
      </w:r>
      <w:r>
        <w:rPr>
          <w:rFonts w:ascii="NEU-BZ-Regular" w:hAnsi="NEU-BZ-Regular" w:hint="eastAsia"/>
          <w:szCs w:val="21"/>
        </w:rPr>
        <w:t>干涉温度与应变传感特性</w:t>
      </w:r>
      <w:r>
        <w:rPr>
          <w:rFonts w:ascii="NEU-BZ-Regular" w:hAnsi="NEU-BZ-Regular" w:hint="eastAsia"/>
          <w:szCs w:val="21"/>
        </w:rPr>
        <w:t>[</w:t>
      </w:r>
      <w:r>
        <w:rPr>
          <w:rFonts w:ascii="NEU-BZ-Regular" w:hAnsi="NEU-BZ-Regular"/>
          <w:szCs w:val="21"/>
        </w:rPr>
        <w:t>J]</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光学学报，</w:t>
      </w:r>
      <w:r>
        <w:rPr>
          <w:rFonts w:ascii="NEU-BZ-Regular" w:hAnsi="NEU-BZ-Regular" w:hint="eastAsia"/>
          <w:szCs w:val="21"/>
        </w:rPr>
        <w:t>2023</w:t>
      </w:r>
      <w:r>
        <w:rPr>
          <w:rFonts w:ascii="NEU-BZ-Regular" w:hAnsi="NEU-BZ-Regular" w:hint="eastAsia"/>
          <w:szCs w:val="21"/>
        </w:rPr>
        <w:t>，</w:t>
      </w:r>
      <w:r>
        <w:rPr>
          <w:rFonts w:ascii="NEU-BZ-Regular" w:hAnsi="NEU-BZ-Regular" w:hint="eastAsia"/>
          <w:szCs w:val="21"/>
        </w:rPr>
        <w:t>43</w:t>
      </w:r>
      <w:r>
        <w:rPr>
          <w:rFonts w:ascii="NEU-BZ-Regular" w:hAnsi="NEU-BZ-Regular" w:hint="eastAsia"/>
          <w:szCs w:val="21"/>
        </w:rPr>
        <w:t>（</w:t>
      </w:r>
      <w:r>
        <w:rPr>
          <w:rFonts w:ascii="NEU-BZ-Regular" w:hAnsi="NEU-BZ-Regular" w:hint="eastAsia"/>
          <w:szCs w:val="21"/>
        </w:rPr>
        <w:t>10</w:t>
      </w:r>
      <w:r>
        <w:rPr>
          <w:rFonts w:ascii="NEU-BZ-Regular" w:hAnsi="NEU-BZ-Regular" w:hint="eastAsia"/>
          <w:szCs w:val="21"/>
        </w:rPr>
        <w:t>）：</w:t>
      </w:r>
      <w:r>
        <w:rPr>
          <w:rFonts w:ascii="NEU-BZ-Regular" w:hAnsi="NEU-BZ-Regular" w:hint="eastAsia"/>
          <w:szCs w:val="21"/>
        </w:rPr>
        <w:t>54-62</w:t>
      </w:r>
      <w:r>
        <w:rPr>
          <w:rFonts w:ascii="NEU-BZ-Regular" w:hAnsi="NEU-BZ-Regular"/>
          <w:szCs w:val="21"/>
        </w:rPr>
        <w:t>.</w:t>
      </w:r>
    </w:p>
    <w:p w14:paraId="6B43B4AD" w14:textId="77777777" w:rsidR="004A29BC" w:rsidRDefault="006C600F">
      <w:pPr>
        <w:adjustRightInd w:val="0"/>
        <w:snapToGrid w:val="0"/>
        <w:rPr>
          <w:rFonts w:ascii="NEU-BZ-Regular" w:hAnsi="NEU-BZ-Regular" w:hint="eastAsia"/>
          <w:color w:val="000000" w:themeColor="text1"/>
          <w:szCs w:val="21"/>
        </w:rPr>
      </w:pPr>
      <w:r>
        <w:rPr>
          <w:rFonts w:ascii="NEU-BZ-Regular" w:hAnsi="NEU-BZ-Regular" w:hint="eastAsia"/>
          <w:szCs w:val="21"/>
        </w:rPr>
        <w:t>[</w:t>
      </w:r>
      <w:r>
        <w:rPr>
          <w:rFonts w:ascii="NEU-BZ-Regular" w:hAnsi="NEU-BZ-Regular"/>
          <w:szCs w:val="21"/>
        </w:rPr>
        <w:t>12]</w:t>
      </w:r>
      <w:r>
        <w:rPr>
          <w:rFonts w:ascii="NEU-BZ-Regular" w:hAnsi="NEU-BZ-Regular" w:hint="eastAsia"/>
          <w:szCs w:val="21"/>
        </w:rPr>
        <w:t xml:space="preserve"> </w:t>
      </w:r>
      <w:r>
        <w:rPr>
          <w:rFonts w:ascii="NEU-BZ-Regular" w:hAnsi="NEU-BZ-Regular" w:hint="eastAsia"/>
          <w:color w:val="000000" w:themeColor="text1"/>
          <w:szCs w:val="21"/>
        </w:rPr>
        <w:t>Z</w:t>
      </w:r>
      <w:r>
        <w:rPr>
          <w:rFonts w:ascii="NEU-BZ-Regular" w:hAnsi="NEU-BZ-Regular"/>
          <w:color w:val="000000" w:themeColor="text1"/>
          <w:szCs w:val="21"/>
        </w:rPr>
        <w:t>HANG</w:t>
      </w:r>
      <w:r>
        <w:rPr>
          <w:rFonts w:ascii="NEU-BZ-Regular" w:hAnsi="NEU-BZ-Regular" w:hint="eastAsia"/>
          <w:color w:val="000000" w:themeColor="text1"/>
          <w:szCs w:val="21"/>
        </w:rPr>
        <w:t xml:space="preserve"> Y</w:t>
      </w:r>
      <w:r>
        <w:rPr>
          <w:rFonts w:ascii="NEU-BZ-Regular" w:hAnsi="NEU-BZ-Regular"/>
          <w:color w:val="000000" w:themeColor="text1"/>
          <w:szCs w:val="21"/>
        </w:rPr>
        <w:t xml:space="preserve"> P</w:t>
      </w:r>
      <w:r>
        <w:rPr>
          <w:rFonts w:ascii="NEU-BZ-Regular" w:hAnsi="NEU-BZ-Regular" w:hint="eastAsia"/>
          <w:color w:val="000000" w:themeColor="text1"/>
          <w:szCs w:val="21"/>
        </w:rPr>
        <w:t>,</w:t>
      </w:r>
      <w:r>
        <w:rPr>
          <w:rFonts w:ascii="NEU-BZ-Regular" w:hAnsi="NEU-BZ-Regular"/>
          <w:color w:val="000000" w:themeColor="text1"/>
          <w:szCs w:val="21"/>
        </w:rPr>
        <w:t xml:space="preserve"> </w:t>
      </w:r>
      <w:r>
        <w:rPr>
          <w:rFonts w:ascii="NEU-BZ-Regular" w:hAnsi="NEU-BZ-Regular" w:hint="eastAsia"/>
          <w:color w:val="000000" w:themeColor="text1"/>
          <w:szCs w:val="21"/>
        </w:rPr>
        <w:t>Z</w:t>
      </w:r>
      <w:r>
        <w:rPr>
          <w:rFonts w:ascii="NEU-BZ-Regular" w:hAnsi="NEU-BZ-Regular"/>
          <w:color w:val="000000" w:themeColor="text1"/>
          <w:szCs w:val="21"/>
        </w:rPr>
        <w:t>HANG</w:t>
      </w:r>
      <w:r>
        <w:rPr>
          <w:rFonts w:ascii="NEU-BZ-Regular" w:hAnsi="NEU-BZ-Regular" w:hint="eastAsia"/>
          <w:color w:val="000000" w:themeColor="text1"/>
          <w:szCs w:val="21"/>
        </w:rPr>
        <w:t xml:space="preserve"> X</w:t>
      </w:r>
      <w:r>
        <w:rPr>
          <w:rFonts w:ascii="NEU-BZ-Regular" w:hAnsi="NEU-BZ-Regular"/>
          <w:color w:val="000000" w:themeColor="text1"/>
          <w:szCs w:val="21"/>
        </w:rPr>
        <w:t xml:space="preserve"> Q</w:t>
      </w:r>
      <w:r>
        <w:rPr>
          <w:rFonts w:ascii="NEU-BZ-Regular" w:hAnsi="NEU-BZ-Regular" w:hint="eastAsia"/>
          <w:color w:val="000000" w:themeColor="text1"/>
          <w:szCs w:val="21"/>
        </w:rPr>
        <w:t>,</w:t>
      </w:r>
      <w:r>
        <w:rPr>
          <w:rFonts w:ascii="NEU-BZ-Regular" w:hAnsi="NEU-BZ-Regular"/>
          <w:color w:val="000000" w:themeColor="text1"/>
          <w:szCs w:val="21"/>
        </w:rPr>
        <w:t xml:space="preserve"> </w:t>
      </w:r>
      <w:r>
        <w:rPr>
          <w:rFonts w:ascii="NEU-BZ-Regular" w:hAnsi="NEU-BZ-Regular" w:hint="eastAsia"/>
          <w:color w:val="000000" w:themeColor="text1"/>
          <w:szCs w:val="21"/>
        </w:rPr>
        <w:t>C</w:t>
      </w:r>
      <w:r>
        <w:rPr>
          <w:rFonts w:ascii="NEU-BZ-Regular" w:hAnsi="NEU-BZ-Regular"/>
          <w:color w:val="000000" w:themeColor="text1"/>
          <w:szCs w:val="21"/>
        </w:rPr>
        <w:t>HU</w:t>
      </w:r>
      <w:r>
        <w:rPr>
          <w:rFonts w:ascii="NEU-BZ-Regular" w:hAnsi="NEU-BZ-Regular" w:hint="eastAsia"/>
          <w:color w:val="000000" w:themeColor="text1"/>
          <w:szCs w:val="21"/>
        </w:rPr>
        <w:t xml:space="preserve"> S</w:t>
      </w:r>
      <w:r>
        <w:rPr>
          <w:rFonts w:ascii="NEU-BZ-Regular" w:hAnsi="NEU-BZ-Regular"/>
          <w:color w:val="000000" w:themeColor="text1"/>
          <w:szCs w:val="21"/>
        </w:rPr>
        <w:t xml:space="preserve"> C, et al</w:t>
      </w:r>
      <w:r>
        <w:rPr>
          <w:rFonts w:ascii="NEU-BZ-Regular" w:hAnsi="NEU-BZ-Regular" w:hint="eastAsia"/>
          <w:color w:val="000000" w:themeColor="text1"/>
          <w:szCs w:val="21"/>
        </w:rPr>
        <w:t>.</w:t>
      </w:r>
      <w:r>
        <w:rPr>
          <w:rFonts w:ascii="NEU-BZ-Regular" w:hAnsi="NEU-BZ-Regular"/>
          <w:color w:val="000000" w:themeColor="text1"/>
          <w:szCs w:val="21"/>
        </w:rPr>
        <w:t xml:space="preserve"> A highly sensitive photonic crystal fiber temperature sensor based on Sagnac interferometer with full liquid filling[J]. Optical and Quantum Electronics, 2023,55</w:t>
      </w:r>
      <w:r>
        <w:rPr>
          <w:rFonts w:ascii="NEU-BZ-Regular" w:hAnsi="NEU-BZ-Regular"/>
          <w:color w:val="000000" w:themeColor="text1"/>
          <w:szCs w:val="21"/>
        </w:rPr>
        <w:t>（</w:t>
      </w:r>
      <w:r>
        <w:rPr>
          <w:rFonts w:ascii="NEU-BZ-Regular" w:hAnsi="NEU-BZ-Regular"/>
          <w:color w:val="000000" w:themeColor="text1"/>
          <w:szCs w:val="21"/>
        </w:rPr>
        <w:t>4</w:t>
      </w:r>
      <w:r>
        <w:rPr>
          <w:rFonts w:ascii="NEU-BZ-Regular" w:hAnsi="NEU-BZ-Regular"/>
          <w:color w:val="000000" w:themeColor="text1"/>
          <w:szCs w:val="21"/>
        </w:rPr>
        <w:t>）</w:t>
      </w:r>
      <w:r>
        <w:rPr>
          <w:rFonts w:ascii="NEU-BZ-Regular" w:hAnsi="NEU-BZ-Regular"/>
          <w:color w:val="000000" w:themeColor="text1"/>
          <w:szCs w:val="21"/>
        </w:rPr>
        <w:t>: 371-382.</w:t>
      </w:r>
    </w:p>
    <w:p w14:paraId="1F7752A0" w14:textId="77777777" w:rsidR="004A29BC" w:rsidRDefault="006C600F">
      <w:pPr>
        <w:adjustRightInd w:val="0"/>
        <w:snapToGrid w:val="0"/>
        <w:rPr>
          <w:rFonts w:ascii="NEU-BZ-Regular" w:hAnsi="NEU-BZ-Regular" w:hint="eastAsia"/>
          <w:szCs w:val="21"/>
        </w:rPr>
      </w:pPr>
      <w:r>
        <w:rPr>
          <w:rFonts w:ascii="NEU-BZ-Regular" w:hAnsi="NEU-BZ-Regular"/>
          <w:szCs w:val="21"/>
        </w:rPr>
        <w:t>[13] Ademgil H</w:t>
      </w:r>
      <w:r>
        <w:rPr>
          <w:rFonts w:ascii="NEU-BZ-Regular" w:hAnsi="NEU-BZ-Regular"/>
          <w:szCs w:val="21"/>
        </w:rPr>
        <w:t>，</w:t>
      </w:r>
      <w:r>
        <w:rPr>
          <w:rFonts w:ascii="NEU-BZ-Regular" w:hAnsi="NEU-BZ-Regular"/>
          <w:szCs w:val="21"/>
        </w:rPr>
        <w:t>Haxha S. Highly Birefringent Nonlinear PCF for Optical Sensing of Analytes in Aqueous Solutions</w:t>
      </w:r>
      <w:r>
        <w:rPr>
          <w:rFonts w:ascii="NEU-BZ-Regular" w:hAnsi="NEU-BZ-Regular" w:hint="eastAsia"/>
          <w:szCs w:val="21"/>
        </w:rPr>
        <w:t>[</w:t>
      </w:r>
      <w:r>
        <w:rPr>
          <w:rFonts w:ascii="NEU-BZ-Regular" w:hAnsi="NEU-BZ-Regular"/>
          <w:szCs w:val="21"/>
        </w:rPr>
        <w:t>J</w:t>
      </w:r>
      <w:r>
        <w:rPr>
          <w:rFonts w:ascii="NEU-BZ-Regular" w:hAnsi="NEU-BZ-Regular" w:hint="eastAsia"/>
          <w:szCs w:val="21"/>
        </w:rPr>
        <w:t>]</w:t>
      </w:r>
      <w:r>
        <w:rPr>
          <w:rFonts w:ascii="NEU-BZ-Regular" w:hAnsi="NEU-BZ-Regular"/>
          <w:szCs w:val="21"/>
        </w:rPr>
        <w:t>. Optik, 2016</w:t>
      </w:r>
      <w:r>
        <w:rPr>
          <w:rFonts w:ascii="NEU-BZ-Regular" w:hAnsi="NEU-BZ-Regular" w:hint="eastAsia"/>
          <w:szCs w:val="21"/>
        </w:rPr>
        <w:t>,</w:t>
      </w:r>
      <w:r>
        <w:rPr>
          <w:rFonts w:ascii="NEU-BZ-Regular" w:hAnsi="NEU-BZ-Regular"/>
          <w:szCs w:val="21"/>
        </w:rPr>
        <w:t xml:space="preserve"> 127</w:t>
      </w:r>
      <w:r>
        <w:rPr>
          <w:rFonts w:ascii="NEU-BZ-Regular" w:hAnsi="NEU-BZ-Regular" w:hint="eastAsia"/>
          <w:szCs w:val="21"/>
        </w:rPr>
        <w:t>（</w:t>
      </w:r>
      <w:r>
        <w:rPr>
          <w:rFonts w:ascii="NEU-BZ-Regular" w:hAnsi="NEU-BZ-Regular"/>
          <w:szCs w:val="21"/>
        </w:rPr>
        <w:t>16</w:t>
      </w:r>
      <w:r>
        <w:rPr>
          <w:rFonts w:ascii="NEU-BZ-Regular" w:hAnsi="NEU-BZ-Regular" w:hint="eastAsia"/>
          <w:szCs w:val="21"/>
        </w:rPr>
        <w:t>）</w:t>
      </w:r>
      <w:r>
        <w:rPr>
          <w:rFonts w:ascii="NEU-BZ-Regular" w:hAnsi="NEU-BZ-Regular"/>
          <w:szCs w:val="21"/>
        </w:rPr>
        <w:t>：</w:t>
      </w:r>
      <w:r>
        <w:rPr>
          <w:rFonts w:ascii="NEU-BZ-Regular" w:hAnsi="NEU-BZ-Regular"/>
          <w:szCs w:val="21"/>
        </w:rPr>
        <w:t>6653-6660.</w:t>
      </w:r>
    </w:p>
    <w:p w14:paraId="3FA98EAE" w14:textId="77777777" w:rsidR="004A29BC" w:rsidRDefault="006C600F">
      <w:pPr>
        <w:adjustRightInd w:val="0"/>
        <w:snapToGrid w:val="0"/>
        <w:rPr>
          <w:rFonts w:ascii="NEU-BZ-Regular" w:hAnsi="NEU-BZ-Regular" w:hint="eastAsia"/>
          <w:color w:val="000000" w:themeColor="text1"/>
          <w:szCs w:val="21"/>
        </w:rPr>
      </w:pPr>
      <w:r>
        <w:rPr>
          <w:rFonts w:ascii="NEU-BZ-Regular" w:hAnsi="NEU-BZ-Regular"/>
          <w:szCs w:val="21"/>
        </w:rPr>
        <w:t xml:space="preserve">[14] </w:t>
      </w:r>
      <w:r>
        <w:rPr>
          <w:rFonts w:ascii="NEU-BZ-Regular" w:hAnsi="NEU-BZ-Regular"/>
          <w:color w:val="000000" w:themeColor="text1"/>
          <w:szCs w:val="21"/>
        </w:rPr>
        <w:t>SAYED A, KAWSAR A, TOUHID B, et al. Hybird ph</w:t>
      </w:r>
      <w:bookmarkStart w:id="0" w:name="_GoBack"/>
      <w:bookmarkEnd w:id="0"/>
      <w:r>
        <w:rPr>
          <w:rFonts w:ascii="NEU-BZ-Regular" w:hAnsi="NEU-BZ-Regular"/>
          <w:color w:val="000000" w:themeColor="text1"/>
          <w:szCs w:val="21"/>
        </w:rPr>
        <w:t>otonic crystal fiber in chemical sensing[J]. SpringerPlus, 2016, 5: 748-</w:t>
      </w:r>
      <w:r>
        <w:rPr>
          <w:rFonts w:ascii="NEU-BZ-Regular" w:hAnsi="NEU-BZ-Regular" w:hint="eastAsia"/>
          <w:color w:val="000000" w:themeColor="text1"/>
          <w:szCs w:val="21"/>
        </w:rPr>
        <w:t>759</w:t>
      </w:r>
    </w:p>
    <w:p w14:paraId="66D378C8" w14:textId="77777777" w:rsidR="004A29BC" w:rsidRDefault="006C600F">
      <w:pPr>
        <w:adjustRightInd w:val="0"/>
        <w:snapToGrid w:val="0"/>
        <w:rPr>
          <w:rFonts w:ascii="NEU-BZ-Regular" w:hAnsi="NEU-BZ-Regular" w:hint="eastAsia"/>
          <w:color w:val="000000" w:themeColor="text1"/>
          <w:szCs w:val="21"/>
        </w:rPr>
      </w:pPr>
      <w:r>
        <w:rPr>
          <w:rFonts w:ascii="NEU-BZ-Regular" w:hAnsi="NEU-BZ-Regular"/>
          <w:szCs w:val="21"/>
        </w:rPr>
        <w:t xml:space="preserve">[15] </w:t>
      </w:r>
      <w:r>
        <w:rPr>
          <w:rFonts w:ascii="NEU-BZ-Regular" w:hAnsi="NEU-BZ-Regular"/>
          <w:color w:val="000000" w:themeColor="text1"/>
          <w:szCs w:val="21"/>
        </w:rPr>
        <w:t>SHADIDUL I, BIKASH K P, KAWSAR A, et al. Liquid infiltrated photonic crystal fiber for sensing purpose: Design and analysis[J]. Alexandira Engineering Journal, 2018, 57</w:t>
      </w:r>
      <w:r>
        <w:rPr>
          <w:rFonts w:ascii="NEU-BZ-Regular" w:hAnsi="NEU-BZ-Regular"/>
          <w:color w:val="000000" w:themeColor="text1"/>
          <w:szCs w:val="21"/>
        </w:rPr>
        <w:t>（</w:t>
      </w:r>
      <w:r>
        <w:rPr>
          <w:rFonts w:ascii="NEU-BZ-Regular" w:hAnsi="NEU-BZ-Regular"/>
          <w:color w:val="000000" w:themeColor="text1"/>
          <w:szCs w:val="21"/>
        </w:rPr>
        <w:t>3</w:t>
      </w:r>
      <w:r>
        <w:rPr>
          <w:rFonts w:ascii="NEU-BZ-Regular" w:hAnsi="NEU-BZ-Regular"/>
          <w:color w:val="000000" w:themeColor="text1"/>
          <w:szCs w:val="21"/>
        </w:rPr>
        <w:t>）</w:t>
      </w:r>
      <w:r>
        <w:rPr>
          <w:rFonts w:ascii="NEU-BZ-Regular" w:hAnsi="NEU-BZ-Regular"/>
          <w:color w:val="000000" w:themeColor="text1"/>
          <w:szCs w:val="21"/>
        </w:rPr>
        <w:t>:1459-1466.</w:t>
      </w:r>
    </w:p>
    <w:p w14:paraId="59CD8D1C"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16] MALAVIKA R, PRABU K. Design optimization of a highly sensitive spiral photonic crystal fiber for liquid and chemical sensing applications[J], Optical Fiber Technology , 2019,51:36–40</w:t>
      </w:r>
    </w:p>
    <w:p w14:paraId="3DAB600F" w14:textId="77777777" w:rsidR="004A29BC" w:rsidRDefault="006C600F">
      <w:pPr>
        <w:adjustRightInd w:val="0"/>
        <w:snapToGrid w:val="0"/>
        <w:rPr>
          <w:rFonts w:ascii="NEU-BZ-Regular" w:hAnsi="NEU-BZ-Regular" w:hint="eastAsia"/>
          <w:szCs w:val="21"/>
        </w:rPr>
      </w:pPr>
      <w:r>
        <w:rPr>
          <w:rFonts w:ascii="NEU-BZ-Regular" w:hAnsi="NEU-BZ-Regular"/>
          <w:szCs w:val="21"/>
        </w:rPr>
        <w:t>[17] LEON M J B M, ABEDIN S, KABIR M A. A photonic crystal fiber for liquid sensing application with high sensitivity, birefringence and low confinement loss[J]. Sensers International 2, 2021:100061-1-100061-7.</w:t>
      </w:r>
    </w:p>
    <w:p w14:paraId="72910713" w14:textId="77777777" w:rsidR="004A29BC" w:rsidRDefault="006C600F">
      <w:pPr>
        <w:adjustRightInd w:val="0"/>
        <w:snapToGrid w:val="0"/>
        <w:rPr>
          <w:rFonts w:ascii="NEU-BZ-Regular" w:hAnsi="NEU-BZ-Regular" w:hint="eastAsia"/>
          <w:szCs w:val="21"/>
        </w:rPr>
      </w:pPr>
      <w:r>
        <w:rPr>
          <w:rFonts w:ascii="NEU-BZ-Regular" w:hAnsi="NEU-BZ-Regular"/>
          <w:szCs w:val="21"/>
        </w:rPr>
        <w:lastRenderedPageBreak/>
        <w:t xml:space="preserve">[18] </w:t>
      </w:r>
      <w:r>
        <w:rPr>
          <w:rFonts w:ascii="NEU-BZ-Regular" w:hAnsi="NEU-BZ-Regular" w:hint="eastAsia"/>
          <w:szCs w:val="21"/>
        </w:rPr>
        <w:t>Z</w:t>
      </w:r>
      <w:r>
        <w:rPr>
          <w:rFonts w:ascii="NEU-BZ-Regular" w:hAnsi="NEU-BZ-Regular"/>
          <w:szCs w:val="21"/>
        </w:rPr>
        <w:t>HAO</w:t>
      </w:r>
      <w:r>
        <w:rPr>
          <w:rFonts w:ascii="NEU-BZ-Regular" w:hAnsi="NEU-BZ-Regular" w:hint="eastAsia"/>
          <w:szCs w:val="21"/>
        </w:rPr>
        <w:t xml:space="preserve"> L</w:t>
      </w:r>
      <w:r>
        <w:rPr>
          <w:rFonts w:ascii="NEU-BZ-Regular" w:hAnsi="NEU-BZ-Regular"/>
          <w:szCs w:val="21"/>
        </w:rPr>
        <w:t xml:space="preserve"> </w:t>
      </w:r>
      <w:r>
        <w:rPr>
          <w:rFonts w:ascii="NEU-BZ-Regular" w:hAnsi="NEU-BZ-Regular" w:hint="eastAsia"/>
          <w:szCs w:val="21"/>
        </w:rPr>
        <w:t>J,</w:t>
      </w:r>
      <w:r>
        <w:rPr>
          <w:rFonts w:ascii="NEU-BZ-Regular" w:hAnsi="NEU-BZ-Regular"/>
          <w:szCs w:val="21"/>
        </w:rPr>
        <w:t xml:space="preserve"> </w:t>
      </w:r>
      <w:r>
        <w:rPr>
          <w:rFonts w:ascii="NEU-BZ-Regular" w:hAnsi="NEU-BZ-Regular" w:hint="eastAsia"/>
          <w:szCs w:val="21"/>
        </w:rPr>
        <w:t>Z</w:t>
      </w:r>
      <w:r>
        <w:rPr>
          <w:rFonts w:ascii="NEU-BZ-Regular" w:hAnsi="NEU-BZ-Regular"/>
          <w:szCs w:val="21"/>
        </w:rPr>
        <w:t>HAO</w:t>
      </w:r>
      <w:r>
        <w:rPr>
          <w:rFonts w:ascii="NEU-BZ-Regular" w:hAnsi="NEU-BZ-Regular" w:hint="eastAsia"/>
          <w:szCs w:val="21"/>
        </w:rPr>
        <w:t xml:space="preserve"> H</w:t>
      </w:r>
      <w:r>
        <w:rPr>
          <w:rFonts w:ascii="NEU-BZ-Regular" w:hAnsi="NEU-BZ-Regular"/>
          <w:szCs w:val="21"/>
        </w:rPr>
        <w:t xml:space="preserve"> </w:t>
      </w:r>
      <w:r>
        <w:rPr>
          <w:rFonts w:ascii="NEU-BZ-Regular" w:hAnsi="NEU-BZ-Regular" w:hint="eastAsia"/>
          <w:szCs w:val="21"/>
        </w:rPr>
        <w:t>Y,</w:t>
      </w:r>
      <w:r>
        <w:rPr>
          <w:rFonts w:ascii="NEU-BZ-Regular" w:hAnsi="NEU-BZ-Regular"/>
          <w:szCs w:val="21"/>
        </w:rPr>
        <w:t xml:space="preserve"> </w:t>
      </w:r>
      <w:r>
        <w:rPr>
          <w:rFonts w:ascii="NEU-BZ-Regular" w:hAnsi="NEU-BZ-Regular" w:hint="eastAsia"/>
          <w:szCs w:val="21"/>
        </w:rPr>
        <w:t>X</w:t>
      </w:r>
      <w:r>
        <w:rPr>
          <w:rFonts w:ascii="NEU-BZ-Regular" w:hAnsi="NEU-BZ-Regular"/>
          <w:szCs w:val="21"/>
        </w:rPr>
        <w:t>U</w:t>
      </w:r>
      <w:r>
        <w:rPr>
          <w:rFonts w:ascii="NEU-BZ-Regular" w:hAnsi="NEU-BZ-Regular" w:hint="eastAsia"/>
          <w:szCs w:val="21"/>
        </w:rPr>
        <w:t xml:space="preserve"> Z</w:t>
      </w:r>
      <w:r>
        <w:rPr>
          <w:rFonts w:ascii="NEU-BZ-Regular" w:hAnsi="NEU-BZ-Regular"/>
          <w:szCs w:val="21"/>
        </w:rPr>
        <w:t xml:space="preserve"> </w:t>
      </w:r>
      <w:r>
        <w:rPr>
          <w:rFonts w:ascii="NEU-BZ-Regular" w:hAnsi="NEU-BZ-Regular" w:hint="eastAsia"/>
          <w:szCs w:val="21"/>
        </w:rPr>
        <w:t>N</w:t>
      </w:r>
      <w:r>
        <w:rPr>
          <w:rFonts w:ascii="NEU-BZ-Regular" w:hAnsi="NEU-BZ-Regular"/>
          <w:szCs w:val="21"/>
        </w:rPr>
        <w:t>, et al. Design of a diagonally symmetrical photonic crystal fiber for chemical sensing[J]. Journal of Infrared and Millimeter Waves</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2</w:t>
      </w:r>
      <w:r>
        <w:rPr>
          <w:rFonts w:ascii="NEU-BZ-Regular" w:hAnsi="NEU-BZ-Regular"/>
          <w:szCs w:val="21"/>
        </w:rPr>
        <w:t>022</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4</w:t>
      </w:r>
      <w:r>
        <w:rPr>
          <w:rFonts w:ascii="NEU-BZ-Regular" w:hAnsi="NEU-BZ-Regular"/>
          <w:szCs w:val="21"/>
        </w:rPr>
        <w:t>1</w:t>
      </w:r>
      <w:r>
        <w:rPr>
          <w:rFonts w:ascii="NEU-BZ-Regular" w:hAnsi="NEU-BZ-Regular"/>
          <w:szCs w:val="21"/>
        </w:rPr>
        <w:t>（</w:t>
      </w:r>
      <w:r>
        <w:rPr>
          <w:rFonts w:ascii="NEU-BZ-Regular" w:hAnsi="NEU-BZ-Regular"/>
          <w:szCs w:val="21"/>
        </w:rPr>
        <w:t>1</w:t>
      </w:r>
      <w:r>
        <w:rPr>
          <w:rFonts w:ascii="NEU-BZ-Regular" w:hAnsi="NEU-BZ-Regular"/>
          <w:szCs w:val="21"/>
        </w:rPr>
        <w:t>）</w:t>
      </w:r>
      <w:r>
        <w:rPr>
          <w:rFonts w:ascii="NEU-BZ-Regular" w:hAnsi="NEU-BZ-Regular"/>
          <w:szCs w:val="21"/>
        </w:rPr>
        <w:t>: 271-278.</w:t>
      </w:r>
    </w:p>
    <w:p w14:paraId="40C945C2"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19]</w:t>
      </w:r>
      <w:r>
        <w:rPr>
          <w:rFonts w:ascii="NEU-BZ-Regular" w:hAnsi="NEU-BZ-Regular" w:hint="eastAsia"/>
          <w:szCs w:val="21"/>
        </w:rPr>
        <w:t xml:space="preserve"> </w:t>
      </w:r>
      <w:r>
        <w:rPr>
          <w:rFonts w:ascii="NEU-BZ-Regular" w:hAnsi="NEU-BZ-Regular"/>
          <w:szCs w:val="21"/>
        </w:rPr>
        <w:t>TIAN L, WEI L, GUO Y F. Nume</w:t>
      </w:r>
      <w:r>
        <w:rPr>
          <w:rFonts w:ascii="NEU-BZ-Regular" w:hAnsi="NEU-BZ-Regular"/>
          <w:color w:val="000000" w:themeColor="text1"/>
          <w:szCs w:val="21"/>
        </w:rPr>
        <w:t>rical simulation for optimizing mode shaping and</w:t>
      </w:r>
      <w:r>
        <w:rPr>
          <w:rFonts w:ascii="NEU-BZ-Regular" w:hAnsi="NEU-BZ-Regular" w:hint="eastAsia"/>
          <w:color w:val="000000" w:themeColor="text1"/>
          <w:szCs w:val="21"/>
        </w:rPr>
        <w:t xml:space="preserve"> </w:t>
      </w:r>
      <w:r>
        <w:rPr>
          <w:rFonts w:ascii="NEU-BZ-Regular" w:hAnsi="NEU-BZ-Regular"/>
          <w:color w:val="000000" w:themeColor="text1"/>
          <w:szCs w:val="21"/>
        </w:rPr>
        <w:t>supercontinuum flatness of liquid filled seven-core photonic crystal</w:t>
      </w:r>
      <w:r>
        <w:rPr>
          <w:rFonts w:ascii="NEU-BZ-Regular" w:hAnsi="NEU-BZ-Regular" w:hint="eastAsia"/>
          <w:color w:val="000000" w:themeColor="text1"/>
          <w:szCs w:val="21"/>
        </w:rPr>
        <w:t xml:space="preserve"> </w:t>
      </w:r>
      <w:r>
        <w:rPr>
          <w:rFonts w:ascii="NEU-BZ-Regular" w:hAnsi="NEU-BZ-Regular"/>
          <w:color w:val="000000" w:themeColor="text1"/>
          <w:szCs w:val="21"/>
        </w:rPr>
        <w:t>fibers[J]</w:t>
      </w:r>
      <w:r>
        <w:rPr>
          <w:rFonts w:ascii="NEU-BZ-Regular" w:hAnsi="NEU-BZ-Regular" w:hint="eastAsia"/>
          <w:color w:val="000000" w:themeColor="text1"/>
          <w:szCs w:val="21"/>
        </w:rPr>
        <w:t>.</w:t>
      </w:r>
      <w:r>
        <w:rPr>
          <w:rFonts w:ascii="NEU-BZ-Regular" w:hAnsi="NEU-BZ-Regular"/>
          <w:color w:val="000000" w:themeColor="text1"/>
          <w:szCs w:val="21"/>
        </w:rPr>
        <w:t xml:space="preserve"> Optics Communications</w:t>
      </w:r>
      <w:r>
        <w:rPr>
          <w:rFonts w:ascii="NEU-BZ-Regular" w:hAnsi="NEU-BZ-Regular" w:hint="eastAsia"/>
          <w:color w:val="000000" w:themeColor="text1"/>
          <w:szCs w:val="21"/>
        </w:rPr>
        <w:t>,</w:t>
      </w:r>
      <w:r>
        <w:rPr>
          <w:rFonts w:ascii="NEU-BZ-Regular" w:hAnsi="NEU-BZ-Regular"/>
          <w:color w:val="000000" w:themeColor="text1"/>
          <w:szCs w:val="21"/>
        </w:rPr>
        <w:t xml:space="preserve"> 2015, 343: 91-96.</w:t>
      </w:r>
    </w:p>
    <w:p w14:paraId="04860603" w14:textId="77777777" w:rsidR="004A29BC" w:rsidRDefault="006C600F">
      <w:pPr>
        <w:adjustRightInd w:val="0"/>
        <w:snapToGrid w:val="0"/>
        <w:rPr>
          <w:rFonts w:ascii="NEU-BZ-Regular" w:hAnsi="NEU-BZ-Regular" w:hint="eastAsia"/>
          <w:szCs w:val="21"/>
        </w:rPr>
      </w:pPr>
      <w:r>
        <w:rPr>
          <w:rFonts w:ascii="NEU-BZ-Regular" w:hAnsi="NEU-BZ-Regular"/>
          <w:szCs w:val="21"/>
        </w:rPr>
        <w:t>[20] GUENNEAU S, NICOLET A, ZOLLA F, et al. Modeling of Photonic Crystal optical Fibers with Finite Elements [J]. IEEE Transactions on Magnetics, 2002, 38</w:t>
      </w:r>
      <w:r>
        <w:rPr>
          <w:rFonts w:ascii="NEU-BZ-Regular" w:hAnsi="NEU-BZ-Regular"/>
          <w:szCs w:val="21"/>
        </w:rPr>
        <w:t>（</w:t>
      </w:r>
      <w:r>
        <w:rPr>
          <w:rFonts w:ascii="NEU-BZ-Regular" w:hAnsi="NEU-BZ-Regular"/>
          <w:szCs w:val="21"/>
        </w:rPr>
        <w:t>2</w:t>
      </w:r>
      <w:r>
        <w:rPr>
          <w:rFonts w:ascii="NEU-BZ-Regular" w:hAnsi="NEU-BZ-Regular"/>
          <w:szCs w:val="21"/>
        </w:rPr>
        <w:t>）</w:t>
      </w:r>
      <w:r>
        <w:rPr>
          <w:rFonts w:ascii="NEU-BZ-Regular" w:hAnsi="NEU-BZ-Regular"/>
          <w:szCs w:val="21"/>
        </w:rPr>
        <w:t xml:space="preserve">: 1261–1264. </w:t>
      </w:r>
    </w:p>
    <w:p w14:paraId="24A14F19" w14:textId="77777777" w:rsidR="004A29BC" w:rsidRDefault="006C600F">
      <w:pPr>
        <w:adjustRightInd w:val="0"/>
        <w:snapToGrid w:val="0"/>
        <w:rPr>
          <w:rFonts w:ascii="NEU-BZ-Regular" w:hAnsi="NEU-BZ-Regular" w:hint="eastAsia"/>
          <w:szCs w:val="21"/>
        </w:rPr>
      </w:pPr>
      <w:r>
        <w:rPr>
          <w:rFonts w:ascii="NEU-BZ-Regular" w:hAnsi="NEU-BZ-Regular"/>
          <w:szCs w:val="21"/>
        </w:rPr>
        <w:t>[21] FUJISAWA T , KOSHIBA M. Finite Element Characterization of Chromatic Dispersion Innonlinear Holey Fibers [J]. Optics Express, 2003, 11</w:t>
      </w:r>
      <w:r>
        <w:rPr>
          <w:rFonts w:ascii="NEU-BZ-Regular" w:hAnsi="NEU-BZ-Regular"/>
          <w:szCs w:val="21"/>
        </w:rPr>
        <w:t>（</w:t>
      </w:r>
      <w:r>
        <w:rPr>
          <w:rFonts w:ascii="NEU-BZ-Regular" w:hAnsi="NEU-BZ-Regular"/>
          <w:szCs w:val="21"/>
        </w:rPr>
        <w:t>13</w:t>
      </w:r>
      <w:r>
        <w:rPr>
          <w:rFonts w:ascii="NEU-BZ-Regular" w:hAnsi="NEU-BZ-Regular"/>
          <w:szCs w:val="21"/>
        </w:rPr>
        <w:t>）</w:t>
      </w:r>
      <w:r>
        <w:rPr>
          <w:rFonts w:ascii="NEU-BZ-Regular" w:hAnsi="NEU-BZ-Regular"/>
          <w:szCs w:val="21"/>
        </w:rPr>
        <w:t>: 1481–1489.</w:t>
      </w:r>
    </w:p>
    <w:p w14:paraId="5B6439C9" w14:textId="77777777" w:rsidR="004A29BC" w:rsidRDefault="006C600F">
      <w:pPr>
        <w:adjustRightInd w:val="0"/>
        <w:snapToGrid w:val="0"/>
        <w:rPr>
          <w:rFonts w:ascii="NEU-BZ-Regular" w:hAnsi="NEU-BZ-Regular" w:hint="eastAsia"/>
          <w:color w:val="000000" w:themeColor="text1"/>
          <w:szCs w:val="21"/>
        </w:rPr>
      </w:pPr>
      <w:r>
        <w:rPr>
          <w:rFonts w:ascii="NEU-BZ-Regular" w:hAnsi="NEU-BZ-Regular" w:hint="eastAsia"/>
          <w:szCs w:val="21"/>
        </w:rPr>
        <w:t>[</w:t>
      </w:r>
      <w:r>
        <w:rPr>
          <w:rFonts w:ascii="NEU-BZ-Regular" w:hAnsi="NEU-BZ-Regular"/>
          <w:szCs w:val="21"/>
        </w:rPr>
        <w:t xml:space="preserve">22] </w:t>
      </w:r>
      <w:r>
        <w:rPr>
          <w:rFonts w:ascii="NEU-BZ-Regular" w:hAnsi="NEU-BZ-Regular"/>
          <w:color w:val="000000" w:themeColor="text1"/>
          <w:szCs w:val="21"/>
        </w:rPr>
        <w:t>KOTYNSKI R, DEMS M, PANAJOTOV K. Waveguiding losses of micro-structured fibers-plane wave method revisited[J]. Optical and Quantum Electronics, 2007, 39:469-479.</w:t>
      </w:r>
    </w:p>
    <w:p w14:paraId="2F09CDB4" w14:textId="77777777" w:rsidR="004A29BC" w:rsidRDefault="006C600F">
      <w:pPr>
        <w:adjustRightInd w:val="0"/>
        <w:snapToGrid w:val="0"/>
        <w:rPr>
          <w:rFonts w:ascii="NEU-BZ-Regular" w:hAnsi="NEU-BZ-Regular" w:hint="eastAsia"/>
          <w:szCs w:val="21"/>
        </w:rPr>
      </w:pPr>
      <w:r>
        <w:rPr>
          <w:rFonts w:ascii="NEU-BZ-Regular" w:hAnsi="NEU-BZ-Regular"/>
          <w:szCs w:val="21"/>
        </w:rPr>
        <w:t>[23] SELLERI S , VINCETTI L , CUCINOTTA A, et al.</w:t>
      </w:r>
      <w:r>
        <w:rPr>
          <w:rFonts w:ascii="NEU-BZ-Regular" w:hAnsi="NEU-BZ-Regular" w:hint="eastAsia"/>
          <w:szCs w:val="21"/>
        </w:rPr>
        <w:t xml:space="preserve"> </w:t>
      </w:r>
      <w:r>
        <w:rPr>
          <w:rFonts w:ascii="NEU-BZ-Regular" w:hAnsi="NEU-BZ-Regular"/>
          <w:szCs w:val="21"/>
        </w:rPr>
        <w:t>Complex FEM modal solver of optical waveguides with PML boundary conditions[J]. Optical and Quantum Electronics</w:t>
      </w:r>
      <w:r>
        <w:rPr>
          <w:rFonts w:ascii="NEU-BZ-Regular" w:hAnsi="NEU-BZ-Regular" w:hint="eastAsia"/>
          <w:szCs w:val="21"/>
        </w:rPr>
        <w:t>,</w:t>
      </w:r>
      <w:r>
        <w:rPr>
          <w:rFonts w:ascii="NEU-BZ-Regular" w:hAnsi="NEU-BZ-Regular"/>
          <w:szCs w:val="21"/>
        </w:rPr>
        <w:t xml:space="preserve"> 2001,</w:t>
      </w:r>
      <w:r>
        <w:rPr>
          <w:rFonts w:ascii="NEU-BZ-Regular" w:hAnsi="NEU-BZ-Regular" w:hint="eastAsia"/>
          <w:szCs w:val="21"/>
        </w:rPr>
        <w:t xml:space="preserve"> </w:t>
      </w:r>
      <w:r>
        <w:rPr>
          <w:rFonts w:ascii="NEU-BZ-Regular" w:hAnsi="NEU-BZ-Regular"/>
          <w:szCs w:val="21"/>
        </w:rPr>
        <w:t>33</w:t>
      </w:r>
      <w:r>
        <w:rPr>
          <w:rFonts w:ascii="NEU-BZ-Regular" w:hAnsi="NEU-BZ-Regular" w:hint="eastAsia"/>
          <w:szCs w:val="21"/>
        </w:rPr>
        <w:t>（</w:t>
      </w:r>
      <w:r>
        <w:rPr>
          <w:rFonts w:ascii="NEU-BZ-Regular" w:hAnsi="NEU-BZ-Regular" w:hint="eastAsia"/>
          <w:szCs w:val="21"/>
        </w:rPr>
        <w:t>4-5</w:t>
      </w:r>
      <w:r>
        <w:rPr>
          <w:rFonts w:ascii="NEU-BZ-Regular" w:hAnsi="NEU-BZ-Regular" w:hint="eastAsia"/>
          <w:szCs w:val="21"/>
        </w:rPr>
        <w:t>）</w:t>
      </w:r>
      <w:r>
        <w:rPr>
          <w:rFonts w:ascii="NEU-BZ-Regular" w:hAnsi="NEU-BZ-Regular"/>
          <w:szCs w:val="21"/>
        </w:rPr>
        <w:t>: 359-371.</w:t>
      </w:r>
    </w:p>
    <w:p w14:paraId="26254BA2" w14:textId="77777777" w:rsidR="004A29BC" w:rsidRDefault="006C600F">
      <w:pPr>
        <w:adjustRightInd w:val="0"/>
        <w:snapToGrid w:val="0"/>
        <w:rPr>
          <w:rFonts w:ascii="NEU-BZ-Regular" w:hAnsi="NEU-BZ-Regular" w:hint="eastAsia"/>
          <w:szCs w:val="21"/>
        </w:rPr>
      </w:pPr>
      <w:r>
        <w:rPr>
          <w:rFonts w:ascii="NEU-BZ-Regular" w:hAnsi="NEU-BZ-Regular"/>
          <w:szCs w:val="21"/>
        </w:rPr>
        <w:t xml:space="preserve">[24] </w:t>
      </w:r>
      <w:r>
        <w:rPr>
          <w:rFonts w:ascii="NEU-BZ-Regular" w:hAnsi="NEU-BZ-Regular" w:hint="eastAsia"/>
          <w:szCs w:val="21"/>
        </w:rPr>
        <w:t>E</w:t>
      </w:r>
      <w:r>
        <w:rPr>
          <w:rFonts w:ascii="NEU-BZ-Regular" w:hAnsi="NEU-BZ-Regular"/>
          <w:szCs w:val="21"/>
        </w:rPr>
        <w:t>MILIYANOV</w:t>
      </w:r>
      <w:r>
        <w:rPr>
          <w:rFonts w:ascii="NEU-BZ-Regular" w:hAnsi="NEU-BZ-Regular" w:hint="eastAsia"/>
          <w:szCs w:val="21"/>
        </w:rPr>
        <w:t xml:space="preserve"> G</w:t>
      </w:r>
      <w:r>
        <w:rPr>
          <w:rFonts w:ascii="NEU-BZ-Regular" w:hAnsi="NEU-BZ-Regular" w:hint="eastAsia"/>
          <w:szCs w:val="21"/>
        </w:rPr>
        <w:t>，</w:t>
      </w:r>
      <w:r>
        <w:rPr>
          <w:rFonts w:ascii="NEU-BZ-Regular" w:hAnsi="NEU-BZ-Regular" w:hint="eastAsia"/>
          <w:szCs w:val="21"/>
        </w:rPr>
        <w:t>Hø</w:t>
      </w:r>
      <w:r>
        <w:rPr>
          <w:rFonts w:ascii="NEU-BZ-Regular" w:hAnsi="NEU-BZ-Regular"/>
          <w:szCs w:val="21"/>
        </w:rPr>
        <w:t>IBY</w:t>
      </w:r>
      <w:r>
        <w:rPr>
          <w:rFonts w:ascii="NEU-BZ-Regular" w:hAnsi="NEU-BZ-Regular" w:hint="eastAsia"/>
          <w:szCs w:val="21"/>
        </w:rPr>
        <w:t xml:space="preserve"> P E</w:t>
      </w:r>
      <w:r>
        <w:rPr>
          <w:rFonts w:ascii="NEU-BZ-Regular" w:hAnsi="NEU-BZ-Regular" w:hint="eastAsia"/>
          <w:szCs w:val="21"/>
        </w:rPr>
        <w:t>，</w:t>
      </w:r>
      <w:r>
        <w:rPr>
          <w:rFonts w:ascii="NEU-BZ-Regular" w:hAnsi="NEU-BZ-Regular" w:hint="eastAsia"/>
          <w:szCs w:val="21"/>
        </w:rPr>
        <w:t>P</w:t>
      </w:r>
      <w:r>
        <w:rPr>
          <w:rFonts w:ascii="NEU-BZ-Regular" w:hAnsi="NEU-BZ-Regular"/>
          <w:szCs w:val="21"/>
        </w:rPr>
        <w:t>EDERSEN</w:t>
      </w:r>
      <w:r>
        <w:rPr>
          <w:rFonts w:ascii="NEU-BZ-Regular" w:hAnsi="NEU-BZ-Regular" w:hint="eastAsia"/>
          <w:szCs w:val="21"/>
        </w:rPr>
        <w:t xml:space="preserve"> L H</w:t>
      </w:r>
      <w:r>
        <w:rPr>
          <w:rFonts w:ascii="NEU-BZ-Regular" w:hAnsi="NEU-BZ-Regular" w:hint="eastAsia"/>
          <w:szCs w:val="21"/>
        </w:rPr>
        <w:t>，</w:t>
      </w:r>
      <w:r>
        <w:rPr>
          <w:rFonts w:ascii="NEU-BZ-Regular" w:hAnsi="NEU-BZ-Regular" w:hint="eastAsia"/>
          <w:szCs w:val="21"/>
        </w:rPr>
        <w:t>et al. Selective Serial. Multi-Antibody Biosensing with TOPAS Microstructured Polymer Optical Fibers[J]. Sensors</w:t>
      </w:r>
      <w:r>
        <w:rPr>
          <w:rFonts w:ascii="NEU-BZ-Regular" w:hAnsi="NEU-BZ-Regular" w:hint="eastAsia"/>
          <w:szCs w:val="21"/>
        </w:rPr>
        <w:t>，</w:t>
      </w:r>
      <w:r>
        <w:rPr>
          <w:rFonts w:ascii="NEU-BZ-Regular" w:hAnsi="NEU-BZ-Regular" w:hint="eastAsia"/>
          <w:szCs w:val="21"/>
        </w:rPr>
        <w:t>2013</w:t>
      </w:r>
      <w:r>
        <w:rPr>
          <w:rFonts w:ascii="NEU-BZ-Regular" w:hAnsi="NEU-BZ-Regular" w:hint="eastAsia"/>
          <w:szCs w:val="21"/>
        </w:rPr>
        <w:t>，</w:t>
      </w:r>
      <w:r>
        <w:rPr>
          <w:rFonts w:ascii="NEU-BZ-Regular" w:hAnsi="NEU-BZ-Regular" w:hint="eastAsia"/>
          <w:szCs w:val="21"/>
        </w:rPr>
        <w:t>13</w:t>
      </w:r>
      <w:r>
        <w:rPr>
          <w:rFonts w:ascii="NEU-BZ-Regular" w:hAnsi="NEU-BZ-Regular" w:hint="eastAsia"/>
          <w:szCs w:val="21"/>
        </w:rPr>
        <w:t>（</w:t>
      </w:r>
      <w:r>
        <w:rPr>
          <w:rFonts w:ascii="NEU-BZ-Regular" w:hAnsi="NEU-BZ-Regular" w:hint="eastAsia"/>
          <w:szCs w:val="21"/>
        </w:rPr>
        <w:t>3</w:t>
      </w:r>
      <w:r>
        <w:rPr>
          <w:rFonts w:ascii="NEU-BZ-Regular" w:hAnsi="NEU-BZ-Regular" w:hint="eastAsia"/>
          <w:szCs w:val="21"/>
        </w:rPr>
        <w:t>）：</w:t>
      </w:r>
      <w:r>
        <w:rPr>
          <w:rFonts w:ascii="NEU-BZ-Regular" w:hAnsi="NEU-BZ-Regular" w:hint="eastAsia"/>
          <w:szCs w:val="21"/>
        </w:rPr>
        <w:t>3242-3251</w:t>
      </w:r>
    </w:p>
    <w:p w14:paraId="7FD34623" w14:textId="77777777" w:rsidR="004A29BC" w:rsidRDefault="006C600F">
      <w:pPr>
        <w:adjustRightInd w:val="0"/>
        <w:snapToGrid w:val="0"/>
        <w:rPr>
          <w:rFonts w:ascii="NEU-BZ-Regular" w:hAnsi="NEU-BZ-Regular" w:hint="eastAsia"/>
          <w:color w:val="FF0000"/>
          <w:szCs w:val="21"/>
        </w:rPr>
      </w:pPr>
      <w:r>
        <w:rPr>
          <w:rFonts w:ascii="NEU-BZ-Regular" w:hAnsi="NEU-BZ-Regular"/>
          <w:szCs w:val="21"/>
        </w:rPr>
        <w:t xml:space="preserve">[25] </w:t>
      </w:r>
      <w:r>
        <w:rPr>
          <w:rFonts w:ascii="NEU-BZ-Regular" w:hAnsi="NEU-BZ-Regular" w:hint="eastAsia"/>
          <w:szCs w:val="21"/>
        </w:rPr>
        <w:t>谭芳，许鹏飞，周德春，等</w:t>
      </w:r>
      <w:r>
        <w:rPr>
          <w:rFonts w:ascii="NEU-BZ-Regular" w:hAnsi="NEU-BZ-Regular" w:hint="eastAsia"/>
          <w:szCs w:val="21"/>
        </w:rPr>
        <w:t>.</w:t>
      </w:r>
      <w:r>
        <w:rPr>
          <w:rFonts w:ascii="NEU-BZ-Regular" w:hAnsi="NEU-BZ-Regular"/>
          <w:szCs w:val="21"/>
        </w:rPr>
        <w:t xml:space="preserve"> </w:t>
      </w:r>
      <w:r>
        <w:rPr>
          <w:rFonts w:ascii="NEU-BZ-Regular" w:hAnsi="NEU-BZ-Regular" w:hint="eastAsia"/>
          <w:szCs w:val="21"/>
        </w:rPr>
        <w:t>高非线性</w:t>
      </w:r>
      <w:r>
        <w:rPr>
          <w:rFonts w:ascii="NEU-BZ-Regular" w:hAnsi="NEU-BZ-Regular" w:hint="eastAsia"/>
          <w:szCs w:val="21"/>
        </w:rPr>
        <w:t>Bi</w:t>
      </w:r>
      <w:r>
        <w:rPr>
          <w:rFonts w:ascii="NEU-BZ-Regular" w:hAnsi="NEU-BZ-Regular" w:hint="eastAsia"/>
          <w:szCs w:val="21"/>
          <w:vertAlign w:val="subscript"/>
        </w:rPr>
        <w:t>2</w:t>
      </w:r>
      <w:r>
        <w:rPr>
          <w:rFonts w:ascii="NEU-BZ-Regular" w:hAnsi="NEU-BZ-Regular" w:hint="eastAsia"/>
          <w:szCs w:val="21"/>
        </w:rPr>
        <w:t>O</w:t>
      </w:r>
      <w:r>
        <w:rPr>
          <w:rFonts w:ascii="NEU-BZ-Regular" w:hAnsi="NEU-BZ-Regular" w:hint="eastAsia"/>
          <w:szCs w:val="21"/>
          <w:vertAlign w:val="subscript"/>
        </w:rPr>
        <w:t>3</w:t>
      </w:r>
      <w:r>
        <w:rPr>
          <w:rFonts w:ascii="NEU-BZ-Regular" w:hAnsi="NEU-BZ-Regular" w:hint="eastAsia"/>
          <w:szCs w:val="21"/>
        </w:rPr>
        <w:t>-GeO</w:t>
      </w:r>
      <w:r>
        <w:rPr>
          <w:rFonts w:ascii="NEU-BZ-Regular" w:hAnsi="NEU-BZ-Regular" w:hint="eastAsia"/>
          <w:szCs w:val="21"/>
          <w:vertAlign w:val="subscript"/>
        </w:rPr>
        <w:t>2</w:t>
      </w:r>
      <w:r>
        <w:rPr>
          <w:rFonts w:ascii="NEU-BZ-Regular" w:hAnsi="NEU-BZ-Regular" w:hint="eastAsia"/>
          <w:szCs w:val="21"/>
        </w:rPr>
        <w:t>-Ga</w:t>
      </w:r>
      <w:r>
        <w:rPr>
          <w:rFonts w:ascii="NEU-BZ-Regular" w:hAnsi="NEU-BZ-Regular" w:hint="eastAsia"/>
          <w:szCs w:val="21"/>
          <w:vertAlign w:val="subscript"/>
        </w:rPr>
        <w:t>2</w:t>
      </w:r>
      <w:r>
        <w:rPr>
          <w:rFonts w:ascii="NEU-BZ-Regular" w:hAnsi="NEU-BZ-Regular" w:hint="eastAsia"/>
          <w:szCs w:val="21"/>
        </w:rPr>
        <w:t>O</w:t>
      </w:r>
      <w:r>
        <w:rPr>
          <w:rFonts w:ascii="NEU-BZ-Regular" w:hAnsi="NEU-BZ-Regular" w:hint="eastAsia"/>
          <w:szCs w:val="21"/>
          <w:vertAlign w:val="subscript"/>
        </w:rPr>
        <w:t>3</w:t>
      </w:r>
      <w:r>
        <w:rPr>
          <w:rFonts w:ascii="NEU-BZ-Regular" w:hAnsi="NEU-BZ-Regular" w:hint="eastAsia"/>
          <w:szCs w:val="21"/>
        </w:rPr>
        <w:t>光子晶体光纤性能研究</w:t>
      </w:r>
      <w:r>
        <w:rPr>
          <w:rFonts w:ascii="NEU-BZ-Regular" w:hAnsi="NEU-BZ-Regular" w:hint="eastAsia"/>
          <w:szCs w:val="21"/>
        </w:rPr>
        <w:t>[</w:t>
      </w:r>
      <w:r>
        <w:rPr>
          <w:rFonts w:ascii="NEU-BZ-Regular" w:hAnsi="NEU-BZ-Regular"/>
          <w:szCs w:val="21"/>
        </w:rPr>
        <w:t>J]</w:t>
      </w:r>
      <w:r>
        <w:rPr>
          <w:szCs w:val="21"/>
        </w:rPr>
        <w:t xml:space="preserve">. </w:t>
      </w:r>
      <w:r>
        <w:rPr>
          <w:rFonts w:ascii="NEU-BZ-Regular" w:hAnsi="NEU-BZ-Regular" w:hint="eastAsia"/>
          <w:szCs w:val="21"/>
        </w:rPr>
        <w:t>激光与光电子学进展</w:t>
      </w:r>
      <w:r>
        <w:rPr>
          <w:rFonts w:ascii="NEU-BZ-Regular" w:hAnsi="NEU-BZ-Regular"/>
          <w:szCs w:val="21"/>
        </w:rPr>
        <w:t xml:space="preserve">, </w:t>
      </w:r>
      <w:r>
        <w:rPr>
          <w:rFonts w:ascii="NEU-BZ-Regular" w:hAnsi="NEU-BZ-Regular" w:hint="eastAsia"/>
          <w:szCs w:val="21"/>
        </w:rPr>
        <w:t>2022,</w:t>
      </w:r>
      <w:r>
        <w:rPr>
          <w:rFonts w:ascii="NEU-BZ-Regular" w:hAnsi="NEU-BZ-Regular"/>
          <w:szCs w:val="21"/>
        </w:rPr>
        <w:t xml:space="preserve"> </w:t>
      </w:r>
      <w:r>
        <w:rPr>
          <w:rFonts w:ascii="NEU-BZ-Regular" w:hAnsi="NEU-BZ-Regular" w:hint="eastAsia"/>
          <w:szCs w:val="21"/>
        </w:rPr>
        <w:t>59</w:t>
      </w:r>
      <w:r>
        <w:rPr>
          <w:rFonts w:ascii="NEU-BZ-Regular" w:hAnsi="NEU-BZ-Regular" w:hint="eastAsia"/>
          <w:szCs w:val="21"/>
        </w:rPr>
        <w:t>（</w:t>
      </w:r>
      <w:r>
        <w:rPr>
          <w:rFonts w:ascii="NEU-BZ-Regular" w:hAnsi="NEU-BZ-Regular" w:hint="eastAsia"/>
          <w:szCs w:val="21"/>
        </w:rPr>
        <w:t>3</w:t>
      </w:r>
      <w:r>
        <w:rPr>
          <w:rFonts w:ascii="NEU-BZ-Regular" w:hAnsi="NEU-BZ-Regular" w:hint="eastAsia"/>
          <w:szCs w:val="21"/>
        </w:rPr>
        <w:t>）</w:t>
      </w:r>
      <w:r>
        <w:rPr>
          <w:rFonts w:ascii="NEU-BZ-Regular" w:hAnsi="NEU-BZ-Regular"/>
          <w:szCs w:val="21"/>
        </w:rPr>
        <w:t>:</w:t>
      </w:r>
      <w:r>
        <w:rPr>
          <w:szCs w:val="21"/>
        </w:rPr>
        <w:t xml:space="preserve"> </w:t>
      </w:r>
      <w:r>
        <w:rPr>
          <w:rFonts w:ascii="NEU-BZ-Regular" w:hAnsi="NEU-BZ-Regular"/>
          <w:szCs w:val="21"/>
        </w:rPr>
        <w:t>0306003-1-0306003-8.</w:t>
      </w:r>
    </w:p>
    <w:p w14:paraId="6736A712"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26]</w:t>
      </w:r>
      <w:r>
        <w:rPr>
          <w:szCs w:val="21"/>
        </w:rPr>
        <w:t xml:space="preserve"> </w:t>
      </w:r>
      <w:r>
        <w:rPr>
          <w:rFonts w:ascii="NEU-BZ-Regular" w:hAnsi="NEU-BZ-Regular"/>
          <w:szCs w:val="21"/>
        </w:rPr>
        <w:t>BRILLAND L, SMEKTALA F, Renversez G, et al. Fabrication of complex structures of holey fibers in chalcogenide glass [J]. Optics Express, 2006, 14</w:t>
      </w:r>
      <w:r>
        <w:rPr>
          <w:rFonts w:ascii="NEU-BZ-Regular" w:hAnsi="NEU-BZ-Regular"/>
          <w:szCs w:val="21"/>
        </w:rPr>
        <w:t>（</w:t>
      </w:r>
      <w:r>
        <w:rPr>
          <w:rFonts w:ascii="NEU-BZ-Regular" w:hAnsi="NEU-BZ-Regular"/>
          <w:szCs w:val="21"/>
        </w:rPr>
        <w:t>3</w:t>
      </w:r>
      <w:r>
        <w:rPr>
          <w:rFonts w:ascii="NEU-BZ-Regular" w:hAnsi="NEU-BZ-Regular"/>
          <w:szCs w:val="21"/>
        </w:rPr>
        <w:t>）</w:t>
      </w:r>
      <w:r>
        <w:rPr>
          <w:rFonts w:ascii="NEU-BZ-Regular" w:hAnsi="NEU-BZ-Regular"/>
          <w:szCs w:val="21"/>
        </w:rPr>
        <w:t>: 1280-1285.</w:t>
      </w:r>
    </w:p>
    <w:p w14:paraId="36B44F35" w14:textId="77777777" w:rsidR="004A29BC" w:rsidRDefault="006C600F">
      <w:pPr>
        <w:adjustRightInd w:val="0"/>
        <w:snapToGrid w:val="0"/>
        <w:rPr>
          <w:rFonts w:ascii="NEU-BZ-Regular" w:hAnsi="NEU-BZ-Regular" w:hint="eastAsia"/>
          <w:color w:val="000000" w:themeColor="text1"/>
          <w:szCs w:val="21"/>
        </w:rPr>
      </w:pPr>
      <w:r>
        <w:rPr>
          <w:rFonts w:ascii="NEU-BZ-Regular" w:hAnsi="NEU-BZ-Regular" w:hint="eastAsia"/>
          <w:szCs w:val="21"/>
        </w:rPr>
        <w:t>[</w:t>
      </w:r>
      <w:r>
        <w:rPr>
          <w:rFonts w:ascii="NEU-BZ-Regular" w:hAnsi="NEU-BZ-Regular"/>
          <w:szCs w:val="21"/>
        </w:rPr>
        <w:t>27]</w:t>
      </w:r>
      <w:r>
        <w:rPr>
          <w:szCs w:val="21"/>
        </w:rPr>
        <w:t xml:space="preserve"> </w:t>
      </w:r>
      <w:r>
        <w:rPr>
          <w:rFonts w:ascii="NEU-BZ-Regular" w:hAnsi="NEU-BZ-Regular"/>
          <w:szCs w:val="21"/>
        </w:rPr>
        <w:t>LIU Y D, JING X</w:t>
      </w:r>
      <w:r>
        <w:rPr>
          <w:rFonts w:ascii="NEU-BZ-Regular" w:hAnsi="NEU-BZ-Regular"/>
          <w:color w:val="000000" w:themeColor="text1"/>
          <w:szCs w:val="21"/>
        </w:rPr>
        <w:t xml:space="preserve"> L, LI S G, et al. Design of a single-polarization filter based on photonic crystal fiber with gold film on the inner wall of two ultra-large holes[J]. Optics &amp; Laser Technology. 2019, 114:114-121.</w:t>
      </w:r>
    </w:p>
    <w:p w14:paraId="3E4F6CC9" w14:textId="77777777" w:rsidR="004A29BC" w:rsidRDefault="006C600F">
      <w:pPr>
        <w:adjustRightInd w:val="0"/>
        <w:snapToGrid w:val="0"/>
        <w:rPr>
          <w:rFonts w:ascii="NEU-BZ-Regular" w:hAnsi="NEU-BZ-Regular" w:hint="eastAsia"/>
          <w:szCs w:val="21"/>
        </w:rPr>
      </w:pPr>
      <w:r>
        <w:rPr>
          <w:rFonts w:ascii="NEU-BZ-Regular" w:hAnsi="NEU-BZ-Regular"/>
          <w:szCs w:val="21"/>
        </w:rPr>
        <w:t>[28]</w:t>
      </w:r>
      <w:r>
        <w:rPr>
          <w:szCs w:val="21"/>
        </w:rPr>
        <w:t xml:space="preserve"> </w:t>
      </w:r>
      <w:r>
        <w:rPr>
          <w:rFonts w:ascii="NEU-BZ-Regular" w:hAnsi="NEU-BZ-Regular"/>
          <w:szCs w:val="21"/>
        </w:rPr>
        <w:t>HEIKE E H, TANYA M M. Extrusion of complex preforms for microstructured optical fibers[J].  Optics Express, 2007, 15</w:t>
      </w:r>
      <w:r>
        <w:rPr>
          <w:rFonts w:ascii="NEU-BZ-Regular" w:hAnsi="NEU-BZ-Regular"/>
          <w:szCs w:val="21"/>
        </w:rPr>
        <w:t>（</w:t>
      </w:r>
      <w:r>
        <w:rPr>
          <w:rFonts w:ascii="NEU-BZ-Regular" w:hAnsi="NEU-BZ-Regular"/>
          <w:szCs w:val="21"/>
        </w:rPr>
        <w:t>23</w:t>
      </w:r>
      <w:r>
        <w:rPr>
          <w:rFonts w:ascii="NEU-BZ-Regular" w:hAnsi="NEU-BZ-Regular"/>
          <w:szCs w:val="21"/>
        </w:rPr>
        <w:t>）</w:t>
      </w:r>
      <w:r>
        <w:rPr>
          <w:rFonts w:ascii="NEU-BZ-Regular" w:hAnsi="NEU-BZ-Regular"/>
          <w:szCs w:val="21"/>
        </w:rPr>
        <w:t>: 15086-15092.</w:t>
      </w:r>
    </w:p>
    <w:p w14:paraId="080D2E45" w14:textId="77777777" w:rsidR="004A29BC" w:rsidRDefault="006C600F">
      <w:pPr>
        <w:adjustRightInd w:val="0"/>
        <w:snapToGrid w:val="0"/>
        <w:rPr>
          <w:rFonts w:ascii="NEU-BZ-Regular" w:hAnsi="NEU-BZ-Regular" w:hint="eastAsia"/>
          <w:szCs w:val="21"/>
        </w:rPr>
      </w:pPr>
      <w:r>
        <w:rPr>
          <w:rFonts w:ascii="NEU-BZ-Regular" w:hAnsi="NEU-BZ-Regular" w:hint="eastAsia"/>
          <w:szCs w:val="21"/>
        </w:rPr>
        <w:t>[</w:t>
      </w:r>
      <w:r>
        <w:rPr>
          <w:rFonts w:ascii="NEU-BZ-Regular" w:hAnsi="NEU-BZ-Regular"/>
          <w:szCs w:val="21"/>
        </w:rPr>
        <w:t>29]</w:t>
      </w:r>
      <w:r>
        <w:rPr>
          <w:szCs w:val="21"/>
        </w:rPr>
        <w:t xml:space="preserve"> </w:t>
      </w:r>
      <w:r>
        <w:rPr>
          <w:rFonts w:ascii="NEU-BZ-Regular" w:hAnsi="NEU-BZ-Regular"/>
          <w:szCs w:val="21"/>
        </w:rPr>
        <w:t>HICHAM E H, YOUCEF O, LAURENT B , et al. Sol-gel derived ionic copper-doped microstructured optical fiber:a potential selective ultraviolet radiation dosimeter[J]. Optics Express, 2012, 20</w:t>
      </w:r>
      <w:r>
        <w:rPr>
          <w:rFonts w:ascii="NEU-BZ-Regular" w:hAnsi="NEU-BZ-Regular"/>
          <w:szCs w:val="21"/>
        </w:rPr>
        <w:t>（</w:t>
      </w:r>
      <w:r>
        <w:rPr>
          <w:rFonts w:ascii="NEU-BZ-Regular" w:hAnsi="NEU-BZ-Regular"/>
          <w:szCs w:val="21"/>
        </w:rPr>
        <w:t>28</w:t>
      </w:r>
      <w:r>
        <w:rPr>
          <w:rFonts w:ascii="NEU-BZ-Regular" w:hAnsi="NEU-BZ-Regular"/>
          <w:szCs w:val="21"/>
        </w:rPr>
        <w:t>）</w:t>
      </w:r>
      <w:r>
        <w:rPr>
          <w:rFonts w:ascii="NEU-BZ-Regular" w:hAnsi="NEU-BZ-Regular"/>
          <w:szCs w:val="21"/>
        </w:rPr>
        <w:t>: 29751-29760.</w:t>
      </w:r>
    </w:p>
    <w:p w14:paraId="7CB4B8F9" w14:textId="77777777" w:rsidR="004A29BC" w:rsidRDefault="004A29BC">
      <w:pPr>
        <w:adjustRightInd w:val="0"/>
        <w:snapToGrid w:val="0"/>
        <w:rPr>
          <w:rFonts w:ascii="NEU-BZ-Regular" w:hAnsi="NEU-BZ-Regular" w:hint="eastAsia"/>
          <w:sz w:val="16"/>
          <w:szCs w:val="16"/>
        </w:rPr>
      </w:pPr>
    </w:p>
    <w:p w14:paraId="3C29133B" w14:textId="77777777" w:rsidR="004A29BC" w:rsidRDefault="006C600F">
      <w:pPr>
        <w:pStyle w:val="a9"/>
        <w:adjustRightInd w:val="0"/>
        <w:rPr>
          <w:rFonts w:asciiTheme="minorEastAsia" w:hAnsiTheme="minorEastAsia"/>
          <w:b/>
        </w:rPr>
      </w:pPr>
      <w:r>
        <w:rPr>
          <w:rFonts w:asciiTheme="minorEastAsia" w:hAnsiTheme="minorEastAsia" w:hint="eastAsia"/>
          <w:b/>
        </w:rPr>
        <w:t>收</w:t>
      </w:r>
      <w:r>
        <w:rPr>
          <w:rFonts w:asciiTheme="minorEastAsia" w:hAnsiTheme="minorEastAsia"/>
          <w:b/>
        </w:rPr>
        <w:t>稿日期：</w:t>
      </w:r>
      <w:r>
        <w:rPr>
          <w:rFonts w:asciiTheme="minorEastAsia" w:hAnsiTheme="minorEastAsia" w:hint="eastAsia"/>
        </w:rPr>
        <w:t>2024</w:t>
      </w:r>
      <w:r>
        <w:rPr>
          <w:rFonts w:asciiTheme="minorEastAsia" w:hAnsiTheme="minorEastAsia"/>
        </w:rPr>
        <w:t>-07-03</w:t>
      </w:r>
      <w:r>
        <w:rPr>
          <w:rFonts w:asciiTheme="minorEastAsia" w:hAnsiTheme="minorEastAsia" w:hint="eastAsia"/>
        </w:rPr>
        <w:t>。</w:t>
      </w:r>
    </w:p>
    <w:p w14:paraId="0ED39222" w14:textId="77777777" w:rsidR="004A29BC" w:rsidRDefault="006C600F">
      <w:pPr>
        <w:pStyle w:val="a9"/>
        <w:adjustRightInd w:val="0"/>
        <w:rPr>
          <w:rFonts w:ascii="Times New Roman" w:hAnsi="Times New Roman"/>
          <w:szCs w:val="21"/>
        </w:rPr>
      </w:pPr>
      <w:r>
        <w:rPr>
          <w:rFonts w:asciiTheme="minorEastAsia" w:hAnsiTheme="minorEastAsia"/>
          <w:b/>
        </w:rPr>
        <w:t>基金项目:</w:t>
      </w:r>
      <w:r>
        <w:rPr>
          <w:sz w:val="15"/>
          <w:szCs w:val="15"/>
        </w:rPr>
        <w:t xml:space="preserve"> </w:t>
      </w:r>
      <w:r>
        <w:rPr>
          <w:rFonts w:asciiTheme="minorEastAsia" w:hAnsiTheme="minorEastAsia"/>
          <w:spacing w:val="-2"/>
        </w:rPr>
        <w:t>国家</w:t>
      </w:r>
      <w:r>
        <w:rPr>
          <w:rFonts w:asciiTheme="minorEastAsia" w:hAnsiTheme="minorEastAsia" w:cs="Times New Roman"/>
          <w:spacing w:val="-2"/>
        </w:rPr>
        <w:t>973</w:t>
      </w:r>
      <w:r>
        <w:rPr>
          <w:rFonts w:asciiTheme="minorEastAsia" w:hAnsiTheme="minorEastAsia"/>
          <w:spacing w:val="-2"/>
        </w:rPr>
        <w:t>计划</w:t>
      </w:r>
      <w:r>
        <w:rPr>
          <w:rFonts w:asciiTheme="minorEastAsia" w:hAnsiTheme="minorEastAsia" w:hint="eastAsia"/>
          <w:spacing w:val="-2"/>
        </w:rPr>
        <w:t>项目</w:t>
      </w:r>
      <w:r>
        <w:rPr>
          <w:rFonts w:ascii="Times New Roman" w:hAnsi="Times New Roman" w:cs="Times New Roman"/>
          <w:spacing w:val="-2"/>
        </w:rPr>
        <w:t>（</w:t>
      </w:r>
      <w:r>
        <w:rPr>
          <w:rFonts w:ascii="Times New Roman" w:hAnsi="Times New Roman" w:cs="Times New Roman"/>
          <w:spacing w:val="-2"/>
        </w:rPr>
        <w:t>2010CB327801</w:t>
      </w:r>
      <w:r>
        <w:rPr>
          <w:rFonts w:ascii="Times New Roman" w:hAnsi="Times New Roman" w:cs="Times New Roman"/>
          <w:spacing w:val="-2"/>
        </w:rPr>
        <w:t>）资助</w:t>
      </w:r>
      <w:r>
        <w:rPr>
          <w:rFonts w:ascii="宋体" w:hAnsi="宋体"/>
          <w:spacing w:val="-2"/>
        </w:rPr>
        <w:t xml:space="preserve">, </w:t>
      </w:r>
      <w:r>
        <w:rPr>
          <w:rFonts w:ascii="宋体" w:hAnsi="宋体" w:hint="eastAsia"/>
          <w:spacing w:val="-2"/>
        </w:rPr>
        <w:t>高层次人才专项项目</w:t>
      </w:r>
      <w:r>
        <w:rPr>
          <w:rFonts w:ascii="Times New Roman" w:hAnsi="Times New Roman" w:cs="Times New Roman" w:hint="eastAsia"/>
          <w:spacing w:val="-2"/>
        </w:rPr>
        <w:t>（</w:t>
      </w:r>
      <w:r>
        <w:rPr>
          <w:rFonts w:ascii="Times New Roman" w:hAnsi="Times New Roman" w:cs="Times New Roman"/>
          <w:spacing w:val="-2"/>
        </w:rPr>
        <w:t>2022XGC060</w:t>
      </w:r>
      <w:r>
        <w:rPr>
          <w:rFonts w:ascii="Times New Roman" w:hAnsi="Times New Roman" w:cs="Times New Roman" w:hint="eastAsia"/>
          <w:spacing w:val="-2"/>
        </w:rPr>
        <w:t>）</w:t>
      </w:r>
      <w:r>
        <w:rPr>
          <w:rFonts w:ascii="Times New Roman" w:hAnsi="Times New Roman" w:cs="Times New Roman"/>
          <w:spacing w:val="-2"/>
        </w:rPr>
        <w:t>资助</w:t>
      </w:r>
      <w:r>
        <w:rPr>
          <w:rFonts w:ascii="Times New Roman" w:hAnsi="Times New Roman" w:hint="eastAsia"/>
          <w:szCs w:val="21"/>
        </w:rPr>
        <w:t>。</w:t>
      </w:r>
    </w:p>
    <w:p w14:paraId="6599D1B4" w14:textId="77777777" w:rsidR="004A29BC" w:rsidRDefault="006C600F">
      <w:pPr>
        <w:pStyle w:val="a9"/>
        <w:adjustRightInd w:val="0"/>
        <w:rPr>
          <w:rFonts w:asciiTheme="minorEastAsia" w:hAnsiTheme="minorEastAsia"/>
          <w:spacing w:val="-2"/>
        </w:rPr>
      </w:pPr>
      <w:r>
        <w:rPr>
          <w:rFonts w:asciiTheme="minorEastAsia" w:hAnsiTheme="minorEastAsia" w:cs="Times New Roman"/>
          <w:b/>
        </w:rPr>
        <w:t>作者简介</w:t>
      </w:r>
      <w:r>
        <w:rPr>
          <w:rFonts w:ascii="Times New Roman" w:eastAsia="黑体" w:hAnsi="Times New Roman" w:cs="Times New Roman"/>
          <w:b/>
        </w:rPr>
        <w:t>：</w:t>
      </w:r>
      <w:r>
        <w:rPr>
          <w:rFonts w:asciiTheme="minorEastAsia" w:hAnsiTheme="minorEastAsia" w:hint="eastAsia"/>
          <w:spacing w:val="-2"/>
        </w:rPr>
        <w:t>马依拉木•木斯得克（1983-），女，新疆伊犁人，博士，副教授。主持省部级项目</w:t>
      </w:r>
      <w:r>
        <w:rPr>
          <w:rFonts w:asciiTheme="minorEastAsia" w:hAnsiTheme="minorEastAsia"/>
          <w:spacing w:val="-2"/>
        </w:rPr>
        <w:t>4</w:t>
      </w:r>
      <w:r>
        <w:rPr>
          <w:rFonts w:asciiTheme="minorEastAsia" w:hAnsiTheme="minorEastAsia" w:hint="eastAsia"/>
          <w:spacing w:val="-2"/>
        </w:rPr>
        <w:t xml:space="preserve">项，高层次人才专项项目1项，参与多项省部级项目。主要研究方向为光子晶体光纤传输与传感技术，人工智能与光纤传感结合相关的研究。 </w:t>
      </w:r>
    </w:p>
    <w:p w14:paraId="590EDECD" w14:textId="77777777" w:rsidR="004A29BC" w:rsidRDefault="006C600F">
      <w:pPr>
        <w:adjustRightInd w:val="0"/>
        <w:snapToGrid w:val="0"/>
        <w:rPr>
          <w:rFonts w:cstheme="minorHAnsi"/>
          <w:spacing w:val="-2"/>
        </w:rPr>
      </w:pPr>
      <w:r>
        <w:rPr>
          <w:rFonts w:ascii="Times New Roman" w:eastAsia="宋体" w:hAnsi="Times New Roman"/>
          <w:b/>
          <w:noProof/>
          <w:szCs w:val="21"/>
        </w:rPr>
        <w:drawing>
          <wp:inline distT="0" distB="0" distL="0" distR="0">
            <wp:extent cx="419735" cy="62928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25640" cy="638461"/>
                    </a:xfrm>
                    <a:prstGeom prst="rect">
                      <a:avLst/>
                    </a:prstGeom>
                  </pic:spPr>
                </pic:pic>
              </a:graphicData>
            </a:graphic>
          </wp:inline>
        </w:drawing>
      </w:r>
    </w:p>
    <w:p w14:paraId="2A863458" w14:textId="77777777" w:rsidR="004A29BC" w:rsidRDefault="004A29BC">
      <w:pPr>
        <w:pStyle w:val="a9"/>
        <w:adjustRightInd w:val="0"/>
      </w:pPr>
    </w:p>
    <w:sectPr w:rsidR="004A29BC">
      <w:footerReference w:type="default" r:id="rId23"/>
      <w:headerReference w:type="first" r:id="rId24"/>
      <w:pgSz w:w="11906" w:h="16838"/>
      <w:pgMar w:top="1440" w:right="1800" w:bottom="1440" w:left="1800" w:header="851" w:footer="680"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156C2" w14:textId="77777777" w:rsidR="00671B75" w:rsidRDefault="00671B75">
      <w:r>
        <w:separator/>
      </w:r>
    </w:p>
  </w:endnote>
  <w:endnote w:type="continuationSeparator" w:id="0">
    <w:p w14:paraId="0C6DD7CE" w14:textId="77777777" w:rsidR="00671B75" w:rsidRDefault="00671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harisSIL">
    <w:altName w:val="Times New Roman"/>
    <w:charset w:val="00"/>
    <w:family w:val="roman"/>
    <w:pitch w:val="default"/>
  </w:font>
  <w:font w:name="NimbusRomNo9L-Regu">
    <w:altName w:val="Times New Roman"/>
    <w:charset w:val="00"/>
    <w:family w:val="roman"/>
    <w:pitch w:val="default"/>
  </w:font>
  <w:font w:name="NEU-BZ-Italic">
    <w:altName w:val="Times New Roman"/>
    <w:charset w:val="00"/>
    <w:family w:val="roman"/>
    <w:pitch w:val="default"/>
  </w:font>
  <w:font w:name="NEU-HZ-Regular">
    <w:altName w:val="Times New Roman"/>
    <w:charset w:val="00"/>
    <w:family w:val="roman"/>
    <w:pitch w:val="default"/>
  </w:font>
  <w:font w:name="NEU-BZ-S92-Regular">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MathJax_Main">
    <w:altName w:val="Segoe Print"/>
    <w:charset w:val="00"/>
    <w:family w:val="auto"/>
    <w:pitch w:val="default"/>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NEU-BZ-Regular">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58C5" w14:textId="77777777" w:rsidR="004A29BC" w:rsidRDefault="004A29B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08E16" w14:textId="77777777" w:rsidR="00671B75" w:rsidRDefault="00671B75">
      <w:r>
        <w:separator/>
      </w:r>
    </w:p>
  </w:footnote>
  <w:footnote w:type="continuationSeparator" w:id="0">
    <w:p w14:paraId="316E242E" w14:textId="77777777" w:rsidR="00671B75" w:rsidRDefault="00671B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5FB36" w14:textId="77777777" w:rsidR="004A29BC" w:rsidRDefault="004A29B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2D3"/>
    <w:rsid w:val="00000A38"/>
    <w:rsid w:val="00001A3A"/>
    <w:rsid w:val="00011DC8"/>
    <w:rsid w:val="00012968"/>
    <w:rsid w:val="00013E24"/>
    <w:rsid w:val="00020232"/>
    <w:rsid w:val="00021585"/>
    <w:rsid w:val="000218AE"/>
    <w:rsid w:val="00022EE3"/>
    <w:rsid w:val="00023B48"/>
    <w:rsid w:val="00023E52"/>
    <w:rsid w:val="000241B0"/>
    <w:rsid w:val="00024B9C"/>
    <w:rsid w:val="000305FD"/>
    <w:rsid w:val="00032674"/>
    <w:rsid w:val="00037FEE"/>
    <w:rsid w:val="000409F8"/>
    <w:rsid w:val="00040DD9"/>
    <w:rsid w:val="00041590"/>
    <w:rsid w:val="00043E6F"/>
    <w:rsid w:val="00047BA4"/>
    <w:rsid w:val="000530D0"/>
    <w:rsid w:val="0005311F"/>
    <w:rsid w:val="00072F9E"/>
    <w:rsid w:val="000748CC"/>
    <w:rsid w:val="00074DE3"/>
    <w:rsid w:val="000754E9"/>
    <w:rsid w:val="00076B2F"/>
    <w:rsid w:val="00077613"/>
    <w:rsid w:val="00082CB0"/>
    <w:rsid w:val="000944FB"/>
    <w:rsid w:val="000949A1"/>
    <w:rsid w:val="000A0956"/>
    <w:rsid w:val="000A2A9B"/>
    <w:rsid w:val="000B629E"/>
    <w:rsid w:val="000C2527"/>
    <w:rsid w:val="000C2CB2"/>
    <w:rsid w:val="000E7B20"/>
    <w:rsid w:val="000F76B9"/>
    <w:rsid w:val="00100DCD"/>
    <w:rsid w:val="00106273"/>
    <w:rsid w:val="00110891"/>
    <w:rsid w:val="00113F6C"/>
    <w:rsid w:val="00123A26"/>
    <w:rsid w:val="00127F2D"/>
    <w:rsid w:val="00135F18"/>
    <w:rsid w:val="00146DCC"/>
    <w:rsid w:val="001504EC"/>
    <w:rsid w:val="001621C0"/>
    <w:rsid w:val="00164610"/>
    <w:rsid w:val="00176DDB"/>
    <w:rsid w:val="0018527C"/>
    <w:rsid w:val="00187FE5"/>
    <w:rsid w:val="001969DD"/>
    <w:rsid w:val="001A3AC5"/>
    <w:rsid w:val="001B0B6B"/>
    <w:rsid w:val="001B0E14"/>
    <w:rsid w:val="001B10B4"/>
    <w:rsid w:val="001B5841"/>
    <w:rsid w:val="001B7199"/>
    <w:rsid w:val="001C1A98"/>
    <w:rsid w:val="001C47E7"/>
    <w:rsid w:val="001D409E"/>
    <w:rsid w:val="001D4247"/>
    <w:rsid w:val="001F0982"/>
    <w:rsid w:val="001F6EF1"/>
    <w:rsid w:val="001F791C"/>
    <w:rsid w:val="0020461E"/>
    <w:rsid w:val="00213B9E"/>
    <w:rsid w:val="00230986"/>
    <w:rsid w:val="0023146C"/>
    <w:rsid w:val="00231A0F"/>
    <w:rsid w:val="00232748"/>
    <w:rsid w:val="00232CCA"/>
    <w:rsid w:val="0023631F"/>
    <w:rsid w:val="0023638B"/>
    <w:rsid w:val="00242D26"/>
    <w:rsid w:val="00244B69"/>
    <w:rsid w:val="00255915"/>
    <w:rsid w:val="00260449"/>
    <w:rsid w:val="0026058A"/>
    <w:rsid w:val="0026206D"/>
    <w:rsid w:val="00262499"/>
    <w:rsid w:val="00263DDA"/>
    <w:rsid w:val="0027034A"/>
    <w:rsid w:val="00274DBA"/>
    <w:rsid w:val="00277935"/>
    <w:rsid w:val="00282510"/>
    <w:rsid w:val="0028464C"/>
    <w:rsid w:val="00284CE7"/>
    <w:rsid w:val="00292562"/>
    <w:rsid w:val="00296E22"/>
    <w:rsid w:val="00297998"/>
    <w:rsid w:val="002A66FD"/>
    <w:rsid w:val="002A78B9"/>
    <w:rsid w:val="002B2B5B"/>
    <w:rsid w:val="002B79F3"/>
    <w:rsid w:val="002C785D"/>
    <w:rsid w:val="002D027E"/>
    <w:rsid w:val="002D43FD"/>
    <w:rsid w:val="002D5403"/>
    <w:rsid w:val="002E60EF"/>
    <w:rsid w:val="0030102E"/>
    <w:rsid w:val="00307040"/>
    <w:rsid w:val="003070DD"/>
    <w:rsid w:val="00313CE9"/>
    <w:rsid w:val="00314A75"/>
    <w:rsid w:val="00317AD0"/>
    <w:rsid w:val="0033417E"/>
    <w:rsid w:val="0034426B"/>
    <w:rsid w:val="00347837"/>
    <w:rsid w:val="0035293F"/>
    <w:rsid w:val="00353E74"/>
    <w:rsid w:val="0036563B"/>
    <w:rsid w:val="00370754"/>
    <w:rsid w:val="00384795"/>
    <w:rsid w:val="00386828"/>
    <w:rsid w:val="00390670"/>
    <w:rsid w:val="003956FA"/>
    <w:rsid w:val="003A3E7D"/>
    <w:rsid w:val="003A55DD"/>
    <w:rsid w:val="003B1220"/>
    <w:rsid w:val="003B5460"/>
    <w:rsid w:val="003B6E5A"/>
    <w:rsid w:val="003C7B53"/>
    <w:rsid w:val="003D16C9"/>
    <w:rsid w:val="003D3745"/>
    <w:rsid w:val="003D73FE"/>
    <w:rsid w:val="003D7ECE"/>
    <w:rsid w:val="003E2676"/>
    <w:rsid w:val="003F1D71"/>
    <w:rsid w:val="003F528E"/>
    <w:rsid w:val="003F7139"/>
    <w:rsid w:val="003F7A7A"/>
    <w:rsid w:val="00400E61"/>
    <w:rsid w:val="004058D1"/>
    <w:rsid w:val="004135A4"/>
    <w:rsid w:val="00425AA1"/>
    <w:rsid w:val="00432ED0"/>
    <w:rsid w:val="004401EE"/>
    <w:rsid w:val="004431B5"/>
    <w:rsid w:val="004433ED"/>
    <w:rsid w:val="004445B5"/>
    <w:rsid w:val="004445E9"/>
    <w:rsid w:val="00445CAF"/>
    <w:rsid w:val="004526A5"/>
    <w:rsid w:val="004569A9"/>
    <w:rsid w:val="004578E0"/>
    <w:rsid w:val="00471A55"/>
    <w:rsid w:val="004807ED"/>
    <w:rsid w:val="00484C71"/>
    <w:rsid w:val="004860FF"/>
    <w:rsid w:val="00486922"/>
    <w:rsid w:val="00487AA2"/>
    <w:rsid w:val="004A29BC"/>
    <w:rsid w:val="004A4BE3"/>
    <w:rsid w:val="004A7415"/>
    <w:rsid w:val="004B686F"/>
    <w:rsid w:val="004B775F"/>
    <w:rsid w:val="004C160B"/>
    <w:rsid w:val="004C6498"/>
    <w:rsid w:val="004D525D"/>
    <w:rsid w:val="004D7D61"/>
    <w:rsid w:val="004D7F9E"/>
    <w:rsid w:val="004E0C36"/>
    <w:rsid w:val="004E23F1"/>
    <w:rsid w:val="004F4C34"/>
    <w:rsid w:val="0050008A"/>
    <w:rsid w:val="0051529D"/>
    <w:rsid w:val="00520430"/>
    <w:rsid w:val="00521AFD"/>
    <w:rsid w:val="00524236"/>
    <w:rsid w:val="00525107"/>
    <w:rsid w:val="0052651C"/>
    <w:rsid w:val="00534426"/>
    <w:rsid w:val="0053764B"/>
    <w:rsid w:val="00541B6A"/>
    <w:rsid w:val="00544D27"/>
    <w:rsid w:val="00544E14"/>
    <w:rsid w:val="00547D66"/>
    <w:rsid w:val="0055272E"/>
    <w:rsid w:val="00556521"/>
    <w:rsid w:val="00560CB6"/>
    <w:rsid w:val="00564026"/>
    <w:rsid w:val="00566B6A"/>
    <w:rsid w:val="00567034"/>
    <w:rsid w:val="00573898"/>
    <w:rsid w:val="00574435"/>
    <w:rsid w:val="00580F04"/>
    <w:rsid w:val="00586E1F"/>
    <w:rsid w:val="00592580"/>
    <w:rsid w:val="005A5839"/>
    <w:rsid w:val="005B012F"/>
    <w:rsid w:val="005B07C8"/>
    <w:rsid w:val="005B4099"/>
    <w:rsid w:val="005B48E5"/>
    <w:rsid w:val="005B5992"/>
    <w:rsid w:val="005B7111"/>
    <w:rsid w:val="005C16BB"/>
    <w:rsid w:val="005C319B"/>
    <w:rsid w:val="005C6584"/>
    <w:rsid w:val="005C6977"/>
    <w:rsid w:val="005D63A2"/>
    <w:rsid w:val="005E128D"/>
    <w:rsid w:val="005E3200"/>
    <w:rsid w:val="005E526F"/>
    <w:rsid w:val="005E5D7F"/>
    <w:rsid w:val="005F598F"/>
    <w:rsid w:val="006000CE"/>
    <w:rsid w:val="00601671"/>
    <w:rsid w:val="00606150"/>
    <w:rsid w:val="006139D2"/>
    <w:rsid w:val="0062294C"/>
    <w:rsid w:val="00623C00"/>
    <w:rsid w:val="006251EC"/>
    <w:rsid w:val="00626362"/>
    <w:rsid w:val="00627884"/>
    <w:rsid w:val="00630C62"/>
    <w:rsid w:val="00632E1D"/>
    <w:rsid w:val="006354E8"/>
    <w:rsid w:val="00636728"/>
    <w:rsid w:val="00637C4E"/>
    <w:rsid w:val="00644A62"/>
    <w:rsid w:val="006461E2"/>
    <w:rsid w:val="006577B0"/>
    <w:rsid w:val="0066098F"/>
    <w:rsid w:val="00660AC8"/>
    <w:rsid w:val="00661B94"/>
    <w:rsid w:val="00664F72"/>
    <w:rsid w:val="00671B75"/>
    <w:rsid w:val="00676DA3"/>
    <w:rsid w:val="00680D1C"/>
    <w:rsid w:val="00684358"/>
    <w:rsid w:val="00685F73"/>
    <w:rsid w:val="0069656A"/>
    <w:rsid w:val="006A7CE3"/>
    <w:rsid w:val="006B22EF"/>
    <w:rsid w:val="006B3BAF"/>
    <w:rsid w:val="006C04E4"/>
    <w:rsid w:val="006C1665"/>
    <w:rsid w:val="006C600F"/>
    <w:rsid w:val="006C69A0"/>
    <w:rsid w:val="006D4435"/>
    <w:rsid w:val="006D4E2A"/>
    <w:rsid w:val="006D7668"/>
    <w:rsid w:val="006E2937"/>
    <w:rsid w:val="006E721E"/>
    <w:rsid w:val="006E764E"/>
    <w:rsid w:val="006F1027"/>
    <w:rsid w:val="006F4E09"/>
    <w:rsid w:val="00703208"/>
    <w:rsid w:val="00712205"/>
    <w:rsid w:val="00726AE9"/>
    <w:rsid w:val="007340FB"/>
    <w:rsid w:val="00740DCC"/>
    <w:rsid w:val="00746258"/>
    <w:rsid w:val="007477EF"/>
    <w:rsid w:val="007511AE"/>
    <w:rsid w:val="007521A4"/>
    <w:rsid w:val="00753191"/>
    <w:rsid w:val="007541BF"/>
    <w:rsid w:val="0076090D"/>
    <w:rsid w:val="00761C95"/>
    <w:rsid w:val="007673AA"/>
    <w:rsid w:val="0077202A"/>
    <w:rsid w:val="00773BB4"/>
    <w:rsid w:val="007776B5"/>
    <w:rsid w:val="00786F31"/>
    <w:rsid w:val="00792754"/>
    <w:rsid w:val="00793469"/>
    <w:rsid w:val="007A1EAC"/>
    <w:rsid w:val="007A4A54"/>
    <w:rsid w:val="007B4409"/>
    <w:rsid w:val="007B6FDE"/>
    <w:rsid w:val="007C65C1"/>
    <w:rsid w:val="007D1501"/>
    <w:rsid w:val="007D18F0"/>
    <w:rsid w:val="007D3C69"/>
    <w:rsid w:val="007D6632"/>
    <w:rsid w:val="007E04C2"/>
    <w:rsid w:val="007E2C3E"/>
    <w:rsid w:val="007E33A1"/>
    <w:rsid w:val="007E7F22"/>
    <w:rsid w:val="007F0C33"/>
    <w:rsid w:val="00801854"/>
    <w:rsid w:val="00801AA8"/>
    <w:rsid w:val="0080755C"/>
    <w:rsid w:val="00810259"/>
    <w:rsid w:val="0082199B"/>
    <w:rsid w:val="0083198C"/>
    <w:rsid w:val="0083203E"/>
    <w:rsid w:val="00832298"/>
    <w:rsid w:val="00833CB8"/>
    <w:rsid w:val="008418E9"/>
    <w:rsid w:val="00845296"/>
    <w:rsid w:val="00872CB4"/>
    <w:rsid w:val="00875471"/>
    <w:rsid w:val="0087786B"/>
    <w:rsid w:val="00883D37"/>
    <w:rsid w:val="00891475"/>
    <w:rsid w:val="008924A1"/>
    <w:rsid w:val="008A1A4B"/>
    <w:rsid w:val="008A35B1"/>
    <w:rsid w:val="008B1164"/>
    <w:rsid w:val="008B2DB8"/>
    <w:rsid w:val="008C0611"/>
    <w:rsid w:val="008C3039"/>
    <w:rsid w:val="008D3B8D"/>
    <w:rsid w:val="008D440B"/>
    <w:rsid w:val="008D4E5A"/>
    <w:rsid w:val="008E14B8"/>
    <w:rsid w:val="008E7591"/>
    <w:rsid w:val="008F6B67"/>
    <w:rsid w:val="00913BA9"/>
    <w:rsid w:val="00920D56"/>
    <w:rsid w:val="00924900"/>
    <w:rsid w:val="00934EEC"/>
    <w:rsid w:val="00945C67"/>
    <w:rsid w:val="00946156"/>
    <w:rsid w:val="00956F6B"/>
    <w:rsid w:val="00970CEE"/>
    <w:rsid w:val="00972421"/>
    <w:rsid w:val="00976B4C"/>
    <w:rsid w:val="009802BC"/>
    <w:rsid w:val="00990E22"/>
    <w:rsid w:val="009920C7"/>
    <w:rsid w:val="0099383E"/>
    <w:rsid w:val="009942B4"/>
    <w:rsid w:val="00997F8B"/>
    <w:rsid w:val="009A7F97"/>
    <w:rsid w:val="009B33E5"/>
    <w:rsid w:val="009B6694"/>
    <w:rsid w:val="009B6920"/>
    <w:rsid w:val="009C7364"/>
    <w:rsid w:val="009D52D3"/>
    <w:rsid w:val="009E0941"/>
    <w:rsid w:val="009F0B53"/>
    <w:rsid w:val="009F4486"/>
    <w:rsid w:val="009F614E"/>
    <w:rsid w:val="00A04970"/>
    <w:rsid w:val="00A12D9D"/>
    <w:rsid w:val="00A13EA1"/>
    <w:rsid w:val="00A143A1"/>
    <w:rsid w:val="00A205BD"/>
    <w:rsid w:val="00A24F2F"/>
    <w:rsid w:val="00A25E50"/>
    <w:rsid w:val="00A41205"/>
    <w:rsid w:val="00A528DB"/>
    <w:rsid w:val="00A56005"/>
    <w:rsid w:val="00A5664D"/>
    <w:rsid w:val="00A64A4E"/>
    <w:rsid w:val="00A72E2E"/>
    <w:rsid w:val="00A74845"/>
    <w:rsid w:val="00A76943"/>
    <w:rsid w:val="00A77F4D"/>
    <w:rsid w:val="00A82969"/>
    <w:rsid w:val="00A838A6"/>
    <w:rsid w:val="00A86657"/>
    <w:rsid w:val="00A90C13"/>
    <w:rsid w:val="00A913DB"/>
    <w:rsid w:val="00AA0DCE"/>
    <w:rsid w:val="00AB0135"/>
    <w:rsid w:val="00AC159C"/>
    <w:rsid w:val="00AC2B92"/>
    <w:rsid w:val="00AC3225"/>
    <w:rsid w:val="00AC33EE"/>
    <w:rsid w:val="00AC426C"/>
    <w:rsid w:val="00AC562C"/>
    <w:rsid w:val="00AC6365"/>
    <w:rsid w:val="00AE509F"/>
    <w:rsid w:val="00AF1818"/>
    <w:rsid w:val="00AF3E34"/>
    <w:rsid w:val="00AF41AA"/>
    <w:rsid w:val="00AF7FC5"/>
    <w:rsid w:val="00B037FD"/>
    <w:rsid w:val="00B0504F"/>
    <w:rsid w:val="00B0696F"/>
    <w:rsid w:val="00B1403E"/>
    <w:rsid w:val="00B1615C"/>
    <w:rsid w:val="00B21BCC"/>
    <w:rsid w:val="00B24CFD"/>
    <w:rsid w:val="00B37611"/>
    <w:rsid w:val="00B4050F"/>
    <w:rsid w:val="00B42154"/>
    <w:rsid w:val="00B4565C"/>
    <w:rsid w:val="00B52565"/>
    <w:rsid w:val="00B55141"/>
    <w:rsid w:val="00B6253F"/>
    <w:rsid w:val="00B63B08"/>
    <w:rsid w:val="00B64E49"/>
    <w:rsid w:val="00B71130"/>
    <w:rsid w:val="00B80BBF"/>
    <w:rsid w:val="00B83554"/>
    <w:rsid w:val="00B8358D"/>
    <w:rsid w:val="00B83AB6"/>
    <w:rsid w:val="00B85BED"/>
    <w:rsid w:val="00B96373"/>
    <w:rsid w:val="00B96E5B"/>
    <w:rsid w:val="00BA402A"/>
    <w:rsid w:val="00BC0E14"/>
    <w:rsid w:val="00BC2A55"/>
    <w:rsid w:val="00BC3E77"/>
    <w:rsid w:val="00BC3F8A"/>
    <w:rsid w:val="00BE55E4"/>
    <w:rsid w:val="00BE7113"/>
    <w:rsid w:val="00BE74F7"/>
    <w:rsid w:val="00C039D8"/>
    <w:rsid w:val="00C046A3"/>
    <w:rsid w:val="00C0606A"/>
    <w:rsid w:val="00C1340B"/>
    <w:rsid w:val="00C1415B"/>
    <w:rsid w:val="00C22D63"/>
    <w:rsid w:val="00C23BD4"/>
    <w:rsid w:val="00C24AF3"/>
    <w:rsid w:val="00C333EB"/>
    <w:rsid w:val="00C34084"/>
    <w:rsid w:val="00C42BAC"/>
    <w:rsid w:val="00C42CAA"/>
    <w:rsid w:val="00C44C2F"/>
    <w:rsid w:val="00C476BA"/>
    <w:rsid w:val="00C4792A"/>
    <w:rsid w:val="00C5713C"/>
    <w:rsid w:val="00C574DD"/>
    <w:rsid w:val="00C65FA5"/>
    <w:rsid w:val="00C67D4D"/>
    <w:rsid w:val="00C8027E"/>
    <w:rsid w:val="00C91E7D"/>
    <w:rsid w:val="00CA1B90"/>
    <w:rsid w:val="00CA2FE1"/>
    <w:rsid w:val="00CB0269"/>
    <w:rsid w:val="00CB0991"/>
    <w:rsid w:val="00CB09D4"/>
    <w:rsid w:val="00CB7C2A"/>
    <w:rsid w:val="00CD0166"/>
    <w:rsid w:val="00CD04AA"/>
    <w:rsid w:val="00CD29FA"/>
    <w:rsid w:val="00CD43AD"/>
    <w:rsid w:val="00CD50C1"/>
    <w:rsid w:val="00CE64F3"/>
    <w:rsid w:val="00CF5F0C"/>
    <w:rsid w:val="00D01B8B"/>
    <w:rsid w:val="00D03FC6"/>
    <w:rsid w:val="00D05ECF"/>
    <w:rsid w:val="00D05F7F"/>
    <w:rsid w:val="00D1326E"/>
    <w:rsid w:val="00D220CD"/>
    <w:rsid w:val="00D228E8"/>
    <w:rsid w:val="00D35DC8"/>
    <w:rsid w:val="00D45629"/>
    <w:rsid w:val="00D4573A"/>
    <w:rsid w:val="00D46B1A"/>
    <w:rsid w:val="00D4791D"/>
    <w:rsid w:val="00D523C4"/>
    <w:rsid w:val="00D60406"/>
    <w:rsid w:val="00D632C2"/>
    <w:rsid w:val="00D65E94"/>
    <w:rsid w:val="00D66222"/>
    <w:rsid w:val="00D66279"/>
    <w:rsid w:val="00D71AF1"/>
    <w:rsid w:val="00D734D7"/>
    <w:rsid w:val="00D748A4"/>
    <w:rsid w:val="00D75494"/>
    <w:rsid w:val="00D77851"/>
    <w:rsid w:val="00D81F9F"/>
    <w:rsid w:val="00D849E2"/>
    <w:rsid w:val="00D93FC1"/>
    <w:rsid w:val="00D9717D"/>
    <w:rsid w:val="00D97FA7"/>
    <w:rsid w:val="00DA1626"/>
    <w:rsid w:val="00DA195F"/>
    <w:rsid w:val="00DA1C7C"/>
    <w:rsid w:val="00DA2E33"/>
    <w:rsid w:val="00DA3AAA"/>
    <w:rsid w:val="00DA478E"/>
    <w:rsid w:val="00DA7159"/>
    <w:rsid w:val="00DB6497"/>
    <w:rsid w:val="00DC033C"/>
    <w:rsid w:val="00DC3E49"/>
    <w:rsid w:val="00DC4F2B"/>
    <w:rsid w:val="00DD1EB7"/>
    <w:rsid w:val="00DD4794"/>
    <w:rsid w:val="00DE0CCA"/>
    <w:rsid w:val="00DE12EF"/>
    <w:rsid w:val="00DE7CEF"/>
    <w:rsid w:val="00E00E78"/>
    <w:rsid w:val="00E122FB"/>
    <w:rsid w:val="00E14F1F"/>
    <w:rsid w:val="00E1678D"/>
    <w:rsid w:val="00E17C34"/>
    <w:rsid w:val="00E2533C"/>
    <w:rsid w:val="00E26ECD"/>
    <w:rsid w:val="00E32066"/>
    <w:rsid w:val="00E41870"/>
    <w:rsid w:val="00E6009A"/>
    <w:rsid w:val="00E656BA"/>
    <w:rsid w:val="00E6618B"/>
    <w:rsid w:val="00E67209"/>
    <w:rsid w:val="00E77E8D"/>
    <w:rsid w:val="00E802DB"/>
    <w:rsid w:val="00E90705"/>
    <w:rsid w:val="00E94B01"/>
    <w:rsid w:val="00E978C1"/>
    <w:rsid w:val="00EA2B66"/>
    <w:rsid w:val="00EC2CC3"/>
    <w:rsid w:val="00EC3EC6"/>
    <w:rsid w:val="00EC456F"/>
    <w:rsid w:val="00EC7EA4"/>
    <w:rsid w:val="00ED015A"/>
    <w:rsid w:val="00ED08DF"/>
    <w:rsid w:val="00ED4FEE"/>
    <w:rsid w:val="00EE0339"/>
    <w:rsid w:val="00EE083F"/>
    <w:rsid w:val="00EE42A7"/>
    <w:rsid w:val="00EE6657"/>
    <w:rsid w:val="00F10113"/>
    <w:rsid w:val="00F15749"/>
    <w:rsid w:val="00F2780F"/>
    <w:rsid w:val="00F336BE"/>
    <w:rsid w:val="00F359AF"/>
    <w:rsid w:val="00F43F95"/>
    <w:rsid w:val="00F45DE7"/>
    <w:rsid w:val="00F55D5B"/>
    <w:rsid w:val="00F57187"/>
    <w:rsid w:val="00F57D8C"/>
    <w:rsid w:val="00F604A1"/>
    <w:rsid w:val="00F67FB0"/>
    <w:rsid w:val="00F72061"/>
    <w:rsid w:val="00F7778C"/>
    <w:rsid w:val="00F80BC4"/>
    <w:rsid w:val="00F8303B"/>
    <w:rsid w:val="00F85F01"/>
    <w:rsid w:val="00F93190"/>
    <w:rsid w:val="00F934EC"/>
    <w:rsid w:val="00F936AE"/>
    <w:rsid w:val="00FA0D81"/>
    <w:rsid w:val="00FA71B8"/>
    <w:rsid w:val="00FB3B20"/>
    <w:rsid w:val="00FC2EA7"/>
    <w:rsid w:val="00FC49E5"/>
    <w:rsid w:val="00FC780C"/>
    <w:rsid w:val="00FD33AF"/>
    <w:rsid w:val="00FD3F4F"/>
    <w:rsid w:val="00FD6380"/>
    <w:rsid w:val="00FD68CF"/>
    <w:rsid w:val="00FD79B2"/>
    <w:rsid w:val="00FE0FC4"/>
    <w:rsid w:val="00FE4596"/>
    <w:rsid w:val="00FF69F3"/>
    <w:rsid w:val="1921161C"/>
    <w:rsid w:val="49E64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B0456B"/>
  <w15:docId w15:val="{E758DC2C-66FF-4FED-ADCF-CA32C21EA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3">
    <w:name w:val="heading 3"/>
    <w:basedOn w:val="a"/>
    <w:link w:val="30"/>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Date"/>
    <w:basedOn w:val="a"/>
    <w:next w:val="a"/>
    <w:link w:val="a6"/>
    <w:uiPriority w:val="99"/>
    <w:semiHidden/>
    <w:unhideWhenUsed/>
    <w:pPr>
      <w:ind w:leftChars="2500" w:left="100"/>
    </w:pPr>
  </w:style>
  <w:style w:type="paragraph" w:styleId="a7">
    <w:name w:val="Balloon Text"/>
    <w:basedOn w:val="a"/>
    <w:link w:val="a8"/>
    <w:uiPriority w:val="99"/>
    <w:semiHidden/>
    <w:unhideWhenUsed/>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paragraph" w:styleId="ae">
    <w:name w:val="annotation subject"/>
    <w:basedOn w:val="a3"/>
    <w:next w:val="a3"/>
    <w:link w:val="af"/>
    <w:uiPriority w:val="99"/>
    <w:semiHidden/>
    <w:unhideWhenUsed/>
    <w:rPr>
      <w:b/>
      <w:bCs/>
    </w:rPr>
  </w:style>
  <w:style w:type="character" w:styleId="af0">
    <w:name w:val="Strong"/>
    <w:basedOn w:val="a0"/>
    <w:uiPriority w:val="22"/>
    <w:qFormat/>
    <w:rPr>
      <w:b/>
      <w:bCs/>
    </w:rPr>
  </w:style>
  <w:style w:type="character" w:styleId="af1">
    <w:name w:val="Emphasis"/>
    <w:basedOn w:val="a0"/>
    <w:uiPriority w:val="20"/>
    <w:qFormat/>
    <w:rPr>
      <w:i/>
      <w:iCs/>
    </w:rPr>
  </w:style>
  <w:style w:type="character" w:styleId="af2">
    <w:name w:val="Hyperlink"/>
    <w:basedOn w:val="a0"/>
    <w:uiPriority w:val="99"/>
    <w:unhideWhenUsed/>
    <w:qFormat/>
    <w:rPr>
      <w:color w:val="0000FF"/>
      <w:u w:val="single"/>
    </w:rPr>
  </w:style>
  <w:style w:type="character" w:styleId="af3">
    <w:name w:val="annotation reference"/>
    <w:basedOn w:val="a0"/>
    <w:uiPriority w:val="99"/>
    <w:semiHidden/>
    <w:unhideWhenUsed/>
    <w:rPr>
      <w:sz w:val="21"/>
      <w:szCs w:val="21"/>
    </w:rPr>
  </w:style>
  <w:style w:type="character" w:customStyle="1" w:styleId="fontstyle01">
    <w:name w:val="fontstyle01"/>
    <w:basedOn w:val="a0"/>
    <w:qFormat/>
    <w:rPr>
      <w:rFonts w:ascii="CharisSIL" w:hAnsi="CharisSIL" w:hint="default"/>
      <w:color w:val="000000"/>
      <w:sz w:val="22"/>
      <w:szCs w:val="22"/>
    </w:rPr>
  </w:style>
  <w:style w:type="character" w:customStyle="1" w:styleId="fontstyle21">
    <w:name w:val="fontstyle21"/>
    <w:basedOn w:val="a0"/>
    <w:rPr>
      <w:rFonts w:ascii="NimbusRomNo9L-Regu" w:hAnsi="NimbusRomNo9L-Regu" w:hint="default"/>
      <w:color w:val="000000"/>
      <w:sz w:val="22"/>
      <w:szCs w:val="22"/>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30">
    <w:name w:val="标题 3 字符"/>
    <w:basedOn w:val="a0"/>
    <w:link w:val="3"/>
    <w:uiPriority w:val="9"/>
    <w:qFormat/>
    <w:rPr>
      <w:rFonts w:ascii="宋体" w:eastAsia="宋体" w:hAnsi="宋体" w:cs="宋体"/>
      <w:b/>
      <w:bCs/>
      <w:kern w:val="0"/>
      <w:sz w:val="27"/>
      <w:szCs w:val="27"/>
    </w:rPr>
  </w:style>
  <w:style w:type="character" w:customStyle="1" w:styleId="innerlabel">
    <w:name w:val="inner_label"/>
    <w:basedOn w:val="a0"/>
    <w:qFormat/>
  </w:style>
  <w:style w:type="character" w:customStyle="1" w:styleId="10">
    <w:name w:val="标题 1 字符"/>
    <w:basedOn w:val="a0"/>
    <w:link w:val="1"/>
    <w:uiPriority w:val="9"/>
    <w:qFormat/>
    <w:rPr>
      <w:b/>
      <w:bCs/>
      <w:kern w:val="44"/>
      <w:sz w:val="44"/>
      <w:szCs w:val="44"/>
    </w:rPr>
  </w:style>
  <w:style w:type="character" w:customStyle="1" w:styleId="fontstyle31">
    <w:name w:val="fontstyle31"/>
    <w:basedOn w:val="a0"/>
    <w:rPr>
      <w:rFonts w:ascii="NEU-BZ-Italic" w:hAnsi="NEU-BZ-Italic" w:hint="default"/>
      <w:i/>
      <w:iCs/>
      <w:color w:val="242021"/>
      <w:sz w:val="16"/>
      <w:szCs w:val="16"/>
    </w:rPr>
  </w:style>
  <w:style w:type="character" w:customStyle="1" w:styleId="fontstyle41">
    <w:name w:val="fontstyle41"/>
    <w:basedOn w:val="a0"/>
    <w:qFormat/>
    <w:rPr>
      <w:rFonts w:ascii="NEU-HZ-Regular" w:hAnsi="NEU-HZ-Regular" w:hint="default"/>
      <w:color w:val="242021"/>
      <w:sz w:val="16"/>
      <w:szCs w:val="16"/>
    </w:rPr>
  </w:style>
  <w:style w:type="character" w:customStyle="1" w:styleId="fontstyle51">
    <w:name w:val="fontstyle51"/>
    <w:basedOn w:val="a0"/>
    <w:qFormat/>
    <w:rPr>
      <w:rFonts w:ascii="NEU-HZ-Regular" w:hAnsi="NEU-HZ-Regular" w:hint="default"/>
      <w:color w:val="242021"/>
      <w:sz w:val="16"/>
      <w:szCs w:val="16"/>
    </w:rPr>
  </w:style>
  <w:style w:type="paragraph" w:customStyle="1" w:styleId="MTDisplayEquation">
    <w:name w:val="MTDisplayEquation"/>
    <w:basedOn w:val="a"/>
    <w:next w:val="a"/>
    <w:link w:val="MTDisplayEquationChar"/>
    <w:pPr>
      <w:tabs>
        <w:tab w:val="center" w:pos="4160"/>
        <w:tab w:val="right" w:pos="8300"/>
      </w:tabs>
      <w:ind w:firstLineChars="200" w:firstLine="360"/>
    </w:pPr>
    <w:rPr>
      <w:rFonts w:ascii="CharisSIL" w:hAnsi="CharisSIL"/>
      <w:color w:val="2196D1"/>
      <w:sz w:val="18"/>
      <w:szCs w:val="18"/>
    </w:rPr>
  </w:style>
  <w:style w:type="character" w:customStyle="1" w:styleId="MTDisplayEquationChar">
    <w:name w:val="MTDisplayEquation Char"/>
    <w:basedOn w:val="a0"/>
    <w:link w:val="MTDisplayEquation"/>
    <w:rPr>
      <w:rFonts w:ascii="CharisSIL" w:hAnsi="CharisSIL"/>
      <w:color w:val="2196D1"/>
      <w:sz w:val="18"/>
      <w:szCs w:val="18"/>
    </w:rPr>
  </w:style>
  <w:style w:type="character" w:customStyle="1" w:styleId="fontstyle11">
    <w:name w:val="fontstyle11"/>
    <w:basedOn w:val="a0"/>
    <w:qFormat/>
    <w:rPr>
      <w:rFonts w:ascii="NEU-BZ-S92-Regular" w:hAnsi="NEU-BZ-S92-Regular" w:hint="default"/>
      <w:color w:val="4054AF"/>
      <w:sz w:val="10"/>
      <w:szCs w:val="10"/>
    </w:rPr>
  </w:style>
  <w:style w:type="character" w:customStyle="1" w:styleId="a6">
    <w:name w:val="日期 字符"/>
    <w:basedOn w:val="a0"/>
    <w:link w:val="a5"/>
    <w:uiPriority w:val="99"/>
    <w:semiHidden/>
    <w:qFormat/>
  </w:style>
  <w:style w:type="paragraph" w:styleId="af4">
    <w:name w:val="List Paragraph"/>
    <w:basedOn w:val="a"/>
    <w:uiPriority w:val="99"/>
    <w:pPr>
      <w:ind w:firstLineChars="200" w:firstLine="420"/>
    </w:pPr>
    <w:rPr>
      <w:rFonts w:ascii="Times New Roman" w:eastAsia="宋体" w:hAnsi="Times New Roman" w:cs="Times New Roman"/>
    </w:rPr>
  </w:style>
  <w:style w:type="paragraph" w:customStyle="1" w:styleId="af5">
    <w:name w:val="正文格式"/>
    <w:basedOn w:val="a"/>
    <w:qFormat/>
    <w:pPr>
      <w:autoSpaceDE w:val="0"/>
      <w:autoSpaceDN w:val="0"/>
      <w:spacing w:line="314" w:lineRule="exact"/>
      <w:ind w:firstLineChars="200" w:firstLine="422"/>
    </w:pPr>
    <w:rPr>
      <w:rFonts w:ascii="Times New Roman" w:eastAsia="宋体" w:hAnsi="Times New Roman" w:cs="Times New Roman"/>
    </w:rPr>
  </w:style>
  <w:style w:type="character" w:customStyle="1" w:styleId="katex-mathml">
    <w:name w:val="katex-mathml"/>
    <w:basedOn w:val="a0"/>
    <w:qFormat/>
  </w:style>
  <w:style w:type="character" w:customStyle="1" w:styleId="mord">
    <w:name w:val="mord"/>
    <w:basedOn w:val="a0"/>
  </w:style>
  <w:style w:type="character" w:customStyle="1" w:styleId="mrel">
    <w:name w:val="mrel"/>
    <w:basedOn w:val="a0"/>
  </w:style>
  <w:style w:type="character" w:customStyle="1" w:styleId="a4">
    <w:name w:val="批注文字 字符"/>
    <w:basedOn w:val="a0"/>
    <w:link w:val="a3"/>
    <w:uiPriority w:val="99"/>
    <w:semiHidden/>
  </w:style>
  <w:style w:type="character" w:customStyle="1" w:styleId="af">
    <w:name w:val="批注主题 字符"/>
    <w:basedOn w:val="a4"/>
    <w:link w:val="ae"/>
    <w:uiPriority w:val="99"/>
    <w:semiHidden/>
    <w:rPr>
      <w:b/>
      <w:bCs/>
    </w:rPr>
  </w:style>
  <w:style w:type="character" w:customStyle="1" w:styleId="a8">
    <w:name w:val="批注框文本 字符"/>
    <w:basedOn w:val="a0"/>
    <w:link w:val="a7"/>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47E12-547C-44E3-8BA5-4C2EA9FB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1811</Words>
  <Characters>10327</Characters>
  <Application>Microsoft Office Word</Application>
  <DocSecurity>0</DocSecurity>
  <Lines>86</Lines>
  <Paragraphs>24</Paragraphs>
  <ScaleCrop>false</ScaleCrop>
  <Company>Home</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微软用户</cp:lastModifiedBy>
  <cp:revision>56</cp:revision>
  <cp:lastPrinted>2024-06-06T15:06:00Z</cp:lastPrinted>
  <dcterms:created xsi:type="dcterms:W3CDTF">2024-08-20T02:35:00Z</dcterms:created>
  <dcterms:modified xsi:type="dcterms:W3CDTF">2025-04-23T00:43:00Z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TemplateDocerSaveRecord">
    <vt:lpwstr>eyJoZGlkIjoiM2EwYWQxMzYyYTY3MDllZTljMzU3NzZiNjU5NjJjOTEifQ==</vt:lpwstr>
  </property>
  <property fmtid="{D5CDD505-2E9C-101B-9397-08002B2CF9AE}" pid="4" name="KSOProductBuildVer">
    <vt:lpwstr>2052-12.1.0.20784</vt:lpwstr>
  </property>
  <property fmtid="{D5CDD505-2E9C-101B-9397-08002B2CF9AE}" pid="5" name="ICV">
    <vt:lpwstr>609D523A0A4143289B1B56C157E8C66D_12</vt:lpwstr>
  </property>
</Properties>
</file>