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318A6B" w14:textId="77777777" w:rsidR="008E062A" w:rsidRDefault="00072D76">
      <w:pPr>
        <w:spacing w:line="240" w:lineRule="auto"/>
        <w:jc w:val="center"/>
        <w:rPr>
          <w:rFonts w:ascii="黑体" w:eastAsia="黑体" w:hAnsi="黑体"/>
          <w:b/>
          <w:sz w:val="32"/>
          <w:szCs w:val="32"/>
        </w:rPr>
      </w:pPr>
      <w:bookmarkStart w:id="0" w:name="_Hlk196148684"/>
      <w:bookmarkStart w:id="1" w:name="_Hlk186379495"/>
      <w:bookmarkEnd w:id="0"/>
      <w:r>
        <w:rPr>
          <w:rFonts w:ascii="黑体" w:eastAsia="黑体" w:hAnsi="黑体" w:hint="eastAsia"/>
          <w:b/>
          <w:sz w:val="32"/>
          <w:szCs w:val="32"/>
        </w:rPr>
        <w:t>星地云层信道连续变量量子密钥分发密钥率研究</w:t>
      </w:r>
    </w:p>
    <w:p w14:paraId="0CBA501C" w14:textId="77777777" w:rsidR="008E062A" w:rsidRDefault="00072D76">
      <w:pPr>
        <w:spacing w:line="240" w:lineRule="auto"/>
        <w:jc w:val="center"/>
        <w:rPr>
          <w:rFonts w:ascii="楷体_GB2312" w:eastAsia="楷体_GB2312" w:hAnsi="楷体"/>
          <w:b/>
          <w:sz w:val="24"/>
          <w:szCs w:val="24"/>
        </w:rPr>
      </w:pPr>
      <w:r>
        <w:rPr>
          <w:rFonts w:ascii="楷体_GB2312" w:eastAsia="楷体_GB2312" w:hAnsi="楷体" w:hint="eastAsia"/>
          <w:b/>
          <w:sz w:val="24"/>
          <w:szCs w:val="24"/>
        </w:rPr>
        <w:t>禹钧译</w:t>
      </w:r>
      <w:r>
        <w:rPr>
          <w:rFonts w:ascii="楷体_GB2312" w:eastAsia="楷体_GB2312" w:hAnsi="楷体" w:hint="eastAsia"/>
          <w:b/>
          <w:sz w:val="24"/>
          <w:szCs w:val="24"/>
          <w:vertAlign w:val="superscript"/>
        </w:rPr>
        <w:t>1</w:t>
      </w:r>
      <w:r>
        <w:rPr>
          <w:rFonts w:ascii="楷体_GB2312" w:eastAsia="楷体_GB2312" w:hAnsi="楷体" w:hint="eastAsia"/>
          <w:b/>
          <w:sz w:val="24"/>
          <w:szCs w:val="24"/>
        </w:rPr>
        <w:t>，杨林峰</w:t>
      </w:r>
      <w:r>
        <w:rPr>
          <w:rFonts w:ascii="楷体_GB2312" w:eastAsia="楷体_GB2312" w:hAnsi="楷体" w:hint="eastAsia"/>
          <w:b/>
          <w:sz w:val="24"/>
          <w:szCs w:val="24"/>
          <w:vertAlign w:val="superscript"/>
        </w:rPr>
        <w:t>1*</w:t>
      </w:r>
      <w:r>
        <w:rPr>
          <w:rFonts w:ascii="楷体_GB2312" w:eastAsia="楷体_GB2312" w:hAnsi="楷体" w:hint="eastAsia"/>
          <w:b/>
          <w:sz w:val="24"/>
          <w:szCs w:val="24"/>
        </w:rPr>
        <w:t>，张振荣</w:t>
      </w:r>
      <w:r>
        <w:rPr>
          <w:rFonts w:ascii="楷体_GB2312" w:eastAsia="楷体_GB2312" w:hAnsi="楷体" w:hint="eastAsia"/>
          <w:b/>
          <w:sz w:val="24"/>
          <w:szCs w:val="24"/>
          <w:vertAlign w:val="superscript"/>
        </w:rPr>
        <w:t>1</w:t>
      </w:r>
      <w:r>
        <w:rPr>
          <w:rFonts w:ascii="楷体_GB2312" w:eastAsia="楷体_GB2312" w:hAnsi="楷体" w:hint="eastAsia"/>
          <w:b/>
          <w:sz w:val="24"/>
          <w:szCs w:val="24"/>
        </w:rPr>
        <w:t>，刘 奥</w:t>
      </w:r>
      <w:r>
        <w:rPr>
          <w:rFonts w:ascii="楷体_GB2312" w:eastAsia="楷体_GB2312" w:hAnsi="楷体" w:hint="eastAsia"/>
          <w:b/>
          <w:sz w:val="24"/>
          <w:szCs w:val="24"/>
          <w:vertAlign w:val="superscript"/>
        </w:rPr>
        <w:t>2</w:t>
      </w:r>
      <w:r>
        <w:rPr>
          <w:rFonts w:ascii="楷体_GB2312" w:eastAsia="楷体_GB2312" w:hAnsi="楷体" w:hint="eastAsia"/>
          <w:b/>
          <w:sz w:val="24"/>
          <w:szCs w:val="24"/>
        </w:rPr>
        <w:t>，程 锦</w:t>
      </w:r>
      <w:r>
        <w:rPr>
          <w:rFonts w:ascii="楷体_GB2312" w:eastAsia="楷体_GB2312" w:hAnsi="楷体" w:hint="eastAsia"/>
          <w:b/>
          <w:sz w:val="24"/>
          <w:szCs w:val="24"/>
          <w:vertAlign w:val="superscript"/>
        </w:rPr>
        <w:t>2</w:t>
      </w:r>
      <w:r>
        <w:rPr>
          <w:rFonts w:ascii="楷体_GB2312" w:eastAsia="楷体_GB2312" w:hAnsi="楷体" w:hint="eastAsia"/>
          <w:b/>
          <w:sz w:val="24"/>
          <w:szCs w:val="24"/>
        </w:rPr>
        <w:t>，陈宇杰</w:t>
      </w:r>
      <w:r>
        <w:rPr>
          <w:rFonts w:ascii="楷体_GB2312" w:eastAsia="楷体_GB2312" w:hAnsi="楷体" w:hint="eastAsia"/>
          <w:b/>
          <w:sz w:val="24"/>
          <w:szCs w:val="24"/>
          <w:vertAlign w:val="superscript"/>
        </w:rPr>
        <w:t>2</w:t>
      </w:r>
      <w:r>
        <w:rPr>
          <w:rFonts w:ascii="楷体_GB2312" w:eastAsia="楷体_GB2312" w:hAnsi="楷体" w:hint="eastAsia"/>
          <w:b/>
          <w:sz w:val="24"/>
          <w:szCs w:val="24"/>
        </w:rPr>
        <w:t>，陈兰剑</w:t>
      </w:r>
      <w:r>
        <w:rPr>
          <w:rFonts w:ascii="楷体_GB2312" w:eastAsia="楷体_GB2312" w:hAnsi="楷体" w:hint="eastAsia"/>
          <w:b/>
          <w:sz w:val="24"/>
          <w:szCs w:val="24"/>
          <w:vertAlign w:val="superscript"/>
        </w:rPr>
        <w:t>2</w:t>
      </w:r>
    </w:p>
    <w:p w14:paraId="4DFF664D" w14:textId="77777777" w:rsidR="008E062A" w:rsidRDefault="00072D76">
      <w:pPr>
        <w:pStyle w:val="af6"/>
        <w:numPr>
          <w:ilvl w:val="0"/>
          <w:numId w:val="1"/>
        </w:numPr>
        <w:spacing w:line="240" w:lineRule="auto"/>
        <w:ind w:firstLineChars="0"/>
        <w:jc w:val="center"/>
        <w:rPr>
          <w:rFonts w:ascii="宋体" w:hAnsi="宋体" w:cs="宋体"/>
          <w:sz w:val="15"/>
          <w:szCs w:val="15"/>
        </w:rPr>
      </w:pPr>
      <w:r>
        <w:rPr>
          <w:rFonts w:ascii="宋体" w:hAnsi="宋体" w:cs="宋体" w:hint="eastAsia"/>
          <w:sz w:val="15"/>
          <w:szCs w:val="15"/>
        </w:rPr>
        <w:t>广西大学 计算机与电子信息学院，南宁530004；2.国防科技大学信息通信学院，武汉</w:t>
      </w:r>
      <w:r>
        <w:rPr>
          <w:rFonts w:ascii="宋体" w:hAnsi="宋体" w:cs="宋体"/>
          <w:sz w:val="15"/>
          <w:szCs w:val="15"/>
        </w:rPr>
        <w:t>4</w:t>
      </w:r>
      <w:r>
        <w:rPr>
          <w:rFonts w:ascii="宋体" w:hAnsi="宋体" w:cs="宋体" w:hint="eastAsia"/>
          <w:sz w:val="15"/>
          <w:szCs w:val="15"/>
        </w:rPr>
        <w:t>3</w:t>
      </w:r>
      <w:r>
        <w:rPr>
          <w:rFonts w:ascii="宋体" w:hAnsi="宋体" w:cs="宋体"/>
          <w:sz w:val="15"/>
          <w:szCs w:val="15"/>
        </w:rPr>
        <w:t>00</w:t>
      </w:r>
      <w:r>
        <w:rPr>
          <w:rFonts w:ascii="宋体" w:hAnsi="宋体" w:cs="宋体" w:hint="eastAsia"/>
          <w:sz w:val="15"/>
          <w:szCs w:val="15"/>
        </w:rPr>
        <w:t>33）</w:t>
      </w:r>
    </w:p>
    <w:p w14:paraId="1727FDB9" w14:textId="77777777" w:rsidR="008E062A" w:rsidRDefault="008E062A">
      <w:pPr>
        <w:pStyle w:val="af6"/>
        <w:spacing w:line="276" w:lineRule="auto"/>
        <w:ind w:left="360" w:firstLineChars="0" w:firstLine="0"/>
        <w:rPr>
          <w:rFonts w:ascii="宋体" w:hAnsi="宋体" w:cs="宋体"/>
          <w:sz w:val="15"/>
          <w:szCs w:val="15"/>
        </w:rPr>
      </w:pPr>
    </w:p>
    <w:p w14:paraId="43F56C6B" w14:textId="77777777" w:rsidR="008E062A" w:rsidRDefault="00072D76">
      <w:pPr>
        <w:wordWrap w:val="0"/>
        <w:spacing w:line="240" w:lineRule="auto"/>
        <w:rPr>
          <w:b/>
          <w:szCs w:val="21"/>
        </w:rPr>
      </w:pPr>
      <w:r>
        <w:rPr>
          <w:rFonts w:ascii="宋体" w:hAnsi="宋体" w:hint="eastAsia"/>
          <w:b/>
          <w:sz w:val="18"/>
          <w:szCs w:val="18"/>
        </w:rPr>
        <w:t>摘要：</w:t>
      </w:r>
      <w:r>
        <w:rPr>
          <w:rFonts w:eastAsia="楷体_GB2312" w:hint="eastAsia"/>
          <w:bCs/>
          <w:sz w:val="18"/>
          <w:szCs w:val="18"/>
        </w:rPr>
        <w:t>为评估连续变量量子密钥分发（</w:t>
      </w:r>
      <w:r>
        <w:rPr>
          <w:rFonts w:eastAsia="楷体_GB2312"/>
          <w:bCs/>
          <w:sz w:val="18"/>
          <w:szCs w:val="18"/>
        </w:rPr>
        <w:t>CV-QKD</w:t>
      </w:r>
      <w:r>
        <w:rPr>
          <w:rFonts w:eastAsia="楷体_GB2312" w:hint="eastAsia"/>
          <w:bCs/>
          <w:sz w:val="18"/>
          <w:szCs w:val="18"/>
        </w:rPr>
        <w:t>）在实际星地云层信道下的性能，本文基于</w:t>
      </w:r>
      <w:r>
        <w:rPr>
          <w:rFonts w:eastAsia="楷体_GB2312"/>
          <w:bCs/>
          <w:sz w:val="18"/>
          <w:szCs w:val="18"/>
        </w:rPr>
        <w:t>STK-Matlab</w:t>
      </w:r>
      <w:r>
        <w:rPr>
          <w:rFonts w:eastAsia="楷体_GB2312" w:hint="eastAsia"/>
          <w:bCs/>
          <w:sz w:val="18"/>
          <w:szCs w:val="18"/>
        </w:rPr>
        <w:t>联合仿真平台，建立了高斯调制</w:t>
      </w:r>
      <w:r>
        <w:rPr>
          <w:rFonts w:eastAsia="楷体_GB2312"/>
          <w:bCs/>
          <w:sz w:val="18"/>
          <w:szCs w:val="18"/>
        </w:rPr>
        <w:t>CV-QKD</w:t>
      </w:r>
      <w:r>
        <w:rPr>
          <w:rFonts w:eastAsia="楷体_GB2312" w:hint="eastAsia"/>
          <w:bCs/>
          <w:sz w:val="18"/>
          <w:szCs w:val="18"/>
        </w:rPr>
        <w:t>的云层衰减信道模型，引入液态水含量与能见度关系，仿真分析了不同类型云层在</w:t>
      </w:r>
      <w:r>
        <w:rPr>
          <w:rFonts w:eastAsia="楷体_GB2312" w:hint="eastAsia"/>
          <w:bCs/>
          <w:sz w:val="18"/>
          <w:szCs w:val="18"/>
        </w:rPr>
        <w:t>8</w:t>
      </w:r>
      <w:r>
        <w:rPr>
          <w:rFonts w:eastAsia="楷体_GB2312"/>
          <w:bCs/>
          <w:sz w:val="18"/>
          <w:szCs w:val="18"/>
        </w:rPr>
        <w:t>00 km</w:t>
      </w:r>
      <w:r>
        <w:rPr>
          <w:rFonts w:eastAsia="楷体_GB2312" w:hint="eastAsia"/>
          <w:bCs/>
          <w:sz w:val="18"/>
          <w:szCs w:val="18"/>
        </w:rPr>
        <w:t>、</w:t>
      </w:r>
      <w:r>
        <w:rPr>
          <w:rFonts w:eastAsia="楷体_GB2312"/>
          <w:bCs/>
          <w:sz w:val="18"/>
          <w:szCs w:val="18"/>
        </w:rPr>
        <w:t>1 200 km</w:t>
      </w:r>
      <w:r>
        <w:rPr>
          <w:rFonts w:eastAsia="楷体_GB2312" w:hint="eastAsia"/>
          <w:bCs/>
          <w:sz w:val="18"/>
          <w:szCs w:val="18"/>
        </w:rPr>
        <w:t>轨道条件下的密钥生成率。结果表明：卷云等高能见度云层对密钥率影响较小，</w:t>
      </w:r>
      <w:r>
        <w:rPr>
          <w:rFonts w:eastAsia="楷体_GB2312"/>
          <w:bCs/>
          <w:sz w:val="18"/>
          <w:szCs w:val="18"/>
        </w:rPr>
        <w:t>4 km</w:t>
      </w:r>
      <w:r>
        <w:rPr>
          <w:rFonts w:eastAsia="楷体_GB2312" w:hint="eastAsia"/>
          <w:bCs/>
          <w:sz w:val="18"/>
          <w:szCs w:val="18"/>
        </w:rPr>
        <w:t>厚度下密钥率仍可达</w:t>
      </w:r>
      <w:r>
        <w:rPr>
          <w:rFonts w:eastAsia="楷体_GB2312"/>
          <w:bCs/>
          <w:sz w:val="18"/>
          <w:szCs w:val="18"/>
        </w:rPr>
        <w:t>7.8×10⁴ b/s</w:t>
      </w:r>
      <w:r>
        <w:rPr>
          <w:rFonts w:eastAsia="楷体_GB2312" w:hint="eastAsia"/>
          <w:bCs/>
          <w:sz w:val="18"/>
          <w:szCs w:val="18"/>
        </w:rPr>
        <w:t>；而层云即使仅</w:t>
      </w:r>
      <w:r>
        <w:rPr>
          <w:rFonts w:eastAsia="楷体_GB2312"/>
          <w:bCs/>
          <w:sz w:val="18"/>
          <w:szCs w:val="18"/>
        </w:rPr>
        <w:t>30 m</w:t>
      </w:r>
      <w:r>
        <w:rPr>
          <w:rFonts w:eastAsia="楷体_GB2312" w:hint="eastAsia"/>
          <w:bCs/>
          <w:sz w:val="18"/>
          <w:szCs w:val="18"/>
        </w:rPr>
        <w:t>厚度也会使密钥率从</w:t>
      </w:r>
      <w:r>
        <w:rPr>
          <w:rFonts w:eastAsia="楷体_GB2312"/>
          <w:bCs/>
          <w:sz w:val="18"/>
          <w:szCs w:val="18"/>
        </w:rPr>
        <w:t>8.2×10⁴ b/s</w:t>
      </w:r>
      <w:r>
        <w:rPr>
          <w:rFonts w:eastAsia="楷体_GB2312" w:hint="eastAsia"/>
          <w:bCs/>
          <w:sz w:val="18"/>
          <w:szCs w:val="18"/>
        </w:rPr>
        <w:t>骤降至</w:t>
      </w:r>
      <w:r>
        <w:rPr>
          <w:rFonts w:eastAsia="楷体_GB2312"/>
          <w:bCs/>
          <w:sz w:val="18"/>
          <w:szCs w:val="18"/>
        </w:rPr>
        <w:t>2.4×10⁴ b/s</w:t>
      </w:r>
      <w:r>
        <w:rPr>
          <w:rFonts w:eastAsia="楷体_GB2312" w:hint="eastAsia"/>
          <w:bCs/>
          <w:sz w:val="18"/>
          <w:szCs w:val="18"/>
        </w:rPr>
        <w:t>，严重影响通信可行性。此外，</w:t>
      </w:r>
      <w:r>
        <w:rPr>
          <w:rFonts w:eastAsia="楷体_GB2312"/>
          <w:bCs/>
          <w:sz w:val="18"/>
          <w:szCs w:val="18"/>
        </w:rPr>
        <w:t>155</w:t>
      </w:r>
      <w:r>
        <w:rPr>
          <w:rFonts w:eastAsia="楷体_GB2312" w:hint="eastAsia"/>
          <w:bCs/>
          <w:sz w:val="18"/>
          <w:szCs w:val="18"/>
        </w:rPr>
        <w:t>0 nm</w:t>
      </w:r>
      <w:r>
        <w:rPr>
          <w:rFonts w:eastAsia="楷体_GB2312" w:hint="eastAsia"/>
          <w:bCs/>
          <w:sz w:val="18"/>
          <w:szCs w:val="18"/>
        </w:rPr>
        <w:t>波长在高能见度条件下穿透性能更优，卫星天顶角与轨道高度也对密钥率有显著影响。</w:t>
      </w:r>
    </w:p>
    <w:p w14:paraId="7A12ED43" w14:textId="77777777" w:rsidR="008E062A" w:rsidRDefault="00072D76">
      <w:pPr>
        <w:spacing w:line="240" w:lineRule="auto"/>
        <w:rPr>
          <w:szCs w:val="24"/>
        </w:rPr>
      </w:pPr>
      <w:r>
        <w:rPr>
          <w:b/>
          <w:sz w:val="18"/>
          <w:szCs w:val="18"/>
        </w:rPr>
        <w:t>关键词：</w:t>
      </w:r>
      <w:r>
        <w:rPr>
          <w:rFonts w:eastAsia="楷体_GB2312"/>
          <w:sz w:val="18"/>
          <w:szCs w:val="18"/>
        </w:rPr>
        <w:t>连续变量量子密钥分发；</w:t>
      </w:r>
      <w:r>
        <w:rPr>
          <w:rFonts w:eastAsia="楷体_GB2312" w:hint="eastAsia"/>
          <w:sz w:val="18"/>
          <w:szCs w:val="18"/>
        </w:rPr>
        <w:t>自由</w:t>
      </w:r>
      <w:r>
        <w:rPr>
          <w:rFonts w:eastAsia="楷体_GB2312"/>
          <w:sz w:val="18"/>
          <w:szCs w:val="18"/>
        </w:rPr>
        <w:t>空间；高斯调制；云层衰减信道</w:t>
      </w:r>
      <w:r>
        <w:rPr>
          <w:rFonts w:eastAsia="楷体_GB2312" w:hint="eastAsia"/>
          <w:sz w:val="18"/>
          <w:szCs w:val="18"/>
        </w:rPr>
        <w:t>；</w:t>
      </w:r>
      <w:r>
        <w:rPr>
          <w:szCs w:val="24"/>
        </w:rPr>
        <w:t xml:space="preserve"> </w:t>
      </w:r>
    </w:p>
    <w:p w14:paraId="030DB9FE" w14:textId="77777777" w:rsidR="008E062A" w:rsidRDefault="00072D76">
      <w:pPr>
        <w:spacing w:line="240" w:lineRule="auto"/>
        <w:rPr>
          <w:rFonts w:ascii="宋体" w:hAnsi="宋体"/>
          <w:bCs/>
          <w:color w:val="000000"/>
          <w:szCs w:val="21"/>
        </w:rPr>
      </w:pPr>
      <w:r>
        <w:rPr>
          <w:rFonts w:ascii="宋体" w:hAnsi="宋体" w:hint="eastAsia"/>
          <w:b/>
          <w:sz w:val="18"/>
          <w:szCs w:val="18"/>
        </w:rPr>
        <w:t>中图分类号</w:t>
      </w:r>
      <w:r>
        <w:rPr>
          <w:color w:val="000000"/>
          <w:sz w:val="18"/>
          <w:szCs w:val="18"/>
        </w:rPr>
        <w:t>TN929.1</w:t>
      </w:r>
      <w:r>
        <w:rPr>
          <w:rFonts w:hint="eastAsia"/>
          <w:b/>
          <w:bCs/>
          <w:color w:val="000000"/>
          <w:sz w:val="18"/>
          <w:szCs w:val="18"/>
        </w:rPr>
        <w:t xml:space="preserve">   </w:t>
      </w:r>
      <w:r>
        <w:rPr>
          <w:rFonts w:ascii="黑体" w:eastAsia="黑体" w:hAnsi="黑体" w:hint="eastAsia"/>
          <w:b/>
          <w:bCs/>
          <w:color w:val="000000"/>
          <w:szCs w:val="21"/>
        </w:rPr>
        <w:t xml:space="preserve"> </w:t>
      </w:r>
      <w:r>
        <w:rPr>
          <w:rFonts w:ascii="宋体" w:hAnsi="宋体" w:hint="eastAsia"/>
          <w:b/>
          <w:sz w:val="18"/>
          <w:szCs w:val="18"/>
        </w:rPr>
        <w:t xml:space="preserve">文献标志码 </w:t>
      </w:r>
      <w:r>
        <w:rPr>
          <w:bCs/>
          <w:sz w:val="18"/>
          <w:szCs w:val="18"/>
        </w:rPr>
        <w:t>A</w:t>
      </w:r>
    </w:p>
    <w:p w14:paraId="0A159240" w14:textId="77777777" w:rsidR="008E062A" w:rsidRDefault="008E062A">
      <w:pPr>
        <w:spacing w:line="240" w:lineRule="auto"/>
        <w:rPr>
          <w:rFonts w:ascii="宋体" w:hAnsi="宋体"/>
          <w:bCs/>
          <w:color w:val="000000"/>
          <w:szCs w:val="21"/>
        </w:rPr>
      </w:pPr>
    </w:p>
    <w:p w14:paraId="6EC4D153" w14:textId="77777777" w:rsidR="008E062A" w:rsidRDefault="00072D76">
      <w:pPr>
        <w:adjustRightInd w:val="0"/>
        <w:snapToGrid w:val="0"/>
        <w:spacing w:line="240" w:lineRule="auto"/>
        <w:jc w:val="center"/>
        <w:rPr>
          <w:rFonts w:eastAsia="黑体"/>
          <w:b/>
          <w:bCs/>
          <w:sz w:val="32"/>
          <w:szCs w:val="32"/>
        </w:rPr>
      </w:pPr>
      <w:r>
        <w:rPr>
          <w:rFonts w:eastAsia="黑体"/>
          <w:b/>
          <w:bCs/>
          <w:sz w:val="32"/>
          <w:szCs w:val="32"/>
        </w:rPr>
        <w:t>Research on key distribution rate of continuous variable quantum key in satellite earth cloud channel</w:t>
      </w:r>
    </w:p>
    <w:p w14:paraId="1BD27BDA" w14:textId="77777777" w:rsidR="008E062A" w:rsidRDefault="00072D76">
      <w:pPr>
        <w:adjustRightInd w:val="0"/>
        <w:snapToGrid w:val="0"/>
        <w:jc w:val="center"/>
        <w:rPr>
          <w:b/>
          <w:bCs/>
          <w:szCs w:val="21"/>
          <w:vertAlign w:val="superscript"/>
        </w:rPr>
      </w:pPr>
      <w:r>
        <w:rPr>
          <w:rFonts w:eastAsia="黑体" w:hint="eastAsia"/>
          <w:b/>
          <w:bCs/>
          <w:szCs w:val="21"/>
        </w:rPr>
        <w:t>Y</w:t>
      </w:r>
      <w:r>
        <w:rPr>
          <w:rFonts w:eastAsia="黑体"/>
          <w:b/>
          <w:bCs/>
          <w:szCs w:val="21"/>
        </w:rPr>
        <w:t>U</w:t>
      </w:r>
      <w:r>
        <w:rPr>
          <w:rFonts w:eastAsia="黑体" w:hint="eastAsia"/>
          <w:b/>
          <w:bCs/>
          <w:szCs w:val="21"/>
        </w:rPr>
        <w:t xml:space="preserve"> Junyi</w:t>
      </w:r>
      <w:r>
        <w:rPr>
          <w:rFonts w:eastAsia="黑体" w:hint="eastAsia"/>
          <w:b/>
          <w:bCs/>
          <w:szCs w:val="21"/>
          <w:vertAlign w:val="superscript"/>
        </w:rPr>
        <w:t xml:space="preserve">1 </w:t>
      </w:r>
      <w:r>
        <w:rPr>
          <w:rFonts w:eastAsia="黑体" w:hint="eastAsia"/>
          <w:b/>
          <w:bCs/>
          <w:szCs w:val="21"/>
        </w:rPr>
        <w:t>, Y</w:t>
      </w:r>
      <w:r>
        <w:rPr>
          <w:rFonts w:eastAsia="黑体"/>
          <w:b/>
          <w:bCs/>
          <w:szCs w:val="21"/>
        </w:rPr>
        <w:t>ANG</w:t>
      </w:r>
      <w:r>
        <w:rPr>
          <w:rFonts w:eastAsia="黑体" w:hint="eastAsia"/>
          <w:b/>
          <w:bCs/>
          <w:szCs w:val="21"/>
        </w:rPr>
        <w:t xml:space="preserve"> Linfeng</w:t>
      </w:r>
      <w:r>
        <w:rPr>
          <w:rFonts w:eastAsia="黑体" w:hint="eastAsia"/>
          <w:b/>
          <w:bCs/>
          <w:szCs w:val="21"/>
          <w:vertAlign w:val="superscript"/>
        </w:rPr>
        <w:t>1*</w:t>
      </w:r>
      <w:r>
        <w:rPr>
          <w:rFonts w:eastAsia="黑体" w:hint="eastAsia"/>
          <w:b/>
          <w:bCs/>
          <w:szCs w:val="21"/>
        </w:rPr>
        <w:t>,</w:t>
      </w:r>
      <w:r>
        <w:rPr>
          <w:rFonts w:hint="eastAsia"/>
          <w:b/>
          <w:bCs/>
          <w:szCs w:val="21"/>
        </w:rPr>
        <w:t xml:space="preserve"> Z</w:t>
      </w:r>
      <w:r>
        <w:rPr>
          <w:b/>
          <w:bCs/>
          <w:szCs w:val="21"/>
        </w:rPr>
        <w:t>HANG</w:t>
      </w:r>
      <w:r>
        <w:rPr>
          <w:rFonts w:hint="eastAsia"/>
          <w:b/>
          <w:bCs/>
          <w:szCs w:val="21"/>
        </w:rPr>
        <w:t xml:space="preserve"> Zhenrong</w:t>
      </w:r>
      <w:r>
        <w:rPr>
          <w:rFonts w:hint="eastAsia"/>
          <w:b/>
          <w:bCs/>
          <w:szCs w:val="21"/>
          <w:vertAlign w:val="superscript"/>
        </w:rPr>
        <w:t>1</w:t>
      </w:r>
      <w:r>
        <w:rPr>
          <w:rFonts w:hint="eastAsia"/>
          <w:b/>
          <w:bCs/>
          <w:szCs w:val="21"/>
        </w:rPr>
        <w:t>,</w:t>
      </w:r>
      <w:r>
        <w:rPr>
          <w:rFonts w:eastAsia="黑体" w:hint="eastAsia"/>
          <w:b/>
          <w:bCs/>
          <w:szCs w:val="21"/>
        </w:rPr>
        <w:t xml:space="preserve"> L</w:t>
      </w:r>
      <w:r>
        <w:rPr>
          <w:rFonts w:eastAsia="黑体"/>
          <w:b/>
          <w:bCs/>
          <w:szCs w:val="21"/>
        </w:rPr>
        <w:t>IU</w:t>
      </w:r>
      <w:r>
        <w:rPr>
          <w:rFonts w:eastAsia="黑体" w:hint="eastAsia"/>
          <w:b/>
          <w:bCs/>
          <w:szCs w:val="21"/>
        </w:rPr>
        <w:t xml:space="preserve"> Ao</w:t>
      </w:r>
      <w:r>
        <w:rPr>
          <w:rFonts w:eastAsia="黑体" w:hint="eastAsia"/>
          <w:b/>
          <w:bCs/>
          <w:szCs w:val="21"/>
          <w:vertAlign w:val="superscript"/>
        </w:rPr>
        <w:t>2</w:t>
      </w:r>
      <w:r>
        <w:rPr>
          <w:rFonts w:eastAsia="黑体" w:hint="eastAsia"/>
          <w:b/>
          <w:bCs/>
          <w:szCs w:val="21"/>
        </w:rPr>
        <w:t>, C</w:t>
      </w:r>
      <w:r>
        <w:rPr>
          <w:rFonts w:eastAsia="黑体"/>
          <w:b/>
          <w:bCs/>
          <w:szCs w:val="21"/>
        </w:rPr>
        <w:t>HENG</w:t>
      </w:r>
      <w:r>
        <w:rPr>
          <w:rFonts w:eastAsia="黑体" w:hint="eastAsia"/>
          <w:b/>
          <w:bCs/>
          <w:szCs w:val="21"/>
        </w:rPr>
        <w:t xml:space="preserve"> Jin</w:t>
      </w:r>
      <w:r>
        <w:rPr>
          <w:rFonts w:eastAsia="黑体" w:hint="eastAsia"/>
          <w:b/>
          <w:bCs/>
          <w:szCs w:val="21"/>
          <w:vertAlign w:val="superscript"/>
        </w:rPr>
        <w:t>2</w:t>
      </w:r>
      <w:r>
        <w:rPr>
          <w:rFonts w:eastAsia="黑体" w:hint="eastAsia"/>
          <w:b/>
          <w:bCs/>
          <w:szCs w:val="21"/>
        </w:rPr>
        <w:t>, C</w:t>
      </w:r>
      <w:r>
        <w:rPr>
          <w:rFonts w:eastAsia="黑体"/>
          <w:b/>
          <w:bCs/>
          <w:szCs w:val="21"/>
        </w:rPr>
        <w:t>HEN</w:t>
      </w:r>
      <w:r>
        <w:rPr>
          <w:rFonts w:eastAsia="黑体" w:hint="eastAsia"/>
          <w:b/>
          <w:bCs/>
          <w:szCs w:val="21"/>
        </w:rPr>
        <w:t xml:space="preserve"> Yujie</w:t>
      </w:r>
      <w:r>
        <w:rPr>
          <w:rFonts w:eastAsia="黑体" w:hint="eastAsia"/>
          <w:b/>
          <w:bCs/>
          <w:szCs w:val="21"/>
          <w:vertAlign w:val="superscript"/>
        </w:rPr>
        <w:t>2</w:t>
      </w:r>
      <w:r>
        <w:rPr>
          <w:rFonts w:eastAsia="黑体" w:hint="eastAsia"/>
          <w:b/>
          <w:bCs/>
          <w:szCs w:val="21"/>
        </w:rPr>
        <w:t>, C</w:t>
      </w:r>
      <w:r>
        <w:rPr>
          <w:rFonts w:eastAsia="黑体"/>
          <w:b/>
          <w:bCs/>
          <w:szCs w:val="21"/>
        </w:rPr>
        <w:t>HEN</w:t>
      </w:r>
      <w:r>
        <w:rPr>
          <w:rFonts w:eastAsia="黑体" w:hint="eastAsia"/>
          <w:b/>
          <w:bCs/>
          <w:szCs w:val="21"/>
        </w:rPr>
        <w:t xml:space="preserve"> Lanjian</w:t>
      </w:r>
      <w:r>
        <w:rPr>
          <w:rFonts w:eastAsia="黑体" w:hint="eastAsia"/>
          <w:b/>
          <w:bCs/>
          <w:szCs w:val="21"/>
          <w:vertAlign w:val="superscript"/>
        </w:rPr>
        <w:t xml:space="preserve">2 </w:t>
      </w:r>
    </w:p>
    <w:p w14:paraId="74E6135D" w14:textId="77777777" w:rsidR="008E062A" w:rsidRDefault="00072D76">
      <w:pPr>
        <w:adjustRightInd w:val="0"/>
        <w:snapToGrid w:val="0"/>
        <w:spacing w:line="240" w:lineRule="auto"/>
        <w:ind w:firstLineChars="50" w:firstLine="75"/>
        <w:jc w:val="center"/>
        <w:rPr>
          <w:b/>
          <w:bCs/>
          <w:sz w:val="15"/>
          <w:szCs w:val="15"/>
        </w:rPr>
      </w:pPr>
      <w:r>
        <w:rPr>
          <w:rFonts w:eastAsia="黑体" w:hint="eastAsia"/>
          <w:b/>
          <w:bCs/>
          <w:sz w:val="15"/>
          <w:szCs w:val="15"/>
        </w:rPr>
        <w:t>(1.</w:t>
      </w:r>
      <w:r>
        <w:rPr>
          <w:b/>
          <w:bCs/>
          <w:sz w:val="15"/>
          <w:szCs w:val="15"/>
        </w:rPr>
        <w:t>Guangxi University, School of Computer and Information Engineering,</w:t>
      </w:r>
      <w:r>
        <w:rPr>
          <w:rFonts w:hint="eastAsia"/>
          <w:b/>
          <w:bCs/>
          <w:sz w:val="15"/>
          <w:szCs w:val="15"/>
        </w:rPr>
        <w:t xml:space="preserve"> Nanning, 530004, China;</w:t>
      </w:r>
    </w:p>
    <w:p w14:paraId="3981C754" w14:textId="77777777" w:rsidR="008E062A" w:rsidRDefault="00072D76">
      <w:pPr>
        <w:adjustRightInd w:val="0"/>
        <w:snapToGrid w:val="0"/>
        <w:spacing w:line="240" w:lineRule="auto"/>
        <w:ind w:firstLineChars="50" w:firstLine="75"/>
        <w:jc w:val="center"/>
        <w:rPr>
          <w:rFonts w:eastAsia="黑体"/>
          <w:b/>
          <w:bCs/>
          <w:sz w:val="15"/>
          <w:szCs w:val="15"/>
        </w:rPr>
      </w:pPr>
      <w:r>
        <w:rPr>
          <w:rFonts w:eastAsia="黑体" w:hint="eastAsia"/>
          <w:b/>
          <w:bCs/>
          <w:sz w:val="15"/>
          <w:szCs w:val="15"/>
        </w:rPr>
        <w:t>2.</w:t>
      </w:r>
      <w:r>
        <w:rPr>
          <w:rFonts w:eastAsia="黑体"/>
          <w:b/>
          <w:bCs/>
          <w:sz w:val="15"/>
          <w:szCs w:val="15"/>
        </w:rPr>
        <w:t xml:space="preserve"> School of information and communication, National University of Defense Technology</w:t>
      </w:r>
      <w:r>
        <w:rPr>
          <w:rFonts w:eastAsia="黑体" w:hint="eastAsia"/>
          <w:b/>
          <w:bCs/>
          <w:sz w:val="15"/>
          <w:szCs w:val="15"/>
        </w:rPr>
        <w:t>,</w:t>
      </w:r>
      <w:r>
        <w:rPr>
          <w:rFonts w:eastAsia="黑体"/>
          <w:b/>
          <w:bCs/>
          <w:sz w:val="15"/>
          <w:szCs w:val="15"/>
        </w:rPr>
        <w:t xml:space="preserve"> Wuhan, 4</w:t>
      </w:r>
      <w:r>
        <w:rPr>
          <w:rFonts w:eastAsia="黑体" w:hint="eastAsia"/>
          <w:b/>
          <w:bCs/>
          <w:sz w:val="15"/>
          <w:szCs w:val="15"/>
        </w:rPr>
        <w:t>3</w:t>
      </w:r>
      <w:r>
        <w:rPr>
          <w:rFonts w:eastAsia="黑体"/>
          <w:b/>
          <w:bCs/>
          <w:sz w:val="15"/>
          <w:szCs w:val="15"/>
        </w:rPr>
        <w:t>00</w:t>
      </w:r>
      <w:r>
        <w:rPr>
          <w:rFonts w:eastAsia="黑体" w:hint="eastAsia"/>
          <w:b/>
          <w:bCs/>
          <w:sz w:val="15"/>
          <w:szCs w:val="15"/>
        </w:rPr>
        <w:t>33</w:t>
      </w:r>
      <w:r>
        <w:rPr>
          <w:rFonts w:eastAsia="黑体"/>
          <w:b/>
          <w:bCs/>
          <w:sz w:val="15"/>
          <w:szCs w:val="15"/>
        </w:rPr>
        <w:t>,</w:t>
      </w:r>
      <w:r>
        <w:rPr>
          <w:rFonts w:eastAsia="黑体" w:hint="eastAsia"/>
          <w:b/>
          <w:bCs/>
          <w:sz w:val="15"/>
          <w:szCs w:val="15"/>
        </w:rPr>
        <w:t xml:space="preserve"> </w:t>
      </w:r>
      <w:r>
        <w:rPr>
          <w:rFonts w:eastAsia="黑体"/>
          <w:b/>
          <w:bCs/>
          <w:sz w:val="15"/>
          <w:szCs w:val="15"/>
        </w:rPr>
        <w:t>China</w:t>
      </w:r>
      <w:r>
        <w:rPr>
          <w:rFonts w:eastAsia="黑体" w:hint="eastAsia"/>
          <w:b/>
          <w:bCs/>
          <w:sz w:val="15"/>
          <w:szCs w:val="15"/>
        </w:rPr>
        <w:t>)</w:t>
      </w:r>
    </w:p>
    <w:p w14:paraId="02C4B5C8" w14:textId="77777777" w:rsidR="008E062A" w:rsidRDefault="008E062A">
      <w:pPr>
        <w:adjustRightInd w:val="0"/>
        <w:snapToGrid w:val="0"/>
        <w:ind w:firstLineChars="50" w:firstLine="75"/>
        <w:jc w:val="center"/>
        <w:rPr>
          <w:b/>
          <w:bCs/>
          <w:sz w:val="15"/>
          <w:szCs w:val="15"/>
        </w:rPr>
      </w:pPr>
    </w:p>
    <w:p w14:paraId="28CB6F1D" w14:textId="77777777" w:rsidR="008E062A" w:rsidRDefault="00072D76">
      <w:pPr>
        <w:spacing w:line="240" w:lineRule="auto"/>
        <w:rPr>
          <w:sz w:val="18"/>
          <w:szCs w:val="18"/>
        </w:rPr>
      </w:pPr>
      <w:r>
        <w:rPr>
          <w:b/>
          <w:bCs/>
          <w:sz w:val="18"/>
          <w:szCs w:val="18"/>
        </w:rPr>
        <w:t>Abstract:</w:t>
      </w:r>
      <w:r>
        <w:rPr>
          <w:sz w:val="18"/>
          <w:szCs w:val="18"/>
        </w:rPr>
        <w:t xml:space="preserve"> </w:t>
      </w:r>
      <w:r>
        <w:rPr>
          <w:color w:val="0F1115"/>
          <w:sz w:val="18"/>
          <w:szCs w:val="18"/>
          <w:shd w:val="clear" w:color="auto" w:fill="FFFFFF"/>
        </w:rPr>
        <w:t> To evaluate the performance of continuous-variable quantum key distribution (CV-QKD) in actual satellite-to-ground cloud channels, this paper establishes a cloud attenuation channel model for Gaussian-modulated CV-QKD based on an STK-Matlab co-simulation platform. By incorporating the relationship between liquid water content and visibility, it simulates and analyzes the secret key generation rates under different cloud types at orbital altitudes of 800 km and 1,200 km. The results show that high-visibility clouds such as cirrus have a minor impact on the key rate, which can still reach 7.8×10⁴ b/s even with a cloud thickness of 4 km. In contrast, stratiform clouds cause a sharp drop in the key rate from 8.2×10⁴ b/s to 2.4×10⁴ b/s with a thickness of only 30 m, significantly impairing communication feasibility. Furthermore, the 1550 nm wavelength exhibits better penetration performance under high-visibility conditions. The satellite zenith angle and orbital altitude also significantly influence the key rate.</w:t>
      </w:r>
    </w:p>
    <w:p w14:paraId="4EDE3DBB" w14:textId="77777777" w:rsidR="008E062A" w:rsidRDefault="00072D76">
      <w:pPr>
        <w:wordWrap w:val="0"/>
        <w:spacing w:line="240" w:lineRule="auto"/>
        <w:rPr>
          <w:sz w:val="18"/>
          <w:szCs w:val="18"/>
        </w:rPr>
      </w:pPr>
      <w:r>
        <w:rPr>
          <w:b/>
          <w:bCs/>
          <w:sz w:val="18"/>
          <w:szCs w:val="18"/>
        </w:rPr>
        <w:t xml:space="preserve">Key words: </w:t>
      </w:r>
      <w:r>
        <w:rPr>
          <w:color w:val="0F1115"/>
          <w:sz w:val="18"/>
          <w:szCs w:val="18"/>
          <w:shd w:val="clear" w:color="auto" w:fill="FFFFFF"/>
        </w:rPr>
        <w:t>continuous-variable quantum key distribution, free-space channel, Gaussian modulation, cloud attenuation channel</w:t>
      </w:r>
      <w:r>
        <w:rPr>
          <w:sz w:val="18"/>
          <w:szCs w:val="18"/>
        </w:rPr>
        <w:t xml:space="preserve"> </w:t>
      </w:r>
    </w:p>
    <w:p w14:paraId="044EDE47" w14:textId="77777777" w:rsidR="008E062A" w:rsidRDefault="008E062A">
      <w:pPr>
        <w:wordWrap w:val="0"/>
        <w:rPr>
          <w:rFonts w:eastAsia="黑体"/>
          <w:color w:val="000000"/>
          <w:szCs w:val="21"/>
        </w:rPr>
      </w:pPr>
    </w:p>
    <w:p w14:paraId="359CD69B" w14:textId="77777777" w:rsidR="008E062A" w:rsidRDefault="00072D76">
      <w:pPr>
        <w:wordWrap w:val="0"/>
        <w:rPr>
          <w:rFonts w:ascii="宋体" w:hAnsi="宋体"/>
          <w:b/>
          <w:bCs/>
          <w:sz w:val="24"/>
          <w:szCs w:val="24"/>
        </w:rPr>
      </w:pPr>
      <w:r>
        <w:rPr>
          <w:b/>
          <w:bCs/>
          <w:sz w:val="24"/>
          <w:szCs w:val="24"/>
        </w:rPr>
        <w:t>0</w:t>
      </w:r>
      <w:r>
        <w:rPr>
          <w:rFonts w:ascii="宋体" w:hAnsi="宋体" w:hint="eastAsia"/>
          <w:b/>
          <w:bCs/>
          <w:sz w:val="24"/>
          <w:szCs w:val="24"/>
        </w:rPr>
        <w:t>引言</w:t>
      </w:r>
    </w:p>
    <w:p w14:paraId="4074926F" w14:textId="77777777" w:rsidR="008E062A" w:rsidRDefault="00072D76">
      <w:pPr>
        <w:wordWrap w:val="0"/>
        <w:spacing w:line="240" w:lineRule="auto"/>
        <w:ind w:firstLineChars="200" w:firstLine="420"/>
        <w:rPr>
          <w:szCs w:val="21"/>
        </w:rPr>
      </w:pPr>
      <w:r>
        <w:rPr>
          <w:rFonts w:hint="eastAsia"/>
          <w:szCs w:val="21"/>
        </w:rPr>
        <w:t>量子密钥分发</w:t>
      </w:r>
      <w:r>
        <w:rPr>
          <w:rFonts w:hint="eastAsia"/>
          <w:szCs w:val="21"/>
        </w:rPr>
        <w:t>[1-3]</w:t>
      </w:r>
      <w:r>
        <w:rPr>
          <w:rFonts w:hint="eastAsia"/>
          <w:szCs w:val="21"/>
        </w:rPr>
        <w:t>（</w:t>
      </w:r>
      <w:r>
        <w:rPr>
          <w:rFonts w:hint="eastAsia"/>
          <w:szCs w:val="21"/>
        </w:rPr>
        <w:t>QKD</w:t>
      </w:r>
      <w:r>
        <w:rPr>
          <w:rFonts w:hint="eastAsia"/>
          <w:szCs w:val="21"/>
        </w:rPr>
        <w:t>）基于量子态的不可克隆性和测量扰动特性，能够实现理论上无条件安全的密钥传输。根据编码方式的不同，</w:t>
      </w:r>
      <w:r>
        <w:rPr>
          <w:rFonts w:hint="eastAsia"/>
          <w:szCs w:val="21"/>
        </w:rPr>
        <w:t>QKD</w:t>
      </w:r>
      <w:r>
        <w:rPr>
          <w:rFonts w:hint="eastAsia"/>
          <w:szCs w:val="21"/>
        </w:rPr>
        <w:t>主要分为离散变量</w:t>
      </w:r>
      <w:r>
        <w:rPr>
          <w:rFonts w:hint="eastAsia"/>
          <w:szCs w:val="21"/>
        </w:rPr>
        <w:t>QKD</w:t>
      </w:r>
      <w:r>
        <w:rPr>
          <w:rFonts w:hint="eastAsia"/>
          <w:szCs w:val="21"/>
        </w:rPr>
        <w:t>（</w:t>
      </w:r>
      <w:r>
        <w:rPr>
          <w:rFonts w:hint="eastAsia"/>
          <w:szCs w:val="21"/>
        </w:rPr>
        <w:t>DV-QKD</w:t>
      </w:r>
      <w:r>
        <w:rPr>
          <w:rFonts w:hint="eastAsia"/>
          <w:szCs w:val="21"/>
        </w:rPr>
        <w:t>）与连续变量</w:t>
      </w:r>
      <w:r>
        <w:rPr>
          <w:rFonts w:hint="eastAsia"/>
          <w:szCs w:val="21"/>
        </w:rPr>
        <w:t>QKD</w:t>
      </w:r>
      <w:r>
        <w:rPr>
          <w:rFonts w:hint="eastAsia"/>
          <w:szCs w:val="21"/>
        </w:rPr>
        <w:t>（</w:t>
      </w:r>
      <w:r>
        <w:rPr>
          <w:rFonts w:hint="eastAsia"/>
          <w:szCs w:val="21"/>
        </w:rPr>
        <w:t>CV-QKD</w:t>
      </w:r>
      <w:r>
        <w:rPr>
          <w:rFonts w:hint="eastAsia"/>
          <w:szCs w:val="21"/>
        </w:rPr>
        <w:t>）两类。</w:t>
      </w:r>
      <w:r>
        <w:rPr>
          <w:rFonts w:hint="eastAsia"/>
          <w:szCs w:val="21"/>
        </w:rPr>
        <w:t>2017</w:t>
      </w:r>
      <w:r>
        <w:rPr>
          <w:rFonts w:hint="eastAsia"/>
          <w:szCs w:val="21"/>
        </w:rPr>
        <w:t>年，“墨子号”量子科学实验卫星成功实现了星地下行</w:t>
      </w:r>
      <w:r>
        <w:rPr>
          <w:rFonts w:hint="eastAsia"/>
          <w:szCs w:val="21"/>
        </w:rPr>
        <w:t>DV-QKD[4]</w:t>
      </w:r>
      <w:r>
        <w:rPr>
          <w:rFonts w:hint="eastAsia"/>
          <w:szCs w:val="21"/>
        </w:rPr>
        <w:t>，验证了空间信道中量子通信的可行性，推动了空间量子通信的进一步发展。当前，随着地面光纤</w:t>
      </w:r>
      <w:r>
        <w:rPr>
          <w:rFonts w:hint="eastAsia"/>
          <w:szCs w:val="21"/>
        </w:rPr>
        <w:t>QKD</w:t>
      </w:r>
      <w:r>
        <w:rPr>
          <w:rFonts w:hint="eastAsia"/>
          <w:szCs w:val="21"/>
        </w:rPr>
        <w:t>技术</w:t>
      </w:r>
      <w:r>
        <w:rPr>
          <w:rFonts w:hint="eastAsia"/>
          <w:szCs w:val="21"/>
        </w:rPr>
        <w:t>[5]</w:t>
      </w:r>
      <w:r>
        <w:rPr>
          <w:rFonts w:hint="eastAsia"/>
          <w:szCs w:val="21"/>
        </w:rPr>
        <w:t>的日益成熟以及空间</w:t>
      </w:r>
      <w:r>
        <w:rPr>
          <w:rFonts w:hint="eastAsia"/>
          <w:szCs w:val="21"/>
        </w:rPr>
        <w:t>DV-QKD</w:t>
      </w:r>
      <w:r>
        <w:rPr>
          <w:rFonts w:hint="eastAsia"/>
          <w:szCs w:val="21"/>
        </w:rPr>
        <w:t>实验的持续突破</w:t>
      </w:r>
      <w:r>
        <w:rPr>
          <w:rFonts w:hint="eastAsia"/>
          <w:szCs w:val="21"/>
        </w:rPr>
        <w:t>[6]</w:t>
      </w:r>
      <w:r>
        <w:rPr>
          <w:rFonts w:hint="eastAsia"/>
          <w:szCs w:val="21"/>
        </w:rPr>
        <w:t>，探索</w:t>
      </w:r>
      <w:r>
        <w:rPr>
          <w:rFonts w:hint="eastAsia"/>
          <w:szCs w:val="21"/>
        </w:rPr>
        <w:t>CV-QKD</w:t>
      </w:r>
      <w:r>
        <w:rPr>
          <w:rFonts w:hint="eastAsia"/>
          <w:szCs w:val="21"/>
        </w:rPr>
        <w:t>在空间信道中的应用潜力已成为该领域的重要研究方向。</w:t>
      </w:r>
    </w:p>
    <w:p w14:paraId="6D1D5AF7" w14:textId="77777777" w:rsidR="008E062A" w:rsidRDefault="00072D76">
      <w:pPr>
        <w:wordWrap w:val="0"/>
        <w:spacing w:line="240" w:lineRule="auto"/>
        <w:ind w:firstLineChars="200" w:firstLine="420"/>
        <w:rPr>
          <w:szCs w:val="21"/>
        </w:rPr>
      </w:pPr>
      <w:r>
        <w:rPr>
          <w:rFonts w:hint="eastAsia"/>
          <w:szCs w:val="21"/>
        </w:rPr>
        <w:t>与</w:t>
      </w:r>
      <w:r>
        <w:rPr>
          <w:rFonts w:hint="eastAsia"/>
          <w:szCs w:val="21"/>
        </w:rPr>
        <w:t>DV-QKD</w:t>
      </w:r>
      <w:r>
        <w:rPr>
          <w:rFonts w:hint="eastAsia"/>
          <w:szCs w:val="21"/>
        </w:rPr>
        <w:t>相比，</w:t>
      </w:r>
      <w:r>
        <w:rPr>
          <w:rFonts w:hint="eastAsia"/>
          <w:szCs w:val="21"/>
        </w:rPr>
        <w:t>CV-QKD</w:t>
      </w:r>
      <w:r>
        <w:rPr>
          <w:rFonts w:hint="eastAsia"/>
          <w:szCs w:val="21"/>
        </w:rPr>
        <w:t>具有探测效率高、易于实现高维编码等优势，更适用于某些特定通信场景。然而，在空间信道中，大气湍流、云雾等多种因素会引起信道透射率的动</w:t>
      </w:r>
      <w:r>
        <w:rPr>
          <w:rFonts w:hint="eastAsia"/>
          <w:szCs w:val="21"/>
        </w:rPr>
        <w:lastRenderedPageBreak/>
        <w:t>态波动，从而影响</w:t>
      </w:r>
      <w:r>
        <w:rPr>
          <w:rFonts w:hint="eastAsia"/>
          <w:szCs w:val="21"/>
        </w:rPr>
        <w:t>CV-QKD</w:t>
      </w:r>
      <w:r>
        <w:rPr>
          <w:rFonts w:hint="eastAsia"/>
          <w:szCs w:val="21"/>
        </w:rPr>
        <w:t>系统的性能与稳定性。针对这一问题，已有部分研究开展了相关探索：刘旭超等人</w:t>
      </w:r>
      <w:r>
        <w:rPr>
          <w:rFonts w:hint="eastAsia"/>
          <w:szCs w:val="21"/>
        </w:rPr>
        <w:t>[7]</w:t>
      </w:r>
      <w:r>
        <w:rPr>
          <w:rFonts w:hint="eastAsia"/>
          <w:szCs w:val="21"/>
        </w:rPr>
        <w:t>分析了湍流对光信号的吸收与散射效应，讨论了其对信道透射率和密钥率的影响；高锟等人</w:t>
      </w:r>
      <w:r>
        <w:rPr>
          <w:rFonts w:hint="eastAsia"/>
          <w:szCs w:val="21"/>
        </w:rPr>
        <w:t>[8]</w:t>
      </w:r>
      <w:r>
        <w:rPr>
          <w:rFonts w:hint="eastAsia"/>
          <w:szCs w:val="21"/>
        </w:rPr>
        <w:t>基于雨滴分布与</w:t>
      </w:r>
      <w:r>
        <w:rPr>
          <w:rFonts w:hint="eastAsia"/>
          <w:szCs w:val="21"/>
        </w:rPr>
        <w:t>Mie</w:t>
      </w:r>
      <w:r>
        <w:rPr>
          <w:rFonts w:hint="eastAsia"/>
          <w:szCs w:val="21"/>
        </w:rPr>
        <w:t>散射理论，研究了降雨对空间</w:t>
      </w:r>
      <w:r>
        <w:rPr>
          <w:rFonts w:hint="eastAsia"/>
          <w:szCs w:val="21"/>
        </w:rPr>
        <w:t>CV-QKD</w:t>
      </w:r>
      <w:r>
        <w:rPr>
          <w:rFonts w:hint="eastAsia"/>
          <w:szCs w:val="21"/>
        </w:rPr>
        <w:t>的消光作用及信道容量的变化；李松朗等人</w:t>
      </w:r>
      <w:r>
        <w:rPr>
          <w:rFonts w:hint="eastAsia"/>
          <w:szCs w:val="21"/>
        </w:rPr>
        <w:t>[9]</w:t>
      </w:r>
      <w:r>
        <w:rPr>
          <w:rFonts w:hint="eastAsia"/>
          <w:szCs w:val="21"/>
        </w:rPr>
        <w:t>聚焦于蓝绿激光在云层中的传输，探讨了云层对信噪比、能量衰减和误码率的影响；聂敏等人</w:t>
      </w:r>
      <w:r>
        <w:rPr>
          <w:rFonts w:hint="eastAsia"/>
          <w:szCs w:val="21"/>
        </w:rPr>
        <w:t>[10]</w:t>
      </w:r>
      <w:r>
        <w:rPr>
          <w:rFonts w:hint="eastAsia"/>
          <w:szCs w:val="21"/>
        </w:rPr>
        <w:t>通过分析雷暴云中带电粒子的消光截面与浓度分布，评估了其对</w:t>
      </w:r>
      <w:r>
        <w:rPr>
          <w:rFonts w:hint="eastAsia"/>
          <w:szCs w:val="21"/>
        </w:rPr>
        <w:t>QKD</w:t>
      </w:r>
      <w:r>
        <w:rPr>
          <w:rFonts w:hint="eastAsia"/>
          <w:szCs w:val="21"/>
        </w:rPr>
        <w:t>信道误码率的影响；郭建伟等人</w:t>
      </w:r>
      <w:r>
        <w:rPr>
          <w:rFonts w:hint="eastAsia"/>
          <w:szCs w:val="21"/>
        </w:rPr>
        <w:t>[11]</w:t>
      </w:r>
      <w:r>
        <w:rPr>
          <w:rFonts w:hint="eastAsia"/>
          <w:szCs w:val="21"/>
        </w:rPr>
        <w:t>建立了冰云含水量、链路衰减系数与量子信号传输距离之间的关联模型；胡秀寒等人</w:t>
      </w:r>
      <w:r>
        <w:rPr>
          <w:rFonts w:hint="eastAsia"/>
          <w:szCs w:val="21"/>
        </w:rPr>
        <w:t>[12]</w:t>
      </w:r>
      <w:r>
        <w:rPr>
          <w:rFonts w:hint="eastAsia"/>
          <w:szCs w:val="21"/>
        </w:rPr>
        <w:t>则从云层高度与厚度出发，研究了云层对激光下行传输中光斑尺寸、脉冲宽度及传输效率的影响。</w:t>
      </w:r>
    </w:p>
    <w:p w14:paraId="3DE80F7D" w14:textId="77777777" w:rsidR="008E062A" w:rsidRDefault="00072D76">
      <w:pPr>
        <w:wordWrap w:val="0"/>
        <w:spacing w:line="240" w:lineRule="auto"/>
        <w:ind w:firstLineChars="200" w:firstLine="420"/>
        <w:rPr>
          <w:szCs w:val="21"/>
        </w:rPr>
      </w:pPr>
      <w:r>
        <w:rPr>
          <w:rFonts w:hint="eastAsia"/>
          <w:szCs w:val="21"/>
        </w:rPr>
        <w:t>尽管上述工作对云层等大气介质的影响已进行了有益探讨，但现有研究多集中于云层特性对静态链路衰减的定性或半定量分析，缺乏针对星地动态场景下高斯调制</w:t>
      </w:r>
      <w:r>
        <w:rPr>
          <w:rFonts w:hint="eastAsia"/>
          <w:szCs w:val="21"/>
        </w:rPr>
        <w:t>CV-QKD</w:t>
      </w:r>
      <w:r>
        <w:rPr>
          <w:rFonts w:hint="eastAsia"/>
          <w:szCs w:val="21"/>
        </w:rPr>
        <w:t>系统在云层信道中的密钥生成率进行系统性建模与量化评估。因此，本文旨在建立</w:t>
      </w:r>
      <w:r>
        <w:rPr>
          <w:rFonts w:hint="eastAsia"/>
          <w:szCs w:val="21"/>
        </w:rPr>
        <w:t>CV-QKD</w:t>
      </w:r>
      <w:r>
        <w:rPr>
          <w:rFonts w:hint="eastAsia"/>
          <w:szCs w:val="21"/>
        </w:rPr>
        <w:t>云层衰减模型，分析不同云层对相干态传输信道衰减的影响，并在此基础上构建星地动态运动仿真场景，探究云层信道中高斯调制</w:t>
      </w:r>
      <w:r>
        <w:rPr>
          <w:rFonts w:hint="eastAsia"/>
          <w:szCs w:val="21"/>
        </w:rPr>
        <w:t>CV-QKD</w:t>
      </w:r>
      <w:r>
        <w:rPr>
          <w:rFonts w:hint="eastAsia"/>
          <w:szCs w:val="21"/>
        </w:rPr>
        <w:t>协议的可行性。</w:t>
      </w:r>
    </w:p>
    <w:p w14:paraId="2509222F" w14:textId="77777777" w:rsidR="008E062A" w:rsidRDefault="008E062A">
      <w:pPr>
        <w:wordWrap w:val="0"/>
        <w:spacing w:line="240" w:lineRule="auto"/>
        <w:ind w:firstLineChars="200" w:firstLine="420"/>
        <w:rPr>
          <w:szCs w:val="21"/>
        </w:rPr>
      </w:pPr>
    </w:p>
    <w:p w14:paraId="123E56D2" w14:textId="77777777" w:rsidR="008E062A" w:rsidRDefault="00072D76">
      <w:pPr>
        <w:wordWrap w:val="0"/>
        <w:rPr>
          <w:b/>
          <w:bCs/>
          <w:sz w:val="24"/>
          <w:szCs w:val="24"/>
        </w:rPr>
      </w:pPr>
      <w:r>
        <w:rPr>
          <w:rFonts w:hint="eastAsia"/>
          <w:b/>
          <w:bCs/>
          <w:sz w:val="24"/>
          <w:szCs w:val="24"/>
        </w:rPr>
        <w:t>1</w:t>
      </w:r>
      <w:r>
        <w:rPr>
          <w:rFonts w:hint="eastAsia"/>
          <w:b/>
          <w:bCs/>
          <w:sz w:val="24"/>
          <w:szCs w:val="24"/>
        </w:rPr>
        <w:t>星地高斯调制</w:t>
      </w:r>
      <w:r>
        <w:rPr>
          <w:rFonts w:hint="eastAsia"/>
          <w:b/>
          <w:bCs/>
          <w:sz w:val="24"/>
          <w:szCs w:val="24"/>
        </w:rPr>
        <w:t xml:space="preserve"> CV-QKD</w:t>
      </w:r>
      <w:r>
        <w:rPr>
          <w:rFonts w:hint="eastAsia"/>
          <w:b/>
          <w:bCs/>
          <w:sz w:val="24"/>
          <w:szCs w:val="24"/>
        </w:rPr>
        <w:t>云层信道模型</w:t>
      </w:r>
    </w:p>
    <w:p w14:paraId="2625B5A0" w14:textId="77777777" w:rsidR="008E062A" w:rsidRDefault="00072D76">
      <w:pPr>
        <w:wordWrap w:val="0"/>
        <w:spacing w:line="240" w:lineRule="auto"/>
        <w:ind w:firstLineChars="200" w:firstLine="420"/>
        <w:rPr>
          <w:szCs w:val="21"/>
        </w:rPr>
      </w:pPr>
      <w:r>
        <w:rPr>
          <w:rFonts w:hint="eastAsia"/>
          <w:szCs w:val="21"/>
        </w:rPr>
        <w:t>本文采用高斯调制连续变量量子密钥分发模型</w:t>
      </w:r>
      <w:r>
        <w:rPr>
          <w:rFonts w:hint="eastAsia"/>
          <w:szCs w:val="21"/>
        </w:rPr>
        <w:t>[13]</w:t>
      </w:r>
      <w:r>
        <w:rPr>
          <w:rFonts w:hint="eastAsia"/>
          <w:szCs w:val="21"/>
        </w:rPr>
        <w:t>。在理想探测条件下，接收端通过外差探测进行测量，并在此模型框架下，计算了星地链路在渐近安全状态下针对集体攻击的密钥生成率。</w:t>
      </w:r>
    </w:p>
    <w:p w14:paraId="193A15B1" w14:textId="77777777" w:rsidR="008E062A" w:rsidRDefault="00072D76">
      <w:pPr>
        <w:textAlignment w:val="center"/>
        <w:rPr>
          <w:b/>
          <w:bCs/>
          <w:szCs w:val="21"/>
        </w:rPr>
      </w:pPr>
      <w:r>
        <w:rPr>
          <w:rFonts w:hint="eastAsia"/>
          <w:b/>
          <w:bCs/>
          <w:szCs w:val="21"/>
        </w:rPr>
        <w:t>1.1</w:t>
      </w:r>
      <w:r>
        <w:rPr>
          <w:rFonts w:hint="eastAsia"/>
          <w:b/>
          <w:bCs/>
          <w:szCs w:val="21"/>
        </w:rPr>
        <w:t>星地几何模型</w:t>
      </w:r>
    </w:p>
    <w:p w14:paraId="2AACA8F6" w14:textId="77777777" w:rsidR="008E062A" w:rsidRDefault="00072D76">
      <w:pPr>
        <w:spacing w:line="317" w:lineRule="exact"/>
        <w:ind w:firstLineChars="200" w:firstLine="360"/>
        <w:textAlignment w:val="center"/>
      </w:pPr>
      <w:r>
        <w:rPr>
          <w:rFonts w:hint="eastAsia"/>
          <w:sz w:val="18"/>
          <w:szCs w:val="21"/>
        </w:rPr>
        <w:t>卫星动态运行轨道图</w:t>
      </w:r>
      <w:r>
        <w:rPr>
          <w:rFonts w:hint="eastAsia"/>
          <w:b/>
          <w:bCs/>
          <w:sz w:val="18"/>
          <w:szCs w:val="21"/>
        </w:rPr>
        <w:t>如</w:t>
      </w:r>
      <w:r>
        <w:rPr>
          <w:b/>
          <w:bCs/>
          <w:sz w:val="18"/>
          <w:szCs w:val="21"/>
        </w:rPr>
        <w:t>图</w:t>
      </w:r>
      <w:r>
        <w:rPr>
          <w:rFonts w:hint="eastAsia"/>
          <w:b/>
          <w:bCs/>
          <w:sz w:val="18"/>
          <w:szCs w:val="21"/>
        </w:rPr>
        <w:t>1</w:t>
      </w:r>
      <w:r>
        <w:rPr>
          <w:rFonts w:hint="eastAsia"/>
          <w:b/>
          <w:bCs/>
          <w:sz w:val="18"/>
          <w:szCs w:val="21"/>
        </w:rPr>
        <w:t>所示。</w:t>
      </w:r>
      <w:r>
        <w:rPr>
          <w:rFonts w:hint="eastAsia"/>
          <w:szCs w:val="21"/>
        </w:rPr>
        <w:t>光束受大气湍流影响的实际路径为</w:t>
      </w:r>
      <w:r>
        <w:object w:dxaOrig="749" w:dyaOrig="415" w14:anchorId="20ACF8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45pt;height:20.75pt" o:ole="">
            <v:imagedata r:id="rId8" o:title=""/>
          </v:shape>
          <o:OLEObject Type="Embed" ProgID="Equation.DSMT4" ShapeID="_x0000_i1025" DrawAspect="Content" ObjectID="_1832493399" r:id="rId9"/>
        </w:object>
      </w:r>
      <w:r>
        <w:rPr>
          <w:rFonts w:hint="eastAsia"/>
        </w:rPr>
        <w:t>，其表达</w:t>
      </w:r>
      <w:r>
        <w:t>式为</w:t>
      </w:r>
    </w:p>
    <w:p w14:paraId="791D0D24" w14:textId="77777777" w:rsidR="008E062A" w:rsidRDefault="00072D76">
      <w:pPr>
        <w:spacing w:line="468" w:lineRule="exact"/>
        <w:ind w:firstLineChars="700" w:firstLine="1470"/>
        <w:textAlignment w:val="center"/>
      </w:pPr>
      <w:r>
        <w:rPr>
          <w:position w:val="-4"/>
        </w:rPr>
        <w:object w:dxaOrig="4873" w:dyaOrig="495" w14:anchorId="462836D5">
          <v:shape id="_x0000_i1026" type="#_x0000_t75" style="width:243.65pt;height:24.75pt" o:ole="">
            <v:imagedata r:id="rId10" o:title=""/>
          </v:shape>
          <o:OLEObject Type="Embed" ProgID="Equation.DSMT4" ShapeID="_x0000_i1026" DrawAspect="Content" ObjectID="_1832493400" r:id="rId11"/>
        </w:object>
      </w:r>
      <w:r>
        <w:t xml:space="preserve"> </w:t>
      </w:r>
      <w:r>
        <w:tab/>
      </w:r>
      <w:r>
        <w:rPr>
          <w:rFonts w:hint="eastAsia"/>
        </w:rPr>
        <w:t xml:space="preserve">        (1)           </w:t>
      </w:r>
    </w:p>
    <w:p w14:paraId="675CD8B0" w14:textId="77777777" w:rsidR="008E062A" w:rsidRDefault="00072D76">
      <w:pPr>
        <w:spacing w:line="317" w:lineRule="exact"/>
        <w:rPr>
          <w:i/>
          <w:szCs w:val="21"/>
        </w:rPr>
      </w:pPr>
      <w:r>
        <w:rPr>
          <w:rFonts w:hint="eastAsia"/>
          <w:szCs w:val="21"/>
        </w:rPr>
        <w:t>其中，</w:t>
      </w:r>
      <w:r>
        <w:rPr>
          <w:position w:val="-10"/>
        </w:rPr>
        <w:object w:dxaOrig="334" w:dyaOrig="334" w14:anchorId="28F45EA5">
          <v:shape id="_x0000_i1027" type="#_x0000_t75" style="width:16.7pt;height:16.7pt" o:ole="">
            <v:imagedata r:id="rId12" o:title=""/>
          </v:shape>
          <o:OLEObject Type="Embed" ProgID="Equation.DSMT4" ShapeID="_x0000_i1027" DrawAspect="Content" ObjectID="_1832493401" r:id="rId13"/>
        </w:object>
      </w:r>
      <w:r>
        <w:rPr>
          <w:rFonts w:hint="eastAsia"/>
          <w:szCs w:val="21"/>
        </w:rPr>
        <w:t>为大气层高度（通常</w:t>
      </w:r>
      <w:r>
        <w:rPr>
          <w:position w:val="-10"/>
        </w:rPr>
        <w:object w:dxaOrig="334" w:dyaOrig="334" w14:anchorId="60C3769F">
          <v:shape id="_x0000_i1028" type="#_x0000_t75" style="width:16.7pt;height:16.7pt" o:ole="">
            <v:imagedata r:id="rId12" o:title=""/>
          </v:shape>
          <o:OLEObject Type="Embed" ProgID="Equation.DSMT4" ShapeID="_x0000_i1028" DrawAspect="Content" ObjectID="_1832493402" r:id="rId14"/>
        </w:object>
      </w:r>
      <m:oMath>
        <m:r>
          <m:rPr>
            <m:sty m:val="p"/>
          </m:rPr>
          <w:rPr>
            <w:rFonts w:ascii="Cambria Math" w:hAnsi="Cambria Math"/>
            <w:szCs w:val="21"/>
          </w:rPr>
          <m:t>≈</m:t>
        </m:r>
      </m:oMath>
      <w:r>
        <w:rPr>
          <w:rFonts w:hint="eastAsia"/>
          <w:szCs w:val="21"/>
        </w:rPr>
        <w:t>30</w:t>
      </w:r>
      <w:r>
        <w:rPr>
          <w:szCs w:val="21"/>
        </w:rPr>
        <w:t xml:space="preserve"> </w:t>
      </w:r>
      <w:r>
        <w:rPr>
          <w:rFonts w:hint="eastAsia"/>
          <w:szCs w:val="21"/>
        </w:rPr>
        <w:t>km</w:t>
      </w:r>
      <w:r>
        <w:rPr>
          <w:rFonts w:hint="eastAsia"/>
          <w:szCs w:val="21"/>
        </w:rPr>
        <w:t>），</w:t>
      </w:r>
      <w:r>
        <w:rPr>
          <w:position w:val="-14"/>
        </w:rPr>
        <w:object w:dxaOrig="484" w:dyaOrig="380" w14:anchorId="0D07F345">
          <v:shape id="_x0000_i1029" type="#_x0000_t75" style="width:24.2pt;height:19pt" o:ole="">
            <v:imagedata r:id="rId15" o:title=""/>
          </v:shape>
          <o:OLEObject Type="Embed" ProgID="Equation.DSMT4" ShapeID="_x0000_i1029" DrawAspect="Content" ObjectID="_1832493403" r:id="rId16"/>
        </w:object>
      </w:r>
      <w:r>
        <w:rPr>
          <w:rFonts w:hint="eastAsia"/>
          <w:szCs w:val="21"/>
        </w:rPr>
        <w:t>为卫星离地面的实时高度，</w:t>
      </w:r>
      <w:r>
        <w:rPr>
          <w:position w:val="-10"/>
        </w:rPr>
        <w:object w:dxaOrig="207" w:dyaOrig="276" w14:anchorId="11F5C10E">
          <v:shape id="_x0000_i1030" type="#_x0000_t75" style="width:10.35pt;height:13.8pt" o:ole="">
            <v:imagedata r:id="rId17" o:title=""/>
          </v:shape>
          <o:OLEObject Type="Embed" ProgID="Equation.DSMT4" ShapeID="_x0000_i1030" DrawAspect="Content" ObjectID="_1832493404" r:id="rId18"/>
        </w:object>
      </w:r>
      <w:r>
        <w:rPr>
          <w:rFonts w:hint="eastAsia"/>
          <w:szCs w:val="21"/>
        </w:rPr>
        <w:t>为地球的半径（通常取值为</w:t>
      </w:r>
      <w:r>
        <w:rPr>
          <w:rFonts w:hint="eastAsia"/>
          <w:szCs w:val="21"/>
        </w:rPr>
        <w:t>6</w:t>
      </w:r>
      <w:r>
        <w:rPr>
          <w:szCs w:val="21"/>
        </w:rPr>
        <w:t xml:space="preserve"> </w:t>
      </w:r>
      <w:r>
        <w:rPr>
          <w:rFonts w:hint="eastAsia"/>
          <w:szCs w:val="21"/>
        </w:rPr>
        <w:t>371</w:t>
      </w:r>
      <w:r>
        <w:rPr>
          <w:szCs w:val="21"/>
        </w:rPr>
        <w:t xml:space="preserve"> </w:t>
      </w:r>
      <w:r>
        <w:rPr>
          <w:rFonts w:hint="eastAsia"/>
          <w:szCs w:val="21"/>
        </w:rPr>
        <w:t>km</w:t>
      </w:r>
      <w:r>
        <w:rPr>
          <w:rFonts w:hint="eastAsia"/>
          <w:szCs w:val="21"/>
        </w:rPr>
        <w:t>），</w:t>
      </w:r>
      <w:r>
        <w:rPr>
          <w:position w:val="-14"/>
        </w:rPr>
        <w:object w:dxaOrig="449" w:dyaOrig="380" w14:anchorId="59CF29AE">
          <v:shape id="_x0000_i1031" type="#_x0000_t75" style="width:22.45pt;height:19pt" o:ole="">
            <v:imagedata r:id="rId19" o:title=""/>
          </v:shape>
          <o:OLEObject Type="Embed" ProgID="Equation.DSMT4" ShapeID="_x0000_i1031" DrawAspect="Content" ObjectID="_1832493405" r:id="rId20"/>
        </w:object>
      </w:r>
      <w:r>
        <w:rPr>
          <w:rFonts w:hint="eastAsia"/>
        </w:rPr>
        <w:t>为卫星与地面站的实时天顶角。</w:t>
      </w:r>
    </w:p>
    <w:p w14:paraId="6FF1D8E3" w14:textId="1F967BAF" w:rsidR="008E062A" w:rsidRDefault="003E172A">
      <w:pPr>
        <w:jc w:val="center"/>
        <w:rPr>
          <w:b/>
          <w:szCs w:val="21"/>
        </w:rPr>
      </w:pPr>
      <w:r>
        <w:rPr>
          <w:b/>
          <w:noProof/>
          <w:szCs w:val="21"/>
        </w:rPr>
        <w:drawing>
          <wp:inline distT="0" distB="0" distL="0" distR="0" wp14:anchorId="6B13B094" wp14:editId="01DE477E">
            <wp:extent cx="2705100" cy="2657856"/>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禹钧译visio图1.jpg"/>
                    <pic:cNvPicPr/>
                  </pic:nvPicPr>
                  <pic:blipFill>
                    <a:blip r:embed="rId21">
                      <a:extLst>
                        <a:ext uri="{28A0092B-C50C-407E-A947-70E740481C1C}">
                          <a14:useLocalDpi xmlns:a14="http://schemas.microsoft.com/office/drawing/2010/main" val="0"/>
                        </a:ext>
                      </a:extLst>
                    </a:blip>
                    <a:stretch>
                      <a:fillRect/>
                    </a:stretch>
                  </pic:blipFill>
                  <pic:spPr>
                    <a:xfrm>
                      <a:off x="0" y="0"/>
                      <a:ext cx="2705100" cy="2657856"/>
                    </a:xfrm>
                    <a:prstGeom prst="rect">
                      <a:avLst/>
                    </a:prstGeom>
                  </pic:spPr>
                </pic:pic>
              </a:graphicData>
            </a:graphic>
          </wp:inline>
        </w:drawing>
      </w:r>
    </w:p>
    <w:p w14:paraId="4786020D" w14:textId="77777777" w:rsidR="008E062A" w:rsidRDefault="00072D76">
      <w:pPr>
        <w:pStyle w:val="af6"/>
        <w:spacing w:line="240" w:lineRule="auto"/>
        <w:ind w:left="360" w:firstLineChars="0" w:firstLine="0"/>
        <w:jc w:val="center"/>
        <w:rPr>
          <w:b/>
          <w:sz w:val="18"/>
          <w:szCs w:val="21"/>
        </w:rPr>
      </w:pPr>
      <w:r>
        <w:rPr>
          <w:rFonts w:hint="eastAsia"/>
          <w:b/>
          <w:sz w:val="18"/>
          <w:szCs w:val="21"/>
        </w:rPr>
        <w:t>图</w:t>
      </w:r>
      <w:r>
        <w:rPr>
          <w:rFonts w:hint="eastAsia"/>
          <w:b/>
          <w:sz w:val="18"/>
          <w:szCs w:val="21"/>
        </w:rPr>
        <w:t xml:space="preserve">1  </w:t>
      </w:r>
      <w:r>
        <w:rPr>
          <w:rFonts w:hint="eastAsia"/>
          <w:b/>
          <w:sz w:val="18"/>
          <w:szCs w:val="21"/>
        </w:rPr>
        <w:t>卫星动态运行轨道图</w:t>
      </w:r>
    </w:p>
    <w:p w14:paraId="6BB99DA5" w14:textId="77777777" w:rsidR="008E062A" w:rsidRDefault="00072D76">
      <w:pPr>
        <w:spacing w:line="240" w:lineRule="auto"/>
        <w:ind w:firstLineChars="200" w:firstLine="420"/>
        <w:rPr>
          <w:b/>
          <w:sz w:val="18"/>
          <w:szCs w:val="21"/>
        </w:rPr>
      </w:pPr>
      <w:r>
        <w:rPr>
          <w:rFonts w:hint="eastAsia"/>
          <w:szCs w:val="21"/>
        </w:rPr>
        <w:t>星地光通信光束传输过程如</w:t>
      </w:r>
      <w:r>
        <w:rPr>
          <w:szCs w:val="21"/>
        </w:rPr>
        <w:t>图</w:t>
      </w:r>
      <w:r>
        <w:rPr>
          <w:rFonts w:hint="eastAsia"/>
          <w:szCs w:val="21"/>
        </w:rPr>
        <w:t>2</w:t>
      </w:r>
      <w:r>
        <w:rPr>
          <w:rFonts w:hint="eastAsia"/>
          <w:szCs w:val="21"/>
        </w:rPr>
        <w:t>所示</w:t>
      </w:r>
      <w:r>
        <w:rPr>
          <w:szCs w:val="21"/>
        </w:rPr>
        <w:t>。</w:t>
      </w:r>
      <w:r>
        <w:rPr>
          <w:rFonts w:ascii="Segoe UI" w:hAnsi="Segoe UI" w:cs="Segoe UI"/>
          <w:color w:val="0F1115"/>
          <w:shd w:val="clear" w:color="auto" w:fill="FFFFFF"/>
        </w:rPr>
        <w:t>大气折射虽可导致光线弯曲和天体视位置偏移（尤其近天顶方向），但鉴于本文设定的卫星最小仰角为</w:t>
      </w:r>
      <w:r>
        <w:rPr>
          <w:rFonts w:ascii="Segoe UI" w:hAnsi="Segoe UI" w:cs="Segoe UI"/>
          <w:color w:val="0F1115"/>
          <w:shd w:val="clear" w:color="auto" w:fill="FFFFFF"/>
        </w:rPr>
        <w:t>10°</w:t>
      </w:r>
      <w:r>
        <w:rPr>
          <w:rFonts w:ascii="Segoe UI" w:hAnsi="Segoe UI" w:cs="Segoe UI"/>
          <w:color w:val="0F1115"/>
          <w:shd w:val="clear" w:color="auto" w:fill="FFFFFF"/>
        </w:rPr>
        <w:t>，其实际影响很弱，光程拉伸系数接近</w:t>
      </w:r>
      <w:r>
        <w:rPr>
          <w:rFonts w:ascii="Segoe UI" w:hAnsi="Segoe UI" w:cs="Segoe UI"/>
          <w:color w:val="0F1115"/>
          <w:shd w:val="clear" w:color="auto" w:fill="FFFFFF"/>
        </w:rPr>
        <w:t>1</w:t>
      </w:r>
      <w:r>
        <w:rPr>
          <w:rFonts w:ascii="Segoe UI" w:hAnsi="Segoe UI" w:cs="Segoe UI"/>
          <w:color w:val="0F1115"/>
          <w:shd w:val="clear" w:color="auto" w:fill="FFFFFF"/>
        </w:rPr>
        <w:t>，故在后续分析中不予考虑</w:t>
      </w:r>
      <w:r>
        <w:rPr>
          <w:rFonts w:ascii="Segoe UI" w:hAnsi="Segoe UI" w:cs="Segoe UI"/>
          <w:color w:val="0F1115"/>
          <w:shd w:val="clear" w:color="auto" w:fill="FFFFFF"/>
        </w:rPr>
        <w:t>[14]</w:t>
      </w:r>
      <w:r>
        <w:rPr>
          <w:rFonts w:ascii="Segoe UI" w:hAnsi="Segoe UI" w:cs="Segoe UI"/>
          <w:color w:val="0F1115"/>
          <w:shd w:val="clear" w:color="auto" w:fill="FFFFFF"/>
        </w:rPr>
        <w:t>。本文的研究场景设定为下行链路、夏季弱湍流条件，旨在重点考察云层对星地</w:t>
      </w:r>
      <w:r>
        <w:rPr>
          <w:rFonts w:ascii="Segoe UI" w:hAnsi="Segoe UI" w:cs="Segoe UI"/>
          <w:color w:val="0F1115"/>
          <w:shd w:val="clear" w:color="auto" w:fill="FFFFFF"/>
        </w:rPr>
        <w:t>CV-QKD</w:t>
      </w:r>
      <w:r>
        <w:rPr>
          <w:rFonts w:ascii="Segoe UI" w:hAnsi="Segoe UI" w:cs="Segoe UI"/>
          <w:color w:val="0F1115"/>
          <w:shd w:val="clear" w:color="auto" w:fill="FFFFFF"/>
        </w:rPr>
        <w:t>系统的效应。</w:t>
      </w:r>
    </w:p>
    <w:p w14:paraId="34AA12D3" w14:textId="77777777" w:rsidR="008E062A" w:rsidRDefault="00072D76">
      <w:pPr>
        <w:textAlignment w:val="center"/>
        <w:rPr>
          <w:b/>
          <w:bCs/>
          <w:szCs w:val="21"/>
        </w:rPr>
      </w:pPr>
      <w:r>
        <w:rPr>
          <w:rFonts w:hint="eastAsia"/>
          <w:b/>
          <w:bCs/>
          <w:szCs w:val="21"/>
        </w:rPr>
        <w:t>1.2</w:t>
      </w:r>
      <w:r>
        <w:rPr>
          <w:rFonts w:hint="eastAsia"/>
          <w:b/>
          <w:bCs/>
          <w:szCs w:val="21"/>
        </w:rPr>
        <w:t>云层信道下</w:t>
      </w:r>
      <w:r>
        <w:rPr>
          <w:b/>
          <w:bCs/>
          <w:szCs w:val="21"/>
        </w:rPr>
        <w:t>CV-QKD</w:t>
      </w:r>
      <w:r>
        <w:rPr>
          <w:rFonts w:hint="eastAsia"/>
          <w:b/>
          <w:bCs/>
          <w:szCs w:val="21"/>
        </w:rPr>
        <w:t>渐进极限密钥率</w:t>
      </w:r>
    </w:p>
    <w:p w14:paraId="54530164" w14:textId="77777777" w:rsidR="008E062A" w:rsidRDefault="00072D76">
      <w:pPr>
        <w:spacing w:line="317" w:lineRule="exact"/>
        <w:ind w:firstLineChars="200" w:firstLine="420"/>
      </w:pPr>
      <w:r>
        <w:rPr>
          <w:rFonts w:hint="eastAsia"/>
        </w:rPr>
        <w:lastRenderedPageBreak/>
        <w:t>在集体攻击与反向协商条件下，当卫星运行至特定时段时，系统密钥率的渐近值可由式（</w:t>
      </w:r>
      <w:r>
        <w:rPr>
          <w:rFonts w:hint="eastAsia"/>
        </w:rPr>
        <w:t>2</w:t>
      </w:r>
      <w:r>
        <w:rPr>
          <w:rFonts w:hint="eastAsia"/>
        </w:rPr>
        <w:t>）所示的</w:t>
      </w:r>
      <w:r>
        <w:rPr>
          <w:rFonts w:hint="eastAsia"/>
        </w:rPr>
        <w:t>Devetak-Winter</w:t>
      </w:r>
      <w:r>
        <w:rPr>
          <w:rFonts w:hint="eastAsia"/>
        </w:rPr>
        <w:t>边界给出</w:t>
      </w:r>
      <w:r>
        <w:rPr>
          <w:rFonts w:hint="eastAsia"/>
        </w:rPr>
        <w:t>[15]</w:t>
      </w:r>
      <w:r>
        <w:rPr>
          <w:rFonts w:hint="eastAsia"/>
        </w:rPr>
        <w:t>。</w:t>
      </w:r>
    </w:p>
    <w:p w14:paraId="0F6948AD" w14:textId="77777777" w:rsidR="008E062A" w:rsidRDefault="00072D76">
      <w:pPr>
        <w:pStyle w:val="af8"/>
        <w:ind w:firstLine="420"/>
      </w:pPr>
      <w:r>
        <w:rPr>
          <w:iCs/>
        </w:rPr>
        <w:tab/>
      </w:r>
      <w:r>
        <w:rPr>
          <w:position w:val="-4"/>
        </w:rPr>
        <w:object w:dxaOrig="1336" w:dyaOrig="357" w14:anchorId="19E5AB97">
          <v:shape id="_x0000_i1032" type="#_x0000_t75" style="width:66.8pt;height:17.85pt" o:ole="">
            <v:imagedata r:id="rId22" o:title=""/>
          </v:shape>
          <o:OLEObject Type="Embed" ProgID="Equation.DSMT4" ShapeID="_x0000_i1032" DrawAspect="Content" ObjectID="_1832493406" r:id="rId23"/>
        </w:object>
      </w:r>
      <w:r>
        <w:rPr>
          <w:rFonts w:hint="eastAsia"/>
          <w:sz w:val="28"/>
          <w:szCs w:val="28"/>
        </w:rPr>
        <w:t xml:space="preserve"> </w:t>
      </w:r>
      <w:r>
        <w:tab/>
      </w:r>
      <w:r>
        <w:rPr>
          <w:rFonts w:hint="eastAsia"/>
        </w:rPr>
        <w:t>(2)</w:t>
      </w:r>
    </w:p>
    <w:p w14:paraId="5515C52D" w14:textId="77777777" w:rsidR="008E062A" w:rsidRDefault="00072D76">
      <w:pPr>
        <w:spacing w:line="317" w:lineRule="exact"/>
        <w:textAlignment w:val="center"/>
      </w:pPr>
      <w:r>
        <w:rPr>
          <w:rFonts w:hint="eastAsia"/>
        </w:rPr>
        <w:t>其中</w:t>
      </w:r>
      <w:r>
        <w:t>，</w:t>
      </w:r>
      <w:r>
        <w:object w:dxaOrig="288" w:dyaOrig="288" w14:anchorId="2BB99A19">
          <v:shape id="_x0000_i1033" type="#_x0000_t75" style="width:14.4pt;height:14.4pt" o:ole="">
            <v:imagedata r:id="rId24" o:title=""/>
          </v:shape>
          <o:OLEObject Type="Embed" ProgID="Equation.DSMT4" ShapeID="_x0000_i1033" DrawAspect="Content" ObjectID="_1832493407" r:id="rId25"/>
        </w:object>
      </w:r>
      <w:r>
        <w:t>为通信双方</w:t>
      </w:r>
      <w:r>
        <w:t>Alice</w:t>
      </w:r>
      <w:r>
        <w:t>和</w:t>
      </w:r>
      <w:r>
        <w:t>Bob</w:t>
      </w:r>
      <w:r>
        <w:t>之间的互信息</w:t>
      </w:r>
      <w:r>
        <w:rPr>
          <w:rFonts w:hint="eastAsia"/>
          <w:vertAlign w:val="superscript"/>
        </w:rPr>
        <w:t>[16]</w:t>
      </w:r>
      <w:r>
        <w:t>，</w:t>
      </w:r>
      <w:r>
        <w:object w:dxaOrig="207" w:dyaOrig="311" w14:anchorId="7F9EC228">
          <v:shape id="_x0000_i1034" type="#_x0000_t75" style="width:10.35pt;height:15.55pt" o:ole="">
            <v:imagedata r:id="rId26" o:title=""/>
          </v:shape>
          <o:OLEObject Type="Embed" ProgID="Equation.DSMT4" ShapeID="_x0000_i1034" DrawAspect="Content" ObjectID="_1832493408" r:id="rId27"/>
        </w:object>
      </w:r>
      <w:r>
        <w:rPr>
          <w:iCs/>
        </w:rPr>
        <w:t>为反向协调效率，</w:t>
      </w:r>
      <w:r>
        <w:rPr>
          <w:position w:val="2"/>
        </w:rPr>
        <w:object w:dxaOrig="357" w:dyaOrig="357" w14:anchorId="60ED9D04">
          <v:shape id="_x0000_i1035" type="#_x0000_t75" style="width:17.85pt;height:17.85pt" o:ole="">
            <v:imagedata r:id="rId28" o:title=""/>
          </v:shape>
          <o:OLEObject Type="Embed" ProgID="Equation.DSMT4" ShapeID="_x0000_i1035" DrawAspect="Content" ObjectID="_1832493409" r:id="rId29"/>
        </w:object>
      </w:r>
      <w:r>
        <w:t>为窃听者</w:t>
      </w:r>
      <w:r>
        <w:t>Eve</w:t>
      </w:r>
      <w:r>
        <w:t>能从接收方</w:t>
      </w:r>
      <w:r>
        <w:t>Bob</w:t>
      </w:r>
      <w:r>
        <w:t>处得到的基于</w:t>
      </w:r>
      <w:r>
        <w:t>Holevo</w:t>
      </w:r>
      <w:r>
        <w:t>界的最大互信息。</w:t>
      </w:r>
    </w:p>
    <w:p w14:paraId="0D9F7A8B" w14:textId="77777777" w:rsidR="008E062A" w:rsidRDefault="00072D76">
      <w:pPr>
        <w:snapToGrid w:val="0"/>
        <w:spacing w:line="317" w:lineRule="exact"/>
        <w:ind w:firstLineChars="200" w:firstLine="420"/>
        <w:textAlignment w:val="center"/>
      </w:pPr>
      <w:r>
        <w:t>对于星地高斯调制</w:t>
      </w:r>
      <w:r>
        <w:rPr>
          <w:bCs/>
          <w:szCs w:val="21"/>
        </w:rPr>
        <w:t>CV-QKD</w:t>
      </w:r>
      <w:r>
        <w:t>协议</w:t>
      </w:r>
      <w:r>
        <w:rPr>
          <w:rFonts w:hint="eastAsia"/>
        </w:rPr>
        <w:t>而言</w:t>
      </w:r>
      <w:r>
        <w:t>，</w:t>
      </w:r>
      <w:r>
        <w:rPr>
          <w:position w:val="-2"/>
        </w:rPr>
        <w:object w:dxaOrig="357" w:dyaOrig="357" w14:anchorId="245D5552">
          <v:shape id="_x0000_i1036" type="#_x0000_t75" style="width:17.85pt;height:17.85pt" o:ole="">
            <v:imagedata r:id="rId24" o:title=""/>
          </v:shape>
          <o:OLEObject Type="Embed" ProgID="Equation.DSMT4" ShapeID="_x0000_i1036" DrawAspect="Content" ObjectID="_1832493410" r:id="rId30"/>
        </w:object>
      </w:r>
      <w:r>
        <w:t>和</w:t>
      </w:r>
      <w:r>
        <w:rPr>
          <w:position w:val="2"/>
        </w:rPr>
        <w:object w:dxaOrig="357" w:dyaOrig="357" w14:anchorId="7636C5BD">
          <v:shape id="_x0000_i1037" type="#_x0000_t75" style="width:17.85pt;height:17.85pt" o:ole="">
            <v:imagedata r:id="rId31" o:title=""/>
          </v:shape>
          <o:OLEObject Type="Embed" ProgID="Equation.DSMT4" ShapeID="_x0000_i1037" DrawAspect="Content" ObjectID="_1832493411" r:id="rId32"/>
        </w:object>
      </w:r>
      <w:r>
        <w:rPr>
          <w:rFonts w:hint="eastAsia"/>
        </w:rPr>
        <w:t>的表</w:t>
      </w:r>
      <w:r>
        <w:t>达式分别如式（</w:t>
      </w:r>
      <w:r>
        <w:rPr>
          <w:rFonts w:hint="eastAsia"/>
        </w:rPr>
        <w:t>3</w:t>
      </w:r>
      <w:r>
        <w:rPr>
          <w:rFonts w:hint="eastAsia"/>
        </w:rPr>
        <w:t>）</w:t>
      </w:r>
      <w:r>
        <w:t>、式（</w:t>
      </w:r>
      <w:r>
        <w:rPr>
          <w:rFonts w:hint="eastAsia"/>
        </w:rPr>
        <w:t>4</w:t>
      </w:r>
      <w:r>
        <w:rPr>
          <w:rFonts w:hint="eastAsia"/>
        </w:rPr>
        <w:t>）</w:t>
      </w:r>
      <w:r>
        <w:t>所示。</w:t>
      </w:r>
    </w:p>
    <w:p w14:paraId="3A2CEAE8" w14:textId="77777777" w:rsidR="008E062A" w:rsidRDefault="00072D76">
      <w:pPr>
        <w:pStyle w:val="af8"/>
        <w:ind w:firstLine="560"/>
        <w:rPr>
          <w:rFonts w:ascii="宋体"/>
        </w:rPr>
      </w:pPr>
      <w:r>
        <w:rPr>
          <w:rFonts w:ascii="宋体"/>
          <w:sz w:val="28"/>
          <w:szCs w:val="28"/>
        </w:rPr>
        <w:tab/>
      </w:r>
      <w:r>
        <w:rPr>
          <w:rFonts w:ascii="宋体"/>
          <w:position w:val="-4"/>
        </w:rPr>
        <w:object w:dxaOrig="1740" w:dyaOrig="691" w14:anchorId="0785E127">
          <v:shape id="_x0000_i1038" type="#_x0000_t75" style="width:87pt;height:34.55pt" o:ole="">
            <v:imagedata r:id="rId33" o:title=""/>
          </v:shape>
          <o:OLEObject Type="Embed" ProgID="Equation.DSMT4" ShapeID="_x0000_i1038" DrawAspect="Content" ObjectID="_1832493412" r:id="rId34"/>
        </w:object>
      </w:r>
      <w:r>
        <w:rPr>
          <w:rFonts w:ascii="宋体" w:hint="eastAsia"/>
          <w:sz w:val="28"/>
          <w:szCs w:val="28"/>
        </w:rPr>
        <w:t xml:space="preserve"> </w:t>
      </w:r>
      <w:r>
        <w:rPr>
          <w:rFonts w:ascii="宋体"/>
          <w:sz w:val="28"/>
          <w:szCs w:val="28"/>
        </w:rPr>
        <w:tab/>
      </w:r>
      <w:r>
        <w:rPr>
          <w:rFonts w:hint="eastAsia"/>
          <w:szCs w:val="21"/>
        </w:rPr>
        <w:t>(3)</w:t>
      </w:r>
    </w:p>
    <w:p w14:paraId="77E901AA" w14:textId="77777777" w:rsidR="008E062A" w:rsidRDefault="00072D76">
      <w:pPr>
        <w:pStyle w:val="af8"/>
        <w:ind w:firstLine="560"/>
        <w:rPr>
          <w:szCs w:val="21"/>
        </w:rPr>
      </w:pPr>
      <w:r>
        <w:rPr>
          <w:rFonts w:ascii="宋体"/>
          <w:sz w:val="28"/>
        </w:rPr>
        <w:tab/>
      </w:r>
      <w:r>
        <w:rPr>
          <w:position w:val="-4"/>
        </w:rPr>
        <w:object w:dxaOrig="3594" w:dyaOrig="703" w14:anchorId="63124A46">
          <v:shape id="_x0000_i1039" type="#_x0000_t75" style="width:179.7pt;height:35.15pt" o:ole="">
            <v:imagedata r:id="rId35" o:title=""/>
          </v:shape>
          <o:OLEObject Type="Embed" ProgID="Equation.DSMT4" ShapeID="_x0000_i1039" DrawAspect="Content" ObjectID="_1832493413" r:id="rId36"/>
        </w:object>
      </w:r>
      <w:r>
        <w:rPr>
          <w:rFonts w:ascii="宋体" w:hint="eastAsia"/>
        </w:rPr>
        <w:t xml:space="preserve"> </w:t>
      </w:r>
      <w:r>
        <w:rPr>
          <w:rFonts w:ascii="宋体"/>
        </w:rPr>
        <w:tab/>
      </w:r>
      <w:r>
        <w:rPr>
          <w:rFonts w:hint="eastAsia"/>
          <w:szCs w:val="21"/>
        </w:rPr>
        <w:t>(4)</w:t>
      </w:r>
    </w:p>
    <w:p w14:paraId="40F1D34A" w14:textId="77777777" w:rsidR="008E062A" w:rsidRDefault="00072D76">
      <w:pPr>
        <w:snapToGrid w:val="0"/>
        <w:spacing w:line="240" w:lineRule="auto"/>
        <w:contextualSpacing/>
        <w:rPr>
          <w:iCs/>
          <w:szCs w:val="21"/>
        </w:rPr>
      </w:pPr>
      <w:r>
        <w:t>其中，</w:t>
      </w:r>
      <w:r>
        <w:rPr>
          <w:position w:val="-14"/>
        </w:rPr>
        <w:object w:dxaOrig="3479" w:dyaOrig="392" w14:anchorId="693DAB94">
          <v:shape id="_x0000_i1040" type="#_x0000_t75" style="width:173.95pt;height:19.6pt" o:ole="">
            <v:imagedata r:id="rId37" o:title=""/>
          </v:shape>
          <o:OLEObject Type="Embed" ProgID="Equation.DSMT4" ShapeID="_x0000_i1040" DrawAspect="Content" ObjectID="_1832493414" r:id="rId38"/>
        </w:object>
      </w:r>
      <w:r>
        <w:t>；</w:t>
      </w:r>
      <w:r>
        <w:rPr>
          <w:position w:val="-30"/>
        </w:rPr>
        <w:object w:dxaOrig="1486" w:dyaOrig="588" w14:anchorId="3429A653">
          <v:shape id="_x0000_i1041" type="#_x0000_t75" style="width:74.3pt;height:29.4pt" o:ole="">
            <v:imagedata r:id="rId39" o:title=""/>
          </v:shape>
          <o:OLEObject Type="Embed" ProgID="Equation.DSMT4" ShapeID="_x0000_i1041" DrawAspect="Content" ObjectID="_1832493415" r:id="rId40"/>
        </w:object>
      </w:r>
      <w:r>
        <w:rPr>
          <w:szCs w:val="21"/>
        </w:rPr>
        <w:t>为系统在集体攻击下的总噪声</w:t>
      </w:r>
      <w:r>
        <w:rPr>
          <w:rFonts w:hint="eastAsia"/>
          <w:bCs/>
          <w:szCs w:val="21"/>
          <w:vertAlign w:val="superscript"/>
        </w:rPr>
        <w:t>[17]</w:t>
      </w:r>
      <w:r>
        <w:rPr>
          <w:szCs w:val="21"/>
        </w:rPr>
        <w:t>，</w:t>
      </w:r>
      <w:r>
        <w:rPr>
          <w:position w:val="-14"/>
        </w:rPr>
        <w:object w:dxaOrig="2212" w:dyaOrig="403" w14:anchorId="26F6B381">
          <v:shape id="_x0000_i1042" type="#_x0000_t75" style="width:110.6pt;height:20.15pt" o:ole="">
            <v:imagedata r:id="rId41" o:title=""/>
          </v:shape>
          <o:OLEObject Type="Embed" ProgID="Equation.DSMT4" ShapeID="_x0000_i1042" DrawAspect="Content" ObjectID="_1832493416" r:id="rId42"/>
        </w:object>
      </w:r>
      <w:r>
        <w:rPr>
          <w:szCs w:val="21"/>
        </w:rPr>
        <w:t>为系统探测噪声，</w:t>
      </w:r>
      <w:r>
        <w:rPr>
          <w:position w:val="-10"/>
        </w:rPr>
        <w:object w:dxaOrig="207" w:dyaOrig="311" w14:anchorId="6B3E4F7A">
          <v:shape id="_x0000_i1043" type="#_x0000_t75" style="width:10.35pt;height:15.55pt" o:ole="">
            <v:imagedata r:id="rId43" o:title=""/>
          </v:shape>
          <o:OLEObject Type="Embed" ProgID="Equation.DSMT4" ShapeID="_x0000_i1043" DrawAspect="Content" ObjectID="_1832493417" r:id="rId44"/>
        </w:object>
      </w:r>
      <w:r>
        <w:rPr>
          <w:szCs w:val="21"/>
        </w:rPr>
        <w:t>为探测效率，</w:t>
      </w:r>
      <w:r>
        <w:rPr>
          <w:position w:val="-6"/>
        </w:rPr>
        <w:object w:dxaOrig="242" w:dyaOrig="276" w14:anchorId="0814AFFD">
          <v:shape id="_x0000_i1044" type="#_x0000_t75" style="width:12.1pt;height:13.8pt" o:ole="">
            <v:imagedata r:id="rId45" o:title=""/>
          </v:shape>
          <o:OLEObject Type="Embed" ProgID="Equation.DSMT4" ShapeID="_x0000_i1044" DrawAspect="Content" ObjectID="_1832493418" r:id="rId46"/>
        </w:object>
      </w:r>
      <w:r>
        <w:rPr>
          <w:szCs w:val="21"/>
        </w:rPr>
        <w:t>为电子噪声</w:t>
      </w:r>
      <w:r>
        <w:rPr>
          <w:iCs/>
          <w:szCs w:val="21"/>
        </w:rPr>
        <w:t>；</w:t>
      </w:r>
      <w:r>
        <w:rPr>
          <w:position w:val="-30"/>
        </w:rPr>
        <w:object w:dxaOrig="1440" w:dyaOrig="634" w14:anchorId="69331DB6">
          <v:shape id="_x0000_i1045" type="#_x0000_t75" style="width:1in;height:31.7pt" o:ole="">
            <v:imagedata r:id="rId47" o:title=""/>
          </v:shape>
          <o:OLEObject Type="Embed" ProgID="Equation.DSMT4" ShapeID="_x0000_i1045" DrawAspect="Content" ObjectID="_1832493419" r:id="rId48"/>
        </w:object>
      </w:r>
      <w:r>
        <w:rPr>
          <w:iCs/>
          <w:szCs w:val="21"/>
        </w:rPr>
        <w:t>为信道噪声；</w:t>
      </w:r>
      <w:r>
        <w:rPr>
          <w:position w:val="-12"/>
        </w:rPr>
        <w:object w:dxaOrig="311" w:dyaOrig="415" w14:anchorId="6679F981">
          <v:shape id="_x0000_i1046" type="#_x0000_t75" style="width:15.55pt;height:20.75pt" o:ole="">
            <v:imagedata r:id="rId49" o:title=""/>
          </v:shape>
          <o:OLEObject Type="Embed" ProgID="Equation.DSMT4" ShapeID="_x0000_i1046" DrawAspect="Content" ObjectID="_1832493420" r:id="rId50"/>
        </w:object>
      </w:r>
      <w:r>
        <w:rPr>
          <w:iCs/>
          <w:szCs w:val="21"/>
        </w:rPr>
        <w:t>(i=1,2,3,4,5)</w:t>
      </w:r>
      <w:r>
        <w:rPr>
          <w:iCs/>
          <w:szCs w:val="21"/>
        </w:rPr>
        <w:t>为协方差矩阵</w:t>
      </w:r>
      <w:r>
        <w:rPr>
          <w:position w:val="-10"/>
        </w:rPr>
        <w:object w:dxaOrig="346" w:dyaOrig="346" w14:anchorId="655708A1">
          <v:shape id="_x0000_i1047" type="#_x0000_t75" style="width:17.3pt;height:17.3pt" o:ole="">
            <v:imagedata r:id="rId51" o:title=""/>
          </v:shape>
          <o:OLEObject Type="Embed" ProgID="Equation.DSMT4" ShapeID="_x0000_i1047" DrawAspect="Content" ObjectID="_1832493421" r:id="rId52"/>
        </w:object>
      </w:r>
      <w:r>
        <w:rPr>
          <w:iCs/>
          <w:szCs w:val="21"/>
        </w:rPr>
        <w:t>的辛特征值</w:t>
      </w:r>
      <w:r>
        <w:rPr>
          <w:szCs w:val="21"/>
          <w:vertAlign w:val="superscript"/>
        </w:rPr>
        <w:t>[18]</w:t>
      </w:r>
      <w:r>
        <w:rPr>
          <w:iCs/>
          <w:szCs w:val="21"/>
        </w:rPr>
        <w:t>。</w:t>
      </w:r>
    </w:p>
    <w:p w14:paraId="179DE494" w14:textId="77777777" w:rsidR="008E062A" w:rsidRDefault="00072D76">
      <w:pPr>
        <w:spacing w:line="317" w:lineRule="exact"/>
        <w:ind w:firstLineChars="200" w:firstLine="420"/>
        <w:textAlignment w:val="center"/>
      </w:pPr>
      <w:r>
        <w:t>星地通信中传输系数</w:t>
      </w:r>
      <w:r>
        <w:rPr>
          <w:rFonts w:hint="eastAsia"/>
          <w:i/>
        </w:rPr>
        <w:t>T</w:t>
      </w:r>
      <w:r>
        <w:rPr>
          <w:vertAlign w:val="superscript"/>
        </w:rPr>
        <w:t>2</w:t>
      </w:r>
      <w:r>
        <w:rPr>
          <w:rFonts w:hint="eastAsia"/>
        </w:rPr>
        <w:t>与</w:t>
      </w:r>
      <w:r>
        <w:t>协议的总噪声</w:t>
      </w:r>
      <w:r>
        <w:object w:dxaOrig="357" w:dyaOrig="357" w14:anchorId="6A311D98">
          <v:shape id="_x0000_i1048" type="#_x0000_t75" style="width:17.85pt;height:17.85pt" o:ole="">
            <v:imagedata r:id="rId53" o:title=""/>
          </v:shape>
          <o:OLEObject Type="Embed" ProgID="Equation.DSMT4" ShapeID="_x0000_i1048" DrawAspect="Content" ObjectID="_1832493422" r:id="rId54"/>
        </w:object>
      </w:r>
      <w:r>
        <w:rPr>
          <w:rFonts w:hint="eastAsia"/>
        </w:rPr>
        <w:t>相</w:t>
      </w:r>
      <w:r>
        <w:t>等，即</w:t>
      </w:r>
      <w:r>
        <w:object w:dxaOrig="806" w:dyaOrig="415" w14:anchorId="3C105DE3">
          <v:shape id="_x0000_i1049" type="#_x0000_t75" style="width:40.3pt;height:20.75pt" o:ole="">
            <v:imagedata r:id="rId55" o:title=""/>
          </v:shape>
          <o:OLEObject Type="Embed" ProgID="Equation.DSMT4" ShapeID="_x0000_i1049" DrawAspect="Content" ObjectID="_1832493423" r:id="rId56"/>
        </w:object>
      </w:r>
      <w:r>
        <w:rPr>
          <w:rFonts w:hint="eastAsia"/>
        </w:rPr>
        <w:t>。</w:t>
      </w:r>
      <w:r>
        <w:t>若只考虑大气消光、通信系统固定损耗影响下，协议的总噪声</w:t>
      </w:r>
      <w:r>
        <w:rPr>
          <w:rFonts w:hint="eastAsia"/>
        </w:rPr>
        <w:t>表达</w:t>
      </w:r>
      <w:r>
        <w:t>式为</w:t>
      </w:r>
    </w:p>
    <w:p w14:paraId="1F56CB46" w14:textId="77777777" w:rsidR="008E062A" w:rsidRDefault="00072D76">
      <w:pPr>
        <w:pStyle w:val="af8"/>
        <w:ind w:firstLine="420"/>
      </w:pPr>
      <w:r>
        <w:rPr>
          <w:rFonts w:ascii="宋体"/>
        </w:rPr>
        <w:tab/>
      </w:r>
      <w:r>
        <w:rPr>
          <w:position w:val="-4"/>
        </w:rPr>
        <w:object w:dxaOrig="2880" w:dyaOrig="806" w14:anchorId="21C88EC7">
          <v:shape id="_x0000_i1050" type="#_x0000_t75" style="width:2in;height:40.3pt" o:ole="">
            <v:imagedata r:id="rId57" o:title=""/>
          </v:shape>
          <o:OLEObject Type="Embed" ProgID="Equation.DSMT4" ShapeID="_x0000_i1050" DrawAspect="Content" ObjectID="_1832493424" r:id="rId58"/>
        </w:object>
      </w:r>
      <w:r>
        <w:rPr>
          <w:rFonts w:ascii="宋体"/>
        </w:rPr>
        <w:tab/>
      </w:r>
      <w:r>
        <w:t>(</w:t>
      </w:r>
      <w:r>
        <w:rPr>
          <w:rFonts w:hint="eastAsia"/>
        </w:rPr>
        <w:t>5)</w:t>
      </w:r>
    </w:p>
    <w:p w14:paraId="3B40F535" w14:textId="77777777" w:rsidR="008E062A" w:rsidRDefault="00072D76">
      <w:pPr>
        <w:pStyle w:val="af8"/>
        <w:spacing w:line="240" w:lineRule="auto"/>
        <w:ind w:firstLineChars="0" w:firstLine="0"/>
        <w:jc w:val="both"/>
      </w:pPr>
      <w:r>
        <w:t>其中</w:t>
      </w:r>
      <w:r>
        <w:rPr>
          <w:rFonts w:hint="eastAsia"/>
        </w:rPr>
        <w:t>，</w:t>
      </w:r>
      <w:r>
        <w:rPr>
          <w:position w:val="-2"/>
        </w:rPr>
        <w:object w:dxaOrig="276" w:dyaOrig="357" w14:anchorId="2AF983CC">
          <v:shape id="_x0000_i1051" type="#_x0000_t75" style="width:13.8pt;height:17.85pt" o:ole="">
            <v:imagedata r:id="rId59" o:title=""/>
          </v:shape>
          <o:OLEObject Type="Embed" ProgID="Equation.DSMT4" ShapeID="_x0000_i1051" DrawAspect="Content" ObjectID="_1832493425" r:id="rId60"/>
        </w:object>
      </w:r>
      <w:r>
        <w:t>为</w:t>
      </w:r>
      <w:r>
        <w:rPr>
          <w:bCs/>
          <w:szCs w:val="21"/>
        </w:rPr>
        <w:t>光束展宽</w:t>
      </w:r>
      <w:r>
        <w:rPr>
          <w:rFonts w:hint="eastAsia"/>
          <w:bCs/>
          <w:szCs w:val="21"/>
          <w:vertAlign w:val="superscript"/>
        </w:rPr>
        <w:t>[19]</w:t>
      </w:r>
      <w:r>
        <w:rPr>
          <w:bCs/>
          <w:szCs w:val="21"/>
        </w:rPr>
        <w:t>影响下接收端的传输效率</w:t>
      </w:r>
      <w:r>
        <w:rPr>
          <w:rFonts w:hint="eastAsia"/>
          <w:bCs/>
          <w:szCs w:val="21"/>
        </w:rPr>
        <w:t>，</w:t>
      </w:r>
      <w:r>
        <w:object w:dxaOrig="415" w:dyaOrig="415" w14:anchorId="024DBEA8">
          <v:shape id="_x0000_i1052" type="#_x0000_t75" style="width:20.75pt;height:20.75pt" o:ole="">
            <v:imagedata r:id="rId61" o:title=""/>
          </v:shape>
          <o:OLEObject Type="Embed" ProgID="Equation.DSMT4" ShapeID="_x0000_i1052" DrawAspect="Content" ObjectID="_1832493426" r:id="rId62"/>
        </w:object>
      </w:r>
      <w:r>
        <w:rPr>
          <w:bCs/>
          <w:szCs w:val="21"/>
        </w:rPr>
        <w:t>为系统的固定损耗</w:t>
      </w:r>
      <w:r>
        <w:rPr>
          <w:bCs/>
          <w:szCs w:val="21"/>
        </w:rPr>
        <w:t>(</w:t>
      </w:r>
      <w:r>
        <w:rPr>
          <w:bCs/>
          <w:szCs w:val="21"/>
        </w:rPr>
        <w:t>探测损耗和电子器件热噪声</w:t>
      </w:r>
      <w:r>
        <w:rPr>
          <w:bCs/>
          <w:szCs w:val="21"/>
        </w:rPr>
        <w:t>)</w:t>
      </w:r>
      <w:r>
        <w:rPr>
          <w:rFonts w:hint="eastAsia"/>
          <w:bCs/>
          <w:szCs w:val="21"/>
        </w:rPr>
        <w:t>，</w:t>
      </w:r>
      <w:r>
        <w:rPr>
          <w:position w:val="-4"/>
        </w:rPr>
        <w:object w:dxaOrig="207" w:dyaOrig="207" w14:anchorId="77F3FEC1">
          <v:shape id="_x0000_i1053" type="#_x0000_t75" style="width:10.35pt;height:10.35pt" o:ole="">
            <v:imagedata r:id="rId63" o:title=""/>
          </v:shape>
          <o:OLEObject Type="Embed" ProgID="Equation.DSMT4" ShapeID="_x0000_i1053" DrawAspect="Content" ObjectID="_1832493427" r:id="rId64"/>
        </w:object>
      </w:r>
      <w:r>
        <w:rPr>
          <w:bCs/>
          <w:szCs w:val="21"/>
        </w:rPr>
        <w:t>和</w:t>
      </w:r>
      <w:r>
        <w:rPr>
          <w:position w:val="-4"/>
        </w:rPr>
        <w:object w:dxaOrig="196" w:dyaOrig="276" w14:anchorId="65D5A929">
          <v:shape id="_x0000_i1054" type="#_x0000_t75" style="width:9.8pt;height:13.8pt" o:ole="">
            <v:imagedata r:id="rId65" o:title=""/>
          </v:shape>
          <o:OLEObject Type="Embed" ProgID="Equation.DSMT4" ShapeID="_x0000_i1054" DrawAspect="Content" ObjectID="_1832493428" r:id="rId66"/>
        </w:object>
      </w:r>
      <w:r>
        <w:rPr>
          <w:bCs/>
          <w:szCs w:val="21"/>
        </w:rPr>
        <w:t>分别为形状参数和尺度参数</w:t>
      </w:r>
      <w:r>
        <w:rPr>
          <w:rFonts w:hint="eastAsia"/>
          <w:bCs/>
          <w:szCs w:val="21"/>
          <w:vertAlign w:val="superscript"/>
        </w:rPr>
        <w:t>[14]</w:t>
      </w:r>
      <w:r>
        <w:rPr>
          <w:rFonts w:hint="eastAsia"/>
          <w:bCs/>
          <w:szCs w:val="21"/>
        </w:rPr>
        <w:t>，</w:t>
      </w:r>
      <w:r>
        <w:object w:dxaOrig="1233" w:dyaOrig="415" w14:anchorId="3F9A3365">
          <v:shape id="_x0000_i1055" type="#_x0000_t75" style="width:61.65pt;height:20.75pt" o:ole="">
            <v:imagedata r:id="rId67" o:title=""/>
          </v:shape>
          <o:OLEObject Type="Embed" ProgID="Equation.DSMT4" ShapeID="_x0000_i1055" DrawAspect="Content" ObjectID="_1832493429" r:id="rId68"/>
        </w:object>
      </w:r>
      <w:r>
        <w:t>为大气消光影响的透射率，其中</w:t>
      </w:r>
      <w:r>
        <w:object w:dxaOrig="449" w:dyaOrig="357" w14:anchorId="78391B5B">
          <v:shape id="_x0000_i1056" type="#_x0000_t75" style="width:22.45pt;height:17.85pt" o:ole="">
            <v:imagedata r:id="rId69" o:title=""/>
          </v:shape>
          <o:OLEObject Type="Embed" ProgID="Equation.DSMT4" ShapeID="_x0000_i1056" DrawAspect="Content" ObjectID="_1832493430" r:id="rId70"/>
        </w:object>
      </w:r>
      <w:r>
        <w:t>为积分函数</w:t>
      </w:r>
      <w:r>
        <w:rPr>
          <w:rFonts w:hint="eastAsia"/>
        </w:rPr>
        <w:t>，</w:t>
      </w:r>
      <w:r>
        <w:t>其表达式为</w:t>
      </w:r>
    </w:p>
    <w:p w14:paraId="414C3757" w14:textId="77777777" w:rsidR="008E062A" w:rsidRDefault="00072D76">
      <w:pPr>
        <w:pStyle w:val="af8"/>
        <w:ind w:firstLine="420"/>
        <w:jc w:val="both"/>
      </w:pPr>
      <w:r>
        <w:tab/>
      </w:r>
      <w:r>
        <w:rPr>
          <w:position w:val="-4"/>
        </w:rPr>
        <w:object w:dxaOrig="2673" w:dyaOrig="714" w14:anchorId="3BE9603C">
          <v:shape id="_x0000_i1057" type="#_x0000_t75" style="width:133.65pt;height:35.7pt" o:ole="">
            <v:imagedata r:id="rId71" o:title=""/>
          </v:shape>
          <o:OLEObject Type="Embed" ProgID="Equation.DSMT4" ShapeID="_x0000_i1057" DrawAspect="Content" ObjectID="_1832493431" r:id="rId72"/>
        </w:object>
      </w:r>
      <w:r>
        <w:tab/>
      </w:r>
      <w:r>
        <w:rPr>
          <w:rFonts w:hint="eastAsia"/>
        </w:rPr>
        <w:t>(6)</w:t>
      </w:r>
    </w:p>
    <w:p w14:paraId="186809BE" w14:textId="77777777" w:rsidR="008E062A" w:rsidRDefault="00072D76">
      <w:pPr>
        <w:pStyle w:val="af8"/>
        <w:spacing w:line="317" w:lineRule="exact"/>
        <w:ind w:firstLineChars="0" w:firstLine="0"/>
        <w:jc w:val="both"/>
        <w:rPr>
          <w:iCs/>
        </w:rPr>
      </w:pPr>
      <w:r>
        <w:t>其中，</w:t>
      </w:r>
      <w:r>
        <w:rPr>
          <w:position w:val="-2"/>
        </w:rPr>
        <w:object w:dxaOrig="438" w:dyaOrig="346" w14:anchorId="394CDDF5">
          <v:shape id="_x0000_i1058" type="#_x0000_t75" style="width:21.9pt;height:17.3pt" o:ole="">
            <v:imagedata r:id="rId73" o:title=""/>
          </v:shape>
          <o:OLEObject Type="Embed" ProgID="Equation.DSMT4" ShapeID="_x0000_i1058" DrawAspect="Content" ObjectID="_1832493432" r:id="rId74"/>
        </w:object>
      </w:r>
      <w:r>
        <w:t>为卫星与地面站距离，</w:t>
      </w:r>
      <m:oMath>
        <m:sSub>
          <m:sSubPr>
            <m:ctrlPr>
              <w:rPr>
                <w:rFonts w:ascii="Cambria Math" w:hAnsi="Cambria Math"/>
                <w:i/>
              </w:rPr>
            </m:ctrlPr>
          </m:sSubPr>
          <m:e>
            <m:r>
              <w:rPr>
                <w:rFonts w:ascii="Cambria Math"/>
              </w:rPr>
              <m:t>h</m:t>
            </m:r>
          </m:e>
          <m:sub>
            <m:r>
              <w:rPr>
                <w:rFonts w:ascii="Cambria Math"/>
              </w:rPr>
              <m:t>0</m:t>
            </m:r>
          </m:sub>
        </m:sSub>
        <m:r>
          <w:rPr>
            <w:rFonts w:ascii="Cambria Math"/>
          </w:rPr>
          <m:t>=</m:t>
        </m:r>
      </m:oMath>
      <w:r>
        <w:rPr>
          <w:rFonts w:hint="eastAsia"/>
        </w:rPr>
        <w:t>6</w:t>
      </w:r>
      <w:r>
        <w:t xml:space="preserve"> </w:t>
      </w:r>
      <w:r>
        <w:rPr>
          <w:rFonts w:hint="eastAsia"/>
        </w:rPr>
        <w:t>600</w:t>
      </w:r>
      <w:r>
        <w:t xml:space="preserve"> </w:t>
      </w:r>
      <w:r>
        <w:rPr>
          <w:rFonts w:hint="eastAsia"/>
        </w:rPr>
        <w:t>m</w:t>
      </w:r>
      <w:r>
        <w:rPr>
          <w:iCs/>
        </w:rPr>
        <w:t>为尺度高度。</w:t>
      </w:r>
      <w:r>
        <w:rPr>
          <w:rFonts w:hint="eastAsia"/>
        </w:rPr>
        <w:t>假设每个时间间隔内信道的统计特性保持不变。在此间隔内，由于空间信道的随机波动，其传输效率表现出与固定效率光纤信道不同的起伏特性。该空间信道的协方差矩阵</w:t>
      </w:r>
      <w:r>
        <w:rPr>
          <w:rFonts w:hint="eastAsia"/>
        </w:rPr>
        <w:t>[20]</w:t>
      </w:r>
      <w:r>
        <w:rPr>
          <w:rFonts w:hint="eastAsia"/>
        </w:rPr>
        <w:t>如式（</w:t>
      </w:r>
      <w:r>
        <w:rPr>
          <w:rFonts w:hint="eastAsia"/>
        </w:rPr>
        <w:t>7</w:t>
      </w:r>
      <w:r>
        <w:rPr>
          <w:rFonts w:hint="eastAsia"/>
        </w:rPr>
        <w:t>）所示。</w:t>
      </w:r>
    </w:p>
    <w:p w14:paraId="6A4A86C7" w14:textId="77777777" w:rsidR="008E062A" w:rsidRDefault="00072D76">
      <w:pPr>
        <w:pStyle w:val="af8"/>
        <w:ind w:firstLine="560"/>
        <w:rPr>
          <w:szCs w:val="21"/>
        </w:rPr>
      </w:pPr>
      <w:r>
        <w:rPr>
          <w:rFonts w:ascii="宋体"/>
          <w:sz w:val="28"/>
          <w:szCs w:val="28"/>
        </w:rPr>
        <w:tab/>
      </w:r>
      <w:r>
        <w:rPr>
          <w:rFonts w:ascii="宋体"/>
          <w:position w:val="-4"/>
        </w:rPr>
        <w:object w:dxaOrig="5046" w:dyaOrig="841" w14:anchorId="5A2BC7AD">
          <v:shape id="_x0000_i1059" type="#_x0000_t75" style="width:252.3pt;height:42.05pt" o:ole="">
            <v:imagedata r:id="rId75" o:title=""/>
          </v:shape>
          <o:OLEObject Type="Embed" ProgID="Equation.DSMT4" ShapeID="_x0000_i1059" DrawAspect="Content" ObjectID="_1832493433" r:id="rId76"/>
        </w:object>
      </w:r>
      <m:oMath>
        <m:r>
          <w:rPr>
            <w:rFonts w:ascii="Cambria Math" w:hAnsi="Cambria Math"/>
            <w:sz w:val="28"/>
            <w:szCs w:val="21"/>
          </w:rPr>
          <m:t xml:space="preserve"> </m:t>
        </m:r>
      </m:oMath>
      <w:r>
        <w:rPr>
          <w:rFonts w:ascii="宋体"/>
          <w:sz w:val="28"/>
          <w:szCs w:val="28"/>
        </w:rPr>
        <w:tab/>
      </w:r>
      <w:r>
        <w:rPr>
          <w:rFonts w:hint="eastAsia"/>
          <w:szCs w:val="21"/>
        </w:rPr>
        <w:t>(7)</w:t>
      </w:r>
    </w:p>
    <w:p w14:paraId="48216871" w14:textId="77777777" w:rsidR="008E062A" w:rsidRDefault="00072D76">
      <w:pPr>
        <w:snapToGrid w:val="0"/>
        <w:spacing w:line="240" w:lineRule="auto"/>
        <w:textAlignment w:val="center"/>
      </w:pPr>
      <w:r>
        <w:t>其中</w:t>
      </w:r>
      <w:r>
        <w:rPr>
          <w:rFonts w:hint="eastAsia"/>
        </w:rPr>
        <w:t>，</w:t>
      </w:r>
      <w:r>
        <w:rPr>
          <w:position w:val="-4"/>
        </w:rPr>
        <w:object w:dxaOrig="507" w:dyaOrig="346" w14:anchorId="33031A0E">
          <v:shape id="_x0000_i1060" type="#_x0000_t75" style="width:25.35pt;height:17.3pt" o:ole="">
            <v:imagedata r:id="rId77" o:title=""/>
          </v:shape>
          <o:OLEObject Type="Embed" ProgID="Equation.DSMT4" ShapeID="_x0000_i1060" DrawAspect="Content" ObjectID="_1832493434" r:id="rId78"/>
        </w:object>
      </w:r>
      <w:r>
        <w:t>为传输系数的期望，期望值可以将信道的起伏传输效率近似为固定传输效率；</w:t>
      </w:r>
      <w:r>
        <w:rPr>
          <w:position w:val="-4"/>
        </w:rPr>
        <w:object w:dxaOrig="196" w:dyaOrig="288" w14:anchorId="1443702F">
          <v:shape id="_x0000_i1061" type="#_x0000_t75" style="width:9.8pt;height:14.4pt" o:ole="">
            <v:imagedata r:id="rId79" o:title=""/>
          </v:shape>
          <o:OLEObject Type="Embed" ProgID="Equation.DSMT4" ShapeID="_x0000_i1061" DrawAspect="Content" ObjectID="_1832493435" r:id="rId80"/>
        </w:object>
      </w:r>
      <w:r>
        <w:t>=</w:t>
      </w:r>
      <w:r>
        <w:rPr>
          <w:position w:val="-4"/>
        </w:rPr>
        <w:object w:dxaOrig="541" w:dyaOrig="357" w14:anchorId="4748E444">
          <v:shape id="_x0000_i1062" type="#_x0000_t75" style="width:27.05pt;height:17.85pt" o:ole="">
            <v:imagedata r:id="rId81" o:title=""/>
          </v:shape>
          <o:OLEObject Type="Embed" ProgID="Equation.DSMT4" ShapeID="_x0000_i1062" DrawAspect="Content" ObjectID="_1832493436" r:id="rId82"/>
        </w:object>
      </w:r>
      <w:r>
        <w:t>，</w:t>
      </w:r>
      <w:r>
        <w:rPr>
          <w:position w:val="-4"/>
        </w:rPr>
        <w:object w:dxaOrig="311" w:dyaOrig="415" w14:anchorId="224872B3">
          <v:shape id="_x0000_i1063" type="#_x0000_t75" style="width:15.55pt;height:20.75pt" o:ole="">
            <v:imagedata r:id="rId83" o:title=""/>
          </v:shape>
          <o:OLEObject Type="Embed" ProgID="Equation.DSMT4" ShapeID="_x0000_i1063" DrawAspect="Content" ObjectID="_1832493437" r:id="rId84"/>
        </w:object>
      </w:r>
      <w:r>
        <w:t>为制备方差；</w:t>
      </w:r>
      <w:r>
        <w:rPr>
          <w:position w:val="-4"/>
        </w:rPr>
        <w:object w:dxaOrig="3548" w:dyaOrig="737" w14:anchorId="1F76B16D">
          <v:shape id="_x0000_i1064" type="#_x0000_t75" style="width:177.4pt;height:36.85pt" o:ole="">
            <v:imagedata r:id="rId85" o:title=""/>
          </v:shape>
          <o:OLEObject Type="Embed" ProgID="Equation.DSMT4" ShapeID="_x0000_i1064" DrawAspect="Content" ObjectID="_1832493438" r:id="rId86"/>
        </w:object>
      </w:r>
      <w:r>
        <w:t>为</w:t>
      </w:r>
      <w:r>
        <w:t>Eve</w:t>
      </w:r>
      <w:r>
        <w:t>在窃听时引入的信道过量噪声；</w:t>
      </w:r>
      <w:r>
        <w:rPr>
          <w:position w:val="-4"/>
        </w:rPr>
        <w:object w:dxaOrig="265" w:dyaOrig="346" w14:anchorId="4D30F873">
          <v:shape id="_x0000_i1065" type="#_x0000_t75" style="width:13.25pt;height:17.3pt" o:ole="">
            <v:imagedata r:id="rId87" o:title=""/>
          </v:shape>
          <o:OLEObject Type="Embed" ProgID="Equation.DSMT4" ShapeID="_x0000_i1065" DrawAspect="Content" ObjectID="_1832493439" r:id="rId88"/>
        </w:object>
      </w:r>
      <w:r>
        <w:t>为对角线元素全为</w:t>
      </w:r>
      <w:r>
        <w:t>1</w:t>
      </w:r>
      <w:r>
        <w:t>的对角矩阵，</w:t>
      </w:r>
      <w:r>
        <w:object w:dxaOrig="265" w:dyaOrig="357" w14:anchorId="6064F887">
          <v:shape id="_x0000_i1066" type="#_x0000_t75" style="width:13.25pt;height:17.85pt" o:ole="">
            <v:imagedata r:id="rId89" o:title=""/>
          </v:shape>
          <o:OLEObject Type="Embed" ProgID="Equation.DSMT4" ShapeID="_x0000_i1066" DrawAspect="Content" ObjectID="_1832493440" r:id="rId90"/>
        </w:object>
      </w:r>
      <w:r>
        <w:t>为对角线元素为</w:t>
      </w:r>
      <w:r>
        <w:t>1</w:t>
      </w:r>
      <w:r>
        <w:t>和</w:t>
      </w:r>
      <w:r>
        <w:t>-1</w:t>
      </w:r>
      <w:r>
        <w:t>的对角矩阵；</w:t>
      </w:r>
      <w:r>
        <w:lastRenderedPageBreak/>
        <w:t>等效噪声方差</w:t>
      </w:r>
      <w:r>
        <w:rPr>
          <w:position w:val="-4"/>
        </w:rPr>
        <w:object w:dxaOrig="1382" w:dyaOrig="392" w14:anchorId="12D9D150">
          <v:shape id="_x0000_i1067" type="#_x0000_t75" style="width:69.1pt;height:19.6pt" o:ole="">
            <v:imagedata r:id="rId91" o:title=""/>
          </v:shape>
          <o:OLEObject Type="Embed" ProgID="Equation.DSMT4" ShapeID="_x0000_i1067" DrawAspect="Content" ObjectID="_1832493441" r:id="rId92"/>
        </w:object>
      </w:r>
      <w:r>
        <w:t>。</w:t>
      </w:r>
    </w:p>
    <w:p w14:paraId="132F1483" w14:textId="77777777" w:rsidR="008E062A" w:rsidRDefault="00072D76">
      <w:pPr>
        <w:snapToGrid w:val="0"/>
        <w:spacing w:line="240" w:lineRule="auto"/>
        <w:ind w:firstLineChars="200" w:firstLine="420"/>
        <w:rPr>
          <w:iCs/>
        </w:rPr>
      </w:pPr>
      <w:r>
        <w:rPr>
          <w:iCs/>
        </w:rPr>
        <w:t>在实际传输过程中，考虑到云层对信道透射率的影响为</w:t>
      </w:r>
      <w:r>
        <w:rPr>
          <w:position w:val="-6"/>
        </w:rPr>
        <w:object w:dxaOrig="438" w:dyaOrig="334" w14:anchorId="1932F792">
          <v:shape id="_x0000_i1068" type="#_x0000_t75" style="width:21.9pt;height:16.7pt" o:ole="">
            <v:imagedata r:id="rId93" o:title=""/>
          </v:shape>
          <o:OLEObject Type="Embed" ProgID="Equation.DSMT4" ShapeID="_x0000_i1068" DrawAspect="Content" ObjectID="_1832493442" r:id="rId94"/>
        </w:object>
      </w:r>
      <w:r>
        <w:rPr>
          <w:iCs/>
        </w:rPr>
        <w:t>，可以推导出在云层存在的情况下，协议总</w:t>
      </w:r>
      <w:r>
        <w:rPr>
          <w:rFonts w:hint="eastAsia"/>
          <w:iCs/>
        </w:rPr>
        <w:t>噪声</w:t>
      </w:r>
      <w:r>
        <w:rPr>
          <w:iCs/>
        </w:rPr>
        <w:t>为</w:t>
      </w:r>
    </w:p>
    <w:p w14:paraId="274132C3" w14:textId="77777777" w:rsidR="008E062A" w:rsidRDefault="00072D76">
      <w:pPr>
        <w:pStyle w:val="af8"/>
        <w:ind w:firstLine="420"/>
        <w:rPr>
          <w:rFonts w:ascii="宋体"/>
          <w:bCs/>
          <w:szCs w:val="21"/>
        </w:rPr>
      </w:pPr>
      <w:r>
        <w:rPr>
          <w:rFonts w:ascii="宋体"/>
        </w:rPr>
        <w:tab/>
      </w:r>
      <w:r>
        <w:rPr>
          <w:position w:val="-4"/>
        </w:rPr>
        <w:object w:dxaOrig="3387" w:dyaOrig="806" w14:anchorId="1B8AED75">
          <v:shape id="_x0000_i1069" type="#_x0000_t75" style="width:169.35pt;height:40.3pt" o:ole="">
            <v:imagedata r:id="rId95" o:title=""/>
          </v:shape>
          <o:OLEObject Type="Embed" ProgID="Equation.DSMT4" ShapeID="_x0000_i1069" DrawAspect="Content" ObjectID="_1832493443" r:id="rId96"/>
        </w:object>
      </w:r>
      <w:r>
        <w:rPr>
          <w:rFonts w:ascii="宋体" w:hint="eastAsia"/>
        </w:rPr>
        <w:t xml:space="preserve"> </w:t>
      </w:r>
      <w:r>
        <w:rPr>
          <w:rFonts w:ascii="宋体"/>
        </w:rPr>
        <w:tab/>
      </w:r>
      <w:r>
        <w:rPr>
          <w:rFonts w:hint="eastAsia"/>
        </w:rPr>
        <w:t>(8)</w:t>
      </w:r>
    </w:p>
    <w:p w14:paraId="22452FD8" w14:textId="77777777" w:rsidR="008E062A" w:rsidRDefault="00072D76">
      <w:pPr>
        <w:snapToGrid w:val="0"/>
        <w:spacing w:line="240" w:lineRule="auto"/>
        <w:rPr>
          <w:szCs w:val="21"/>
        </w:rPr>
      </w:pPr>
      <w:r>
        <w:rPr>
          <w:rFonts w:hint="eastAsia"/>
        </w:rPr>
        <w:t>其中</w:t>
      </w:r>
      <w:r>
        <w:t>，</w:t>
      </w:r>
      <w:r>
        <w:rPr>
          <w:position w:val="-12"/>
        </w:rPr>
        <w:object w:dxaOrig="242" w:dyaOrig="357" w14:anchorId="0C9422DA">
          <v:shape id="_x0000_i1070" type="#_x0000_t75" style="width:12.1pt;height:17.85pt" o:ole="">
            <v:imagedata r:id="rId97" o:title=""/>
          </v:shape>
          <o:OLEObject Type="Embed" ProgID="Equation.DSMT4" ShapeID="_x0000_i1070" DrawAspect="Content" ObjectID="_1832493444" r:id="rId98"/>
        </w:object>
      </w:r>
      <w:r>
        <w:rPr>
          <w:rFonts w:hint="eastAsia"/>
        </w:rPr>
        <w:t>为系统中偏转半径与总噪声的关系公式</w:t>
      </w:r>
      <w:r>
        <w:rPr>
          <w:rFonts w:hint="eastAsia"/>
          <w:szCs w:val="21"/>
        </w:rPr>
        <w:t>，其表</w:t>
      </w:r>
      <w:r>
        <w:rPr>
          <w:szCs w:val="21"/>
        </w:rPr>
        <w:t>达</w:t>
      </w:r>
      <w:r>
        <w:rPr>
          <w:rFonts w:hint="eastAsia"/>
          <w:szCs w:val="21"/>
        </w:rPr>
        <w:t>式</w:t>
      </w:r>
      <w:r>
        <w:rPr>
          <w:rFonts w:hint="eastAsia"/>
          <w:szCs w:val="21"/>
          <w:vertAlign w:val="superscript"/>
        </w:rPr>
        <w:t>[21]</w:t>
      </w:r>
      <w:r>
        <w:rPr>
          <w:rFonts w:hint="eastAsia"/>
          <w:szCs w:val="21"/>
        </w:rPr>
        <w:t>为</w:t>
      </w:r>
    </w:p>
    <w:p w14:paraId="534948FC" w14:textId="77777777" w:rsidR="008E062A" w:rsidRDefault="00072D76">
      <w:pPr>
        <w:pStyle w:val="af8"/>
        <w:ind w:firstLine="560"/>
        <w:rPr>
          <w:szCs w:val="21"/>
        </w:rPr>
      </w:pPr>
      <w:r>
        <w:rPr>
          <w:sz w:val="28"/>
        </w:rPr>
        <w:tab/>
      </w:r>
      <w:r>
        <w:rPr>
          <w:position w:val="-4"/>
        </w:rPr>
        <w:object w:dxaOrig="2742" w:dyaOrig="876" w14:anchorId="5537DBEB">
          <v:shape id="_x0000_i1071" type="#_x0000_t75" style="width:137.1pt;height:43.8pt" o:ole="">
            <v:imagedata r:id="rId99" o:title=""/>
          </v:shape>
          <o:OLEObject Type="Embed" ProgID="Equation.DSMT4" ShapeID="_x0000_i1071" DrawAspect="Content" ObjectID="_1832493445" r:id="rId100"/>
        </w:object>
      </w:r>
      <w:r>
        <w:rPr>
          <w:rFonts w:hint="eastAsia"/>
          <w:sz w:val="28"/>
        </w:rPr>
        <w:t xml:space="preserve"> </w:t>
      </w:r>
      <w:r>
        <w:rPr>
          <w:sz w:val="28"/>
        </w:rPr>
        <w:tab/>
      </w:r>
      <w:r>
        <w:rPr>
          <w:rFonts w:hint="eastAsia"/>
          <w:szCs w:val="21"/>
        </w:rPr>
        <w:t>(9)</w:t>
      </w:r>
    </w:p>
    <w:p w14:paraId="5250AE8A" w14:textId="77777777" w:rsidR="008E062A" w:rsidRDefault="00072D76">
      <w:pPr>
        <w:spacing w:line="317" w:lineRule="exact"/>
        <w:ind w:firstLineChars="200" w:firstLine="420"/>
      </w:pPr>
      <w:r>
        <w:rPr>
          <w:rFonts w:ascii="Segoe UI" w:hAnsi="Segoe UI" w:cs="Segoe UI"/>
          <w:color w:val="0F1115"/>
          <w:shd w:val="clear" w:color="auto" w:fill="FFFFFF"/>
        </w:rPr>
        <w:t>云层对光的衰减主要归因于云内水滴或冰晶的存在。云层的物理状态可由高度、数密度、液态水含量、云滴尺寸及其分布等参数描述。考虑到冰晶引起的衰减通常远低于液态水滴，在本文的建模中，云层物质含量被简化为单分散云滴分布。参考数据</w:t>
      </w:r>
      <w:r>
        <w:rPr>
          <w:rFonts w:ascii="Segoe UI" w:hAnsi="Segoe UI" w:cs="Segoe UI"/>
          <w:color w:val="0F1115"/>
          <w:shd w:val="clear" w:color="auto" w:fill="FFFFFF"/>
        </w:rPr>
        <w:t>[22]</w:t>
      </w:r>
      <w:r>
        <w:rPr>
          <w:rFonts w:ascii="Segoe UI" w:hAnsi="Segoe UI" w:cs="Segoe UI"/>
          <w:color w:val="0F1115"/>
          <w:shd w:val="clear" w:color="auto" w:fill="FFFFFF"/>
        </w:rPr>
        <w:t>显示，云滴数密度一般</w:t>
      </w:r>
      <w:r>
        <w:rPr>
          <w:rFonts w:ascii="Segoe UI" w:hAnsi="Segoe UI" w:cs="Segoe UI" w:hint="eastAsia"/>
          <w:color w:val="0F1115"/>
          <w:shd w:val="clear" w:color="auto" w:fill="FFFFFF"/>
        </w:rPr>
        <w:t>为</w:t>
      </w:r>
      <w:r>
        <w:rPr>
          <w:rFonts w:ascii="Segoe UI" w:hAnsi="Segoe UI" w:cs="Segoe UI"/>
          <w:color w:val="0F1115"/>
          <w:shd w:val="clear" w:color="auto" w:fill="FFFFFF"/>
        </w:rPr>
        <w:t>100</w:t>
      </w:r>
      <w:r>
        <w:rPr>
          <w:rFonts w:ascii="Segoe UI" w:hAnsi="Segoe UI" w:cs="Segoe UI" w:hint="eastAsia"/>
          <w:color w:val="0F1115"/>
          <w:shd w:val="clear" w:color="auto" w:fill="FFFFFF"/>
        </w:rPr>
        <w:t>~</w:t>
      </w:r>
      <w:r>
        <w:rPr>
          <w:rFonts w:ascii="Segoe UI" w:hAnsi="Segoe UI" w:cs="Segoe UI"/>
          <w:color w:val="0F1115"/>
          <w:shd w:val="clear" w:color="auto" w:fill="FFFFFF"/>
        </w:rPr>
        <w:t xml:space="preserve">500 </w:t>
      </w:r>
      <w:r>
        <w:rPr>
          <w:rFonts w:ascii="Segoe UI" w:hAnsi="Segoe UI" w:cs="Segoe UI"/>
          <w:color w:val="0F1115"/>
          <w:shd w:val="clear" w:color="auto" w:fill="FFFFFF"/>
        </w:rPr>
        <w:t>颗</w:t>
      </w:r>
      <w:r>
        <w:rPr>
          <w:rFonts w:ascii="Segoe UI" w:hAnsi="Segoe UI" w:cs="Segoe UI"/>
          <w:color w:val="0F1115"/>
          <w:shd w:val="clear" w:color="auto" w:fill="FFFFFF"/>
        </w:rPr>
        <w:t>/m³</w:t>
      </w:r>
      <w:r>
        <w:rPr>
          <w:rFonts w:ascii="Segoe UI" w:hAnsi="Segoe UI" w:cs="Segoe UI"/>
          <w:color w:val="0F1115"/>
          <w:shd w:val="clear" w:color="auto" w:fill="FFFFFF"/>
        </w:rPr>
        <w:t>，而液态水含量的变化范围很大，从薄卷云的约</w:t>
      </w:r>
      <w:r>
        <w:rPr>
          <w:rFonts w:ascii="Segoe UI" w:hAnsi="Segoe UI" w:cs="Segoe UI"/>
          <w:color w:val="0F1115"/>
          <w:shd w:val="clear" w:color="auto" w:fill="FFFFFF"/>
        </w:rPr>
        <w:t>3.128×10⁻⁴ g/m³</w:t>
      </w:r>
      <w:r>
        <w:rPr>
          <w:rFonts w:ascii="Segoe UI" w:hAnsi="Segoe UI" w:cs="Segoe UI"/>
          <w:color w:val="0F1115"/>
          <w:shd w:val="clear" w:color="auto" w:fill="FFFFFF"/>
        </w:rPr>
        <w:t>到厚积云的</w:t>
      </w:r>
      <w:r>
        <w:rPr>
          <w:rFonts w:ascii="Segoe UI" w:hAnsi="Segoe UI" w:cs="Segoe UI"/>
          <w:color w:val="0F1115"/>
          <w:shd w:val="clear" w:color="auto" w:fill="FFFFFF"/>
        </w:rPr>
        <w:t>1 g/m³</w:t>
      </w:r>
      <w:r>
        <w:rPr>
          <w:rFonts w:ascii="Segoe UI" w:hAnsi="Segoe UI" w:cs="Segoe UI"/>
          <w:color w:val="0F1115"/>
          <w:shd w:val="clear" w:color="auto" w:fill="FFFFFF"/>
        </w:rPr>
        <w:t>。</w:t>
      </w:r>
      <w:r>
        <w:rPr>
          <w:rFonts w:hint="eastAsia"/>
        </w:rPr>
        <w:t>云层的云滴数浓度</w:t>
      </w:r>
      <w:r>
        <w:rPr>
          <w:position w:val="-6"/>
        </w:rPr>
        <w:object w:dxaOrig="380" w:dyaOrig="276" w14:anchorId="045E379A">
          <v:shape id="_x0000_i1072" type="#_x0000_t75" style="width:19pt;height:13.8pt" o:ole="">
            <v:imagedata r:id="rId101" o:title=""/>
          </v:shape>
          <o:OLEObject Type="Embed" ProgID="Equation.DSMT4" ShapeID="_x0000_i1072" DrawAspect="Content" ObjectID="_1832493446" r:id="rId102"/>
        </w:object>
      </w:r>
      <w:r>
        <w:rPr>
          <w:rFonts w:hint="eastAsia"/>
        </w:rPr>
        <w:t>表达</w:t>
      </w:r>
      <w:r>
        <w:t>式为</w:t>
      </w:r>
    </w:p>
    <w:p w14:paraId="7C44B62D" w14:textId="77777777" w:rsidR="008E062A" w:rsidRDefault="00072D76">
      <w:pPr>
        <w:pStyle w:val="af8"/>
        <w:ind w:firstLine="560"/>
      </w:pPr>
      <w:r>
        <w:rPr>
          <w:sz w:val="28"/>
        </w:rPr>
        <w:tab/>
      </w:r>
      <w:r>
        <w:rPr>
          <w:position w:val="-4"/>
        </w:rPr>
        <w:object w:dxaOrig="1740" w:dyaOrig="806" w14:anchorId="5A844DB7">
          <v:shape id="_x0000_i1073" type="#_x0000_t75" style="width:87pt;height:40.3pt" o:ole="">
            <v:imagedata r:id="rId103" o:title=""/>
          </v:shape>
          <o:OLEObject Type="Embed" ProgID="Equation.DSMT4" ShapeID="_x0000_i1073" DrawAspect="Content" ObjectID="_1832493447" r:id="rId104"/>
        </w:object>
      </w:r>
      <w:r>
        <w:rPr>
          <w:rFonts w:hint="eastAsia"/>
        </w:rPr>
        <w:t xml:space="preserve"> </w:t>
      </w:r>
      <w:r>
        <w:tab/>
      </w:r>
      <w:r>
        <w:rPr>
          <w:rFonts w:hint="eastAsia"/>
        </w:rPr>
        <w:t xml:space="preserve">   (10)</w:t>
      </w:r>
    </w:p>
    <w:p w14:paraId="79A82B45" w14:textId="77777777" w:rsidR="008E062A" w:rsidRDefault="00072D76">
      <w:pPr>
        <w:spacing w:line="317" w:lineRule="exact"/>
      </w:pPr>
      <w:r>
        <w:t>其中</w:t>
      </w:r>
      <w:r>
        <w:rPr>
          <w:rFonts w:hint="eastAsia"/>
        </w:rPr>
        <w:t>，</w:t>
      </w:r>
      <m:oMath>
        <m:r>
          <w:rPr>
            <w:rFonts w:ascii="Cambria Math" w:hAnsi="Cambria Math"/>
          </w:rPr>
          <m:t>ρ</m:t>
        </m:r>
      </m:oMath>
      <w:r>
        <w:t>=1g/m</w:t>
      </w:r>
      <w:r>
        <w:rPr>
          <w:vertAlign w:val="superscript"/>
        </w:rPr>
        <w:t>3</w:t>
      </w:r>
      <w:r>
        <w:t>是液态水的密度，</w:t>
      </w:r>
      <w:r>
        <w:rPr>
          <w:position w:val="-12"/>
        </w:rPr>
        <w:object w:dxaOrig="230" w:dyaOrig="357" w14:anchorId="464EB4AB">
          <v:shape id="_x0000_i1074" type="#_x0000_t75" style="width:11.5pt;height:17.85pt" o:ole="">
            <v:imagedata r:id="rId105" o:title=""/>
          </v:shape>
          <o:OLEObject Type="Embed" ProgID="Equation.DSMT4" ShapeID="_x0000_i1074" DrawAspect="Content" ObjectID="_1832493448" r:id="rId106"/>
        </w:object>
      </w:r>
      <w:r>
        <w:t>是云滴半径的平均值，</w:t>
      </w:r>
      <w:r>
        <w:rPr>
          <w:rFonts w:hint="eastAsia"/>
        </w:rPr>
        <w:t>考虑</w:t>
      </w:r>
      <w:r>
        <w:t>云层由小尺寸水滴构成，其光学特性在散射和吸收机制上</w:t>
      </w:r>
      <w:r>
        <w:rPr>
          <w:rFonts w:hint="eastAsia"/>
        </w:rPr>
        <w:t>与雾</w:t>
      </w:r>
      <w:r>
        <w:t>具有相似性。采用液态水含量与可见度范围的经验模型</w:t>
      </w:r>
      <w:r>
        <w:rPr>
          <w:rFonts w:hint="eastAsia"/>
          <w:vertAlign w:val="superscript"/>
        </w:rPr>
        <w:t>[23]</w:t>
      </w:r>
      <w:r>
        <w:rPr>
          <w:rFonts w:hint="eastAsia"/>
        </w:rPr>
        <w:t>，</w:t>
      </w:r>
      <w:r>
        <w:t>用于计算不同云层信道下产生的衰减。</w:t>
      </w:r>
      <w:r>
        <w:rPr>
          <w:rFonts w:hint="eastAsia"/>
        </w:rPr>
        <w:t>通过云层的平均液态水含量</w:t>
      </w:r>
      <w:r>
        <w:rPr>
          <w:position w:val="-6"/>
        </w:rPr>
        <w:object w:dxaOrig="253" w:dyaOrig="253" w14:anchorId="765765A9">
          <v:shape id="_x0000_i1075" type="#_x0000_t75" style="width:12.65pt;height:12.65pt" o:ole="">
            <v:imagedata r:id="rId107" o:title=""/>
          </v:shape>
          <o:OLEObject Type="Embed" ProgID="Equation.DSMT4" ShapeID="_x0000_i1075" DrawAspect="Content" ObjectID="_1832493449" r:id="rId108"/>
        </w:object>
      </w:r>
      <w:r>
        <w:t>(</w:t>
      </w:r>
      <w:r>
        <w:rPr>
          <w:rFonts w:hint="eastAsia"/>
        </w:rPr>
        <w:t>g/m</w:t>
      </w:r>
      <w:r>
        <w:rPr>
          <w:rFonts w:hint="eastAsia"/>
          <w:vertAlign w:val="superscript"/>
        </w:rPr>
        <w:t>3</w:t>
      </w:r>
      <w:r>
        <w:t>)</w:t>
      </w:r>
      <w:r>
        <w:rPr>
          <w:rFonts w:hint="eastAsia"/>
        </w:rPr>
        <w:t>和云滴数浓度</w:t>
      </w:r>
      <w:r>
        <w:rPr>
          <w:position w:val="-6"/>
        </w:rPr>
        <w:object w:dxaOrig="346" w:dyaOrig="265" w14:anchorId="5E99496C">
          <v:shape id="_x0000_i1076" type="#_x0000_t75" style="width:17.3pt;height:13.25pt" o:ole="">
            <v:imagedata r:id="rId109" o:title=""/>
          </v:shape>
          <o:OLEObject Type="Embed" ProgID="Equation.DSMT4" ShapeID="_x0000_i1076" DrawAspect="Content" ObjectID="_1832493450" r:id="rId110"/>
        </w:object>
      </w:r>
      <w:r>
        <w:rPr>
          <w:rFonts w:hint="eastAsia"/>
        </w:rPr>
        <w:t>(cm</w:t>
      </w:r>
      <w:r>
        <w:rPr>
          <w:rFonts w:hint="eastAsia"/>
          <w:vertAlign w:val="superscript"/>
        </w:rPr>
        <w:t>-3</w:t>
      </w:r>
      <w:r>
        <w:rPr>
          <w:rFonts w:hint="eastAsia"/>
        </w:rPr>
        <w:t>)</w:t>
      </w:r>
      <w:r>
        <w:rPr>
          <w:szCs w:val="21"/>
          <w:vertAlign w:val="superscript"/>
        </w:rPr>
        <w:t>[24]</w:t>
      </w:r>
      <w:r>
        <w:rPr>
          <w:rFonts w:hint="eastAsia"/>
        </w:rPr>
        <w:t>可以得到云层能见度为</w:t>
      </w:r>
    </w:p>
    <w:p w14:paraId="60FBEC8D" w14:textId="77777777" w:rsidR="008E062A" w:rsidRDefault="00072D76">
      <w:pPr>
        <w:pStyle w:val="af8"/>
        <w:ind w:firstLine="420"/>
      </w:pPr>
      <w:r>
        <w:tab/>
      </w:r>
      <w:r>
        <w:rPr>
          <w:position w:val="-4"/>
        </w:rPr>
        <w:object w:dxaOrig="1647" w:dyaOrig="691" w14:anchorId="35459235">
          <v:shape id="_x0000_i1077" type="#_x0000_t75" style="width:82.35pt;height:34.55pt" o:ole="">
            <v:imagedata r:id="rId111" o:title=""/>
          </v:shape>
          <o:OLEObject Type="Embed" ProgID="Equation.DSMT4" ShapeID="_x0000_i1077" DrawAspect="Content" ObjectID="_1832493451" r:id="rId112"/>
        </w:object>
      </w:r>
      <w:r>
        <w:rPr>
          <w:rFonts w:hint="eastAsia"/>
        </w:rPr>
        <w:t xml:space="preserve"> </w:t>
      </w:r>
      <w:r>
        <w:tab/>
      </w:r>
      <w:r>
        <w:rPr>
          <w:rFonts w:hint="eastAsia"/>
        </w:rPr>
        <w:t>(11)</w:t>
      </w:r>
    </w:p>
    <w:p w14:paraId="3BAEBFD4" w14:textId="77777777" w:rsidR="008E062A" w:rsidRDefault="00072D76">
      <w:pPr>
        <w:spacing w:line="240" w:lineRule="auto"/>
        <w:ind w:firstLineChars="200" w:firstLine="420"/>
      </w:pPr>
      <w:r>
        <w:t>米氏散射</w:t>
      </w:r>
      <w:r>
        <w:rPr>
          <w:rFonts w:hint="eastAsia"/>
        </w:rPr>
        <w:t>主要</w:t>
      </w:r>
      <w:r>
        <w:t>发生在与</w:t>
      </w:r>
      <w:r>
        <w:rPr>
          <w:rFonts w:hint="eastAsia"/>
        </w:rPr>
        <w:t>星地通信</w:t>
      </w:r>
      <w:r>
        <w:t>光束波长大小相似的粒子上，如气溶胶粒子、雾</w:t>
      </w:r>
      <w:r>
        <w:rPr>
          <w:rFonts w:hint="eastAsia"/>
        </w:rPr>
        <w:t>、霾和云层中的云滴颗粒，</w:t>
      </w:r>
      <w:r>
        <w:t>通过</w:t>
      </w:r>
      <w:r>
        <w:t>Kim</w:t>
      </w:r>
      <w:r>
        <w:rPr>
          <w:rFonts w:hint="eastAsia"/>
        </w:rPr>
        <w:t>模型</w:t>
      </w:r>
      <w:r>
        <w:rPr>
          <w:rFonts w:hint="eastAsia"/>
          <w:szCs w:val="21"/>
          <w:vertAlign w:val="superscript"/>
        </w:rPr>
        <w:t>[25]</w:t>
      </w:r>
      <w:r>
        <w:rPr>
          <w:rFonts w:hint="eastAsia"/>
        </w:rPr>
        <w:t>得出米氏散射的衰减公式为</w:t>
      </w:r>
    </w:p>
    <w:p w14:paraId="3A02035B" w14:textId="77777777" w:rsidR="008E062A" w:rsidRDefault="00072D76">
      <w:pPr>
        <w:pStyle w:val="af8"/>
        <w:ind w:firstLine="420"/>
      </w:pPr>
      <w:r>
        <w:rPr>
          <w:rFonts w:hint="eastAsia"/>
          <w:iCs/>
        </w:rPr>
        <w:t xml:space="preserve">                   </w:t>
      </w:r>
      <w:r>
        <w:rPr>
          <w:iCs/>
        </w:rPr>
        <w:tab/>
      </w:r>
      <w:r>
        <w:rPr>
          <w:position w:val="-4"/>
        </w:rPr>
        <w:object w:dxaOrig="2845" w:dyaOrig="749" w14:anchorId="5B9896EF">
          <v:shape id="_x0000_i1078" type="#_x0000_t75" style="width:142.25pt;height:37.45pt" o:ole="">
            <v:imagedata r:id="rId113" o:title=""/>
          </v:shape>
          <o:OLEObject Type="Embed" ProgID="Equation.DSMT4" ShapeID="_x0000_i1078" DrawAspect="Content" ObjectID="_1832493452" r:id="rId114"/>
        </w:object>
      </w:r>
      <w:r>
        <w:tab/>
      </w:r>
      <w:r>
        <w:rPr>
          <w:rFonts w:hint="eastAsia"/>
        </w:rPr>
        <w:t>(12)</w:t>
      </w:r>
    </w:p>
    <w:p w14:paraId="23ABF6A3" w14:textId="77777777" w:rsidR="008E062A" w:rsidRDefault="00072D76">
      <w:pPr>
        <w:wordWrap w:val="0"/>
        <w:spacing w:line="317" w:lineRule="exact"/>
        <w:rPr>
          <w:szCs w:val="28"/>
        </w:rPr>
      </w:pPr>
      <w:r>
        <w:t>其中，</w:t>
      </w:r>
      <w:r>
        <w:rPr>
          <w:position w:val="-12"/>
        </w:rPr>
        <w:object w:dxaOrig="276" w:dyaOrig="380" w14:anchorId="4F8D605D">
          <v:shape id="_x0000_i1079" type="#_x0000_t75" style="width:13.8pt;height:19pt" o:ole="">
            <v:imagedata r:id="rId115" o:title=""/>
          </v:shape>
          <o:OLEObject Type="Embed" ProgID="Equation.DSMT4" ShapeID="_x0000_i1079" DrawAspect="Content" ObjectID="_1832493453" r:id="rId116"/>
        </w:object>
      </w:r>
      <w:r>
        <w:rPr>
          <w:rFonts w:hint="eastAsia"/>
        </w:rPr>
        <w:t>为云层厚度，</w:t>
      </w:r>
      <w:r>
        <w:t>不同季节和地区的云层厚度具有不同特性。</w:t>
      </w:r>
      <w:r>
        <w:rPr>
          <w:rFonts w:ascii="Arial" w:hAnsi="Arial" w:cs="Arial"/>
          <w:color w:val="1D1D20"/>
          <w:shd w:val="clear" w:color="auto" w:fill="FFFFFF"/>
        </w:rPr>
        <w:t>例如，在夏季，西北和高原地区的平均云厚约为</w:t>
      </w:r>
      <w:r>
        <w:rPr>
          <w:rFonts w:ascii="Arial" w:hAnsi="Arial" w:cs="Arial"/>
          <w:color w:val="1D1D20"/>
          <w:shd w:val="clear" w:color="auto" w:fill="FFFFFF"/>
        </w:rPr>
        <w:t xml:space="preserve"> 3 km [26]</w:t>
      </w:r>
      <w:r>
        <w:rPr>
          <w:rFonts w:ascii="Arial" w:hAnsi="Arial" w:cs="Arial"/>
          <w:color w:val="1D1D20"/>
          <w:shd w:val="clear" w:color="auto" w:fill="FFFFFF"/>
        </w:rPr>
        <w:t>，最大可达</w:t>
      </w:r>
      <w:r>
        <w:rPr>
          <w:rFonts w:ascii="Arial" w:hAnsi="Arial" w:cs="Arial"/>
          <w:color w:val="1D1D20"/>
          <w:shd w:val="clear" w:color="auto" w:fill="FFFFFF"/>
        </w:rPr>
        <w:t xml:space="preserve"> 4 km</w:t>
      </w:r>
      <w:r>
        <w:rPr>
          <w:rFonts w:ascii="Arial" w:hAnsi="Arial" w:cs="Arial"/>
          <w:color w:val="1D1D20"/>
          <w:shd w:val="clear" w:color="auto" w:fill="FFFFFF"/>
        </w:rPr>
        <w:t>；本文所研究的云层为单层云，其最大厚度为</w:t>
      </w:r>
      <w:r>
        <w:rPr>
          <w:rFonts w:ascii="Arial" w:hAnsi="Arial" w:cs="Arial"/>
          <w:color w:val="1D1D20"/>
          <w:shd w:val="clear" w:color="auto" w:fill="FFFFFF"/>
        </w:rPr>
        <w:t xml:space="preserve"> 4 km</w:t>
      </w:r>
      <w:r>
        <w:rPr>
          <w:rFonts w:ascii="Arial" w:hAnsi="Arial" w:cs="Arial"/>
          <w:color w:val="1D1D20"/>
          <w:shd w:val="clear" w:color="auto" w:fill="FFFFFF"/>
        </w:rPr>
        <w:t>。其中，</w:t>
      </w:r>
      <w:r>
        <w:rPr>
          <w:rFonts w:ascii="Arial" w:hAnsi="Arial" w:cs="Arial"/>
          <w:color w:val="1D1D20"/>
          <w:shd w:val="clear" w:color="auto" w:fill="FFFFFF"/>
        </w:rPr>
        <w:t xml:space="preserve">θ </w:t>
      </w:r>
      <w:r>
        <w:rPr>
          <w:rFonts w:ascii="Arial" w:hAnsi="Arial" w:cs="Arial"/>
          <w:color w:val="1D1D20"/>
          <w:shd w:val="clear" w:color="auto" w:fill="FFFFFF"/>
        </w:rPr>
        <w:t>为卫星至地面站的视仰角，</w:t>
      </w:r>
      <w:r>
        <w:rPr>
          <w:rFonts w:ascii="Arial" w:hAnsi="Arial" w:cs="Arial"/>
          <w:color w:val="1D1D20"/>
          <w:shd w:val="clear" w:color="auto" w:fill="FFFFFF"/>
        </w:rPr>
        <w:t xml:space="preserve">k </w:t>
      </w:r>
      <w:r>
        <w:rPr>
          <w:rFonts w:ascii="Arial" w:hAnsi="Arial" w:cs="Arial"/>
          <w:color w:val="1D1D20"/>
          <w:shd w:val="clear" w:color="auto" w:fill="FFFFFF"/>
        </w:rPr>
        <w:t>为</w:t>
      </w:r>
      <w:r>
        <w:rPr>
          <w:rFonts w:ascii="Arial" w:hAnsi="Arial" w:cs="Arial"/>
          <w:color w:val="1D1D20"/>
          <w:shd w:val="clear" w:color="auto" w:fill="FFFFFF"/>
        </w:rPr>
        <w:t xml:space="preserve"> Kim </w:t>
      </w:r>
      <w:r>
        <w:rPr>
          <w:rFonts w:ascii="Arial" w:hAnsi="Arial" w:cs="Arial"/>
          <w:color w:val="1D1D20"/>
          <w:shd w:val="clear" w:color="auto" w:fill="FFFFFF"/>
        </w:rPr>
        <w:t>模型的经验系数</w:t>
      </w:r>
      <w:r>
        <w:rPr>
          <w:rFonts w:ascii="Arial" w:hAnsi="Arial" w:cs="Arial"/>
          <w:color w:val="1D1D20"/>
          <w:shd w:val="clear" w:color="auto" w:fill="FFFFFF"/>
        </w:rPr>
        <w:t xml:space="preserve"> [27]</w:t>
      </w:r>
      <w:r>
        <w:rPr>
          <w:rFonts w:ascii="Arial" w:hAnsi="Arial" w:cs="Arial"/>
          <w:color w:val="1D1D20"/>
          <w:shd w:val="clear" w:color="auto" w:fill="FFFFFF"/>
        </w:rPr>
        <w:t>。云层衰减对星地通信透射率的影响如下：</w:t>
      </w:r>
    </w:p>
    <w:p w14:paraId="0C656C53" w14:textId="77777777" w:rsidR="008E062A" w:rsidRDefault="00072D76">
      <w:pPr>
        <w:pStyle w:val="af8"/>
        <w:tabs>
          <w:tab w:val="left" w:pos="3580"/>
        </w:tabs>
        <w:ind w:firstLine="560"/>
      </w:pPr>
      <w:r>
        <w:rPr>
          <w:sz w:val="28"/>
        </w:rPr>
        <w:tab/>
      </w:r>
      <w:r>
        <w:rPr>
          <w:sz w:val="28"/>
        </w:rPr>
        <w:tab/>
      </w:r>
      <w:r>
        <w:rPr>
          <w:position w:val="-4"/>
        </w:rPr>
        <w:object w:dxaOrig="1555" w:dyaOrig="415" w14:anchorId="76CDCC4B">
          <v:shape id="_x0000_i1080" type="#_x0000_t75" style="width:77.75pt;height:20.75pt" o:ole="">
            <v:imagedata r:id="rId117" o:title=""/>
          </v:shape>
          <o:OLEObject Type="Embed" ProgID="Equation.DSMT4" ShapeID="_x0000_i1080" DrawAspect="Content" ObjectID="_1832493454" r:id="rId118"/>
        </w:object>
      </w:r>
      <w:r>
        <w:tab/>
      </w:r>
      <w:r>
        <w:rPr>
          <w:rFonts w:hint="eastAsia"/>
        </w:rPr>
        <w:t>(13)</w:t>
      </w:r>
    </w:p>
    <w:p w14:paraId="1FBA5D9C" w14:textId="77777777" w:rsidR="008E062A" w:rsidRDefault="00072D76">
      <w:pPr>
        <w:wordWrap w:val="0"/>
        <w:rPr>
          <w:b/>
          <w:bCs/>
          <w:sz w:val="24"/>
          <w:szCs w:val="24"/>
        </w:rPr>
      </w:pPr>
      <w:r>
        <w:rPr>
          <w:rFonts w:hint="eastAsia"/>
          <w:b/>
          <w:bCs/>
          <w:sz w:val="24"/>
          <w:szCs w:val="24"/>
        </w:rPr>
        <w:t>2</w:t>
      </w:r>
      <w:r>
        <w:rPr>
          <w:rFonts w:hint="eastAsia"/>
          <w:b/>
          <w:bCs/>
          <w:sz w:val="24"/>
          <w:szCs w:val="24"/>
        </w:rPr>
        <w:t>仿真结果分析</w:t>
      </w:r>
    </w:p>
    <w:p w14:paraId="1A6F0163" w14:textId="77777777" w:rsidR="008E062A" w:rsidRDefault="00072D76">
      <w:pPr>
        <w:spacing w:line="240" w:lineRule="auto"/>
        <w:ind w:firstLineChars="200" w:firstLine="420"/>
        <w:rPr>
          <w:color w:val="000000" w:themeColor="text1"/>
          <w:szCs w:val="21"/>
        </w:rPr>
      </w:pPr>
      <w:r>
        <w:rPr>
          <w:rFonts w:hint="eastAsia"/>
          <w:color w:val="000000" w:themeColor="text1"/>
          <w:szCs w:val="21"/>
        </w:rPr>
        <w:t>以“墨子号”卫星的实际观测数据为基础，构建其轨道动力学模型，并在该模型中引入星地通信系统中影响信道传输效率与探测效率的关键因素。考虑到云层海拔高度的区域差异，本文选取了“墨子号”在以下</w:t>
      </w:r>
      <w:r>
        <w:rPr>
          <w:rFonts w:hint="eastAsia"/>
          <w:color w:val="000000" w:themeColor="text1"/>
          <w:szCs w:val="21"/>
        </w:rPr>
        <w:t>2</w:t>
      </w:r>
      <w:r>
        <w:rPr>
          <w:rFonts w:hint="eastAsia"/>
          <w:color w:val="000000" w:themeColor="text1"/>
          <w:szCs w:val="21"/>
        </w:rPr>
        <w:t>个时段的星地通信数据进行分析：</w:t>
      </w:r>
    </w:p>
    <w:p w14:paraId="2F94EFCF" w14:textId="77777777" w:rsidR="008E062A" w:rsidRDefault="00072D76">
      <w:pPr>
        <w:spacing w:line="240" w:lineRule="auto"/>
        <w:ind w:firstLineChars="200" w:firstLine="420"/>
        <w:rPr>
          <w:color w:val="000000" w:themeColor="text1"/>
          <w:szCs w:val="21"/>
        </w:rPr>
      </w:pPr>
      <w:r>
        <w:rPr>
          <w:rFonts w:hint="eastAsia"/>
          <w:color w:val="000000" w:themeColor="text1"/>
          <w:szCs w:val="21"/>
        </w:rPr>
        <w:t>1</w:t>
      </w:r>
      <w:r>
        <w:rPr>
          <w:rFonts w:hint="eastAsia"/>
          <w:color w:val="000000" w:themeColor="text1"/>
          <w:szCs w:val="21"/>
        </w:rPr>
        <w:t>）</w:t>
      </w:r>
      <w:r>
        <w:rPr>
          <w:rFonts w:hint="eastAsia"/>
          <w:color w:val="000000" w:themeColor="text1"/>
          <w:szCs w:val="21"/>
        </w:rPr>
        <w:t xml:space="preserve">2019 </w:t>
      </w:r>
      <w:r>
        <w:rPr>
          <w:rFonts w:hint="eastAsia"/>
          <w:color w:val="000000" w:themeColor="text1"/>
          <w:szCs w:val="21"/>
        </w:rPr>
        <w:t>年</w:t>
      </w:r>
      <w:r>
        <w:rPr>
          <w:rFonts w:hint="eastAsia"/>
          <w:color w:val="000000" w:themeColor="text1"/>
          <w:szCs w:val="21"/>
        </w:rPr>
        <w:t xml:space="preserve"> 5 </w:t>
      </w:r>
      <w:r>
        <w:rPr>
          <w:rFonts w:hint="eastAsia"/>
          <w:color w:val="000000" w:themeColor="text1"/>
          <w:szCs w:val="21"/>
        </w:rPr>
        <w:t>月</w:t>
      </w:r>
      <w:r>
        <w:rPr>
          <w:rFonts w:hint="eastAsia"/>
          <w:color w:val="000000" w:themeColor="text1"/>
          <w:szCs w:val="21"/>
        </w:rPr>
        <w:t xml:space="preserve"> 23 </w:t>
      </w:r>
      <w:r>
        <w:rPr>
          <w:rFonts w:hint="eastAsia"/>
          <w:color w:val="000000" w:themeColor="text1"/>
          <w:szCs w:val="21"/>
        </w:rPr>
        <w:t>日</w:t>
      </w:r>
      <w:r>
        <w:rPr>
          <w:rFonts w:hint="eastAsia"/>
          <w:color w:val="000000" w:themeColor="text1"/>
          <w:szCs w:val="21"/>
        </w:rPr>
        <w:t xml:space="preserve"> 18:10 - 18:20</w:t>
      </w:r>
      <w:r>
        <w:rPr>
          <w:rFonts w:hint="eastAsia"/>
          <w:color w:val="000000" w:themeColor="text1"/>
          <w:szCs w:val="21"/>
        </w:rPr>
        <w:t>（协调世界时，</w:t>
      </w:r>
      <w:r>
        <w:rPr>
          <w:rFonts w:hint="eastAsia"/>
          <w:color w:val="000000" w:themeColor="text1"/>
          <w:szCs w:val="21"/>
        </w:rPr>
        <w:t>UTC</w:t>
      </w:r>
      <w:r>
        <w:rPr>
          <w:rFonts w:hint="eastAsia"/>
          <w:color w:val="000000" w:themeColor="text1"/>
          <w:szCs w:val="21"/>
        </w:rPr>
        <w:t>），与德令哈地面站的通信；</w:t>
      </w:r>
    </w:p>
    <w:p w14:paraId="6F842D4D" w14:textId="77777777" w:rsidR="008E062A" w:rsidRDefault="00072D76">
      <w:pPr>
        <w:spacing w:line="240" w:lineRule="auto"/>
        <w:ind w:firstLineChars="200" w:firstLine="420"/>
        <w:rPr>
          <w:color w:val="000000" w:themeColor="text1"/>
          <w:szCs w:val="21"/>
        </w:rPr>
      </w:pPr>
      <w:r>
        <w:rPr>
          <w:rFonts w:hint="eastAsia"/>
          <w:color w:val="000000" w:themeColor="text1"/>
          <w:szCs w:val="21"/>
        </w:rPr>
        <w:t>2</w:t>
      </w:r>
      <w:r>
        <w:rPr>
          <w:rFonts w:hint="eastAsia"/>
          <w:color w:val="000000" w:themeColor="text1"/>
          <w:szCs w:val="21"/>
        </w:rPr>
        <w:t>）</w:t>
      </w:r>
      <w:r>
        <w:rPr>
          <w:rFonts w:hint="eastAsia"/>
          <w:color w:val="000000" w:themeColor="text1"/>
          <w:szCs w:val="21"/>
        </w:rPr>
        <w:t xml:space="preserve">2019 </w:t>
      </w:r>
      <w:r>
        <w:rPr>
          <w:rFonts w:hint="eastAsia"/>
          <w:color w:val="000000" w:themeColor="text1"/>
          <w:szCs w:val="21"/>
        </w:rPr>
        <w:t>年</w:t>
      </w:r>
      <w:r>
        <w:rPr>
          <w:rFonts w:hint="eastAsia"/>
          <w:color w:val="000000" w:themeColor="text1"/>
          <w:szCs w:val="21"/>
        </w:rPr>
        <w:t xml:space="preserve"> 5 </w:t>
      </w:r>
      <w:r>
        <w:rPr>
          <w:rFonts w:hint="eastAsia"/>
          <w:color w:val="000000" w:themeColor="text1"/>
          <w:szCs w:val="21"/>
        </w:rPr>
        <w:t>月</w:t>
      </w:r>
      <w:r>
        <w:rPr>
          <w:rFonts w:hint="eastAsia"/>
          <w:color w:val="000000" w:themeColor="text1"/>
          <w:szCs w:val="21"/>
        </w:rPr>
        <w:t xml:space="preserve"> 23 </w:t>
      </w:r>
      <w:r>
        <w:rPr>
          <w:rFonts w:hint="eastAsia"/>
          <w:color w:val="000000" w:themeColor="text1"/>
          <w:szCs w:val="21"/>
        </w:rPr>
        <w:t>日</w:t>
      </w:r>
      <w:r>
        <w:rPr>
          <w:rFonts w:hint="eastAsia"/>
          <w:color w:val="000000" w:themeColor="text1"/>
          <w:szCs w:val="21"/>
        </w:rPr>
        <w:t xml:space="preserve"> 16:32- 16:42</w:t>
      </w:r>
      <w:r>
        <w:rPr>
          <w:rFonts w:hint="eastAsia"/>
          <w:color w:val="000000" w:themeColor="text1"/>
          <w:szCs w:val="21"/>
        </w:rPr>
        <w:t>（</w:t>
      </w:r>
      <w:r>
        <w:rPr>
          <w:rFonts w:hint="eastAsia"/>
          <w:color w:val="000000" w:themeColor="text1"/>
          <w:szCs w:val="21"/>
        </w:rPr>
        <w:t>UTC</w:t>
      </w:r>
      <w:r>
        <w:rPr>
          <w:rFonts w:hint="eastAsia"/>
          <w:color w:val="000000" w:themeColor="text1"/>
          <w:szCs w:val="21"/>
        </w:rPr>
        <w:t>），与兴隆地面站的通信。</w:t>
      </w:r>
    </w:p>
    <w:p w14:paraId="4F7708F1" w14:textId="77777777" w:rsidR="008E062A" w:rsidRDefault="00072D76">
      <w:pPr>
        <w:spacing w:line="240" w:lineRule="auto"/>
        <w:ind w:firstLineChars="200" w:firstLine="420"/>
      </w:pPr>
      <w:r>
        <w:rPr>
          <w:rFonts w:hint="eastAsia"/>
        </w:rPr>
        <w:t>仿真数据如表</w:t>
      </w:r>
      <w:r>
        <w:rPr>
          <w:rFonts w:hint="eastAsia"/>
        </w:rPr>
        <w:t>1</w:t>
      </w:r>
      <w:r>
        <w:rPr>
          <w:rFonts w:hint="eastAsia"/>
        </w:rPr>
        <w:t>、</w:t>
      </w:r>
      <w:r>
        <w:t>表</w:t>
      </w:r>
      <w:r>
        <w:rPr>
          <w:rFonts w:hint="eastAsia"/>
        </w:rPr>
        <w:t>2</w:t>
      </w:r>
      <w:r>
        <w:rPr>
          <w:rFonts w:hint="eastAsia"/>
        </w:rPr>
        <w:t>所示</w:t>
      </w:r>
      <w:r>
        <w:t>。</w:t>
      </w:r>
    </w:p>
    <w:p w14:paraId="21CFAC38" w14:textId="77777777" w:rsidR="008E062A" w:rsidRDefault="00072D76">
      <w:pPr>
        <w:pStyle w:val="af8"/>
        <w:spacing w:line="240" w:lineRule="auto"/>
        <w:ind w:firstLine="360"/>
        <w:rPr>
          <w:sz w:val="18"/>
          <w:szCs w:val="18"/>
        </w:rPr>
      </w:pPr>
      <w:r>
        <w:rPr>
          <w:rFonts w:hint="eastAsia"/>
          <w:sz w:val="18"/>
          <w:szCs w:val="18"/>
        </w:rPr>
        <w:lastRenderedPageBreak/>
        <w:t>表</w:t>
      </w:r>
      <w:r>
        <w:rPr>
          <w:rFonts w:hint="eastAsia"/>
          <w:sz w:val="18"/>
          <w:szCs w:val="18"/>
        </w:rPr>
        <w:t xml:space="preserve">1 </w:t>
      </w:r>
      <w:r>
        <w:rPr>
          <w:rFonts w:hint="eastAsia"/>
          <w:sz w:val="18"/>
          <w:szCs w:val="18"/>
        </w:rPr>
        <w:t>星地通信墨子号仿真数据</w:t>
      </w:r>
    </w:p>
    <w:tbl>
      <w:tblPr>
        <w:tblStyle w:val="12"/>
        <w:tblW w:w="0" w:type="auto"/>
        <w:tblInd w:w="744" w:type="dxa"/>
        <w:tblLayout w:type="fixed"/>
        <w:tblLook w:val="04A0" w:firstRow="1" w:lastRow="0" w:firstColumn="1" w:lastColumn="0" w:noHBand="0" w:noVBand="1"/>
      </w:tblPr>
      <w:tblGrid>
        <w:gridCol w:w="2694"/>
        <w:gridCol w:w="1842"/>
      </w:tblGrid>
      <w:tr w:rsidR="008E062A" w14:paraId="01C72639" w14:textId="77777777" w:rsidTr="008E062A">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694" w:type="dxa"/>
            <w:tcBorders>
              <w:top w:val="single" w:sz="8" w:space="0" w:color="auto"/>
              <w:bottom w:val="single" w:sz="8" w:space="0" w:color="auto"/>
            </w:tcBorders>
          </w:tcPr>
          <w:p w14:paraId="7BAEB7CC" w14:textId="77777777" w:rsidR="008E062A" w:rsidRDefault="00072D76">
            <w:pPr>
              <w:spacing w:line="240" w:lineRule="auto"/>
              <w:jc w:val="center"/>
              <w:rPr>
                <w:sz w:val="18"/>
                <w:szCs w:val="18"/>
              </w:rPr>
            </w:pPr>
            <w:r>
              <w:rPr>
                <w:rFonts w:hint="eastAsia"/>
                <w:b w:val="0"/>
                <w:bCs w:val="0"/>
                <w:sz w:val="18"/>
                <w:szCs w:val="18"/>
              </w:rPr>
              <w:t>参数名称</w:t>
            </w:r>
          </w:p>
        </w:tc>
        <w:tc>
          <w:tcPr>
            <w:tcW w:w="1842" w:type="dxa"/>
            <w:tcBorders>
              <w:top w:val="single" w:sz="8" w:space="0" w:color="auto"/>
              <w:bottom w:val="single" w:sz="8" w:space="0" w:color="auto"/>
            </w:tcBorders>
          </w:tcPr>
          <w:p w14:paraId="1140E613" w14:textId="77777777" w:rsidR="008E062A" w:rsidRDefault="00072D76">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r>
              <w:rPr>
                <w:rFonts w:hint="eastAsia"/>
                <w:b w:val="0"/>
                <w:bCs w:val="0"/>
                <w:sz w:val="18"/>
                <w:szCs w:val="18"/>
              </w:rPr>
              <w:t>数值</w:t>
            </w:r>
          </w:p>
        </w:tc>
      </w:tr>
      <w:tr w:rsidR="008E062A" w14:paraId="5ED5437C"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2694" w:type="dxa"/>
            <w:tcBorders>
              <w:top w:val="single" w:sz="8" w:space="0" w:color="auto"/>
              <w:bottom w:val="single" w:sz="4" w:space="0" w:color="999999" w:themeColor="text1" w:themeTint="66"/>
            </w:tcBorders>
          </w:tcPr>
          <w:p w14:paraId="5011F87A" w14:textId="77777777" w:rsidR="008E062A" w:rsidRDefault="00072D76">
            <w:pPr>
              <w:spacing w:line="240" w:lineRule="auto"/>
              <w:jc w:val="center"/>
              <w:rPr>
                <w:b w:val="0"/>
                <w:bCs w:val="0"/>
                <w:sz w:val="18"/>
                <w:szCs w:val="18"/>
              </w:rPr>
            </w:pPr>
            <w:r>
              <w:rPr>
                <w:rFonts w:hint="eastAsia"/>
                <w:b w:val="0"/>
                <w:bCs w:val="0"/>
                <w:sz w:val="18"/>
                <w:szCs w:val="18"/>
              </w:rPr>
              <w:t>指向误差</w:t>
            </w:r>
            <w:r>
              <w:rPr>
                <w:b w:val="0"/>
                <w:bCs w:val="0"/>
                <w:snapToGrid w:val="0"/>
                <w:position w:val="2"/>
                <w:sz w:val="18"/>
                <w:szCs w:val="18"/>
              </w:rPr>
              <w:object w:dxaOrig="196" w:dyaOrig="265" w14:anchorId="27E34F29">
                <v:shape id="_x0000_i1081" type="#_x0000_t75" style="width:9.8pt;height:13.25pt" o:ole="">
                  <v:imagedata r:id="rId119" o:title=""/>
                </v:shape>
                <o:OLEObject Type="Embed" ProgID="Equation.DSMT4" ShapeID="_x0000_i1081" DrawAspect="Content" ObjectID="_1832493455" r:id="rId120"/>
              </w:object>
            </w:r>
            <w:r>
              <w:rPr>
                <w:b w:val="0"/>
                <w:bCs w:val="0"/>
                <w:snapToGrid w:val="0"/>
                <w:sz w:val="18"/>
                <w:szCs w:val="18"/>
              </w:rPr>
              <w:t>/urd</w:t>
            </w:r>
          </w:p>
        </w:tc>
        <w:tc>
          <w:tcPr>
            <w:tcW w:w="1842" w:type="dxa"/>
            <w:tcBorders>
              <w:top w:val="single" w:sz="8" w:space="0" w:color="auto"/>
              <w:bottom w:val="single" w:sz="4" w:space="0" w:color="999999" w:themeColor="text1" w:themeTint="66"/>
            </w:tcBorders>
          </w:tcPr>
          <w:p w14:paraId="3EB91E89" w14:textId="77777777" w:rsidR="008E062A" w:rsidRDefault="00072D76">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1</w:t>
            </w:r>
          </w:p>
        </w:tc>
      </w:tr>
      <w:tr w:rsidR="008E062A" w14:paraId="513543C3"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2694" w:type="dxa"/>
            <w:tcBorders>
              <w:bottom w:val="single" w:sz="4" w:space="0" w:color="999999" w:themeColor="text1" w:themeTint="66"/>
            </w:tcBorders>
          </w:tcPr>
          <w:p w14:paraId="368AE475" w14:textId="77777777" w:rsidR="008E062A" w:rsidRDefault="00072D76">
            <w:pPr>
              <w:spacing w:line="240" w:lineRule="auto"/>
              <w:jc w:val="center"/>
              <w:rPr>
                <w:b w:val="0"/>
                <w:bCs w:val="0"/>
                <w:sz w:val="18"/>
                <w:szCs w:val="18"/>
              </w:rPr>
            </w:pPr>
            <w:r>
              <w:rPr>
                <w:rFonts w:hint="eastAsia"/>
                <w:b w:val="0"/>
                <w:bCs w:val="0"/>
                <w:sz w:val="18"/>
                <w:szCs w:val="18"/>
              </w:rPr>
              <w:t>光束发散角</w:t>
            </w:r>
            <w:r>
              <w:rPr>
                <w:b w:val="0"/>
                <w:bCs w:val="0"/>
                <w:position w:val="-2"/>
                <w:sz w:val="18"/>
                <w:szCs w:val="18"/>
              </w:rPr>
              <w:object w:dxaOrig="253" w:dyaOrig="207" w14:anchorId="5896B9DD">
                <v:shape id="_x0000_i1082" type="#_x0000_t75" style="width:12.65pt;height:10.35pt" o:ole="">
                  <v:imagedata r:id="rId121" o:title=""/>
                </v:shape>
                <o:OLEObject Type="Embed" ProgID="Equation.DSMT4" ShapeID="_x0000_i1082" DrawAspect="Content" ObjectID="_1832493456" r:id="rId122"/>
              </w:object>
            </w:r>
            <w:r>
              <w:rPr>
                <w:sz w:val="18"/>
                <w:szCs w:val="18"/>
              </w:rPr>
              <w:t>/</w:t>
            </w:r>
            <w:r>
              <w:rPr>
                <w:b w:val="0"/>
                <w:sz w:val="18"/>
                <w:szCs w:val="18"/>
              </w:rPr>
              <w:t>urd</w:t>
            </w:r>
          </w:p>
        </w:tc>
        <w:tc>
          <w:tcPr>
            <w:tcW w:w="1842" w:type="dxa"/>
            <w:tcBorders>
              <w:bottom w:val="single" w:sz="4" w:space="0" w:color="999999" w:themeColor="text1" w:themeTint="66"/>
            </w:tcBorders>
          </w:tcPr>
          <w:p w14:paraId="7078467E" w14:textId="77777777" w:rsidR="008E062A" w:rsidRDefault="00072D76">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10</w:t>
            </w:r>
          </w:p>
        </w:tc>
      </w:tr>
      <w:tr w:rsidR="008E062A" w14:paraId="13DF0EA8"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999999" w:themeColor="text1" w:themeTint="66"/>
              <w:bottom w:val="single" w:sz="2" w:space="0" w:color="auto"/>
            </w:tcBorders>
          </w:tcPr>
          <w:p w14:paraId="03757094" w14:textId="77777777" w:rsidR="008E062A" w:rsidRDefault="00072D76">
            <w:pPr>
              <w:spacing w:line="240" w:lineRule="auto"/>
              <w:jc w:val="center"/>
              <w:rPr>
                <w:b w:val="0"/>
                <w:bCs w:val="0"/>
                <w:sz w:val="18"/>
                <w:szCs w:val="18"/>
              </w:rPr>
            </w:pPr>
            <w:r>
              <w:rPr>
                <w:rFonts w:hint="eastAsia"/>
                <w:b w:val="0"/>
                <w:bCs w:val="0"/>
                <w:sz w:val="18"/>
                <w:szCs w:val="18"/>
              </w:rPr>
              <w:t>接收半径</w:t>
            </w:r>
            <w:r>
              <w:rPr>
                <w:rFonts w:hint="eastAsia"/>
                <w:b w:val="0"/>
                <w:bCs w:val="0"/>
                <w:sz w:val="18"/>
                <w:szCs w:val="18"/>
              </w:rPr>
              <w:t>r</w:t>
            </w:r>
            <w:r>
              <w:rPr>
                <w:b w:val="0"/>
                <w:bCs w:val="0"/>
                <w:sz w:val="18"/>
                <w:szCs w:val="18"/>
              </w:rPr>
              <w:t>/m</w:t>
            </w:r>
          </w:p>
        </w:tc>
        <w:tc>
          <w:tcPr>
            <w:tcW w:w="1842" w:type="dxa"/>
            <w:tcBorders>
              <w:top w:val="single" w:sz="4" w:space="0" w:color="999999" w:themeColor="text1" w:themeTint="66"/>
              <w:bottom w:val="single" w:sz="2" w:space="0" w:color="auto"/>
            </w:tcBorders>
          </w:tcPr>
          <w:p w14:paraId="1C2A0A6F" w14:textId="77777777" w:rsidR="008E062A" w:rsidRDefault="00072D76">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0.5</w:t>
            </w:r>
          </w:p>
        </w:tc>
      </w:tr>
      <w:tr w:rsidR="008E062A" w14:paraId="0CD66F59"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2694" w:type="dxa"/>
            <w:tcBorders>
              <w:top w:val="single" w:sz="2" w:space="0" w:color="auto"/>
              <w:bottom w:val="single" w:sz="4" w:space="0" w:color="999999" w:themeColor="text1" w:themeTint="66"/>
            </w:tcBorders>
          </w:tcPr>
          <w:p w14:paraId="6F41FDB3" w14:textId="77777777" w:rsidR="008E062A" w:rsidRDefault="00072D76">
            <w:pPr>
              <w:spacing w:line="240" w:lineRule="auto"/>
              <w:jc w:val="center"/>
              <w:rPr>
                <w:b w:val="0"/>
                <w:bCs w:val="0"/>
                <w:sz w:val="18"/>
                <w:szCs w:val="18"/>
              </w:rPr>
            </w:pPr>
            <w:r>
              <w:rPr>
                <w:rFonts w:hint="eastAsia"/>
                <w:b w:val="0"/>
                <w:bCs w:val="0"/>
                <w:sz w:val="18"/>
                <w:szCs w:val="18"/>
              </w:rPr>
              <w:t>电子噪声</w:t>
            </w:r>
            <w:r>
              <w:rPr>
                <w:b w:val="0"/>
                <w:bCs w:val="0"/>
                <w:position w:val="-6"/>
                <w:sz w:val="18"/>
                <w:szCs w:val="18"/>
              </w:rPr>
              <w:object w:dxaOrig="242" w:dyaOrig="288" w14:anchorId="02B7A07C">
                <v:shape id="_x0000_i1083" type="#_x0000_t75" style="width:12.1pt;height:14.4pt" o:ole="">
                  <v:imagedata r:id="rId123" o:title=""/>
                </v:shape>
                <o:OLEObject Type="Embed" ProgID="Equation.DSMT4" ShapeID="_x0000_i1083" DrawAspect="Content" ObjectID="_1832493457" r:id="rId124"/>
              </w:object>
            </w:r>
            <w:r>
              <w:rPr>
                <w:sz w:val="18"/>
                <w:szCs w:val="18"/>
              </w:rPr>
              <w:t>/</w:t>
            </w:r>
            <w:r>
              <w:rPr>
                <w:rFonts w:hint="eastAsia"/>
                <w:sz w:val="18"/>
                <w:szCs w:val="18"/>
              </w:rPr>
              <w:t xml:space="preserve"> S.N.U.</w:t>
            </w:r>
          </w:p>
        </w:tc>
        <w:tc>
          <w:tcPr>
            <w:tcW w:w="1842" w:type="dxa"/>
            <w:tcBorders>
              <w:top w:val="single" w:sz="2" w:space="0" w:color="auto"/>
              <w:bottom w:val="single" w:sz="4" w:space="0" w:color="999999" w:themeColor="text1" w:themeTint="66"/>
            </w:tcBorders>
          </w:tcPr>
          <w:p w14:paraId="3302C899" w14:textId="77777777" w:rsidR="008E062A" w:rsidRDefault="00072D76">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0.1</w:t>
            </w:r>
          </w:p>
        </w:tc>
      </w:tr>
      <w:tr w:rsidR="008E062A" w14:paraId="1F18E281"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2694" w:type="dxa"/>
            <w:tcBorders>
              <w:bottom w:val="single" w:sz="8" w:space="0" w:color="auto"/>
            </w:tcBorders>
          </w:tcPr>
          <w:p w14:paraId="197A740A" w14:textId="77777777" w:rsidR="008E062A" w:rsidRDefault="00072D76">
            <w:pPr>
              <w:spacing w:line="240" w:lineRule="auto"/>
              <w:jc w:val="center"/>
              <w:rPr>
                <w:b w:val="0"/>
                <w:bCs w:val="0"/>
                <w:sz w:val="18"/>
                <w:szCs w:val="18"/>
              </w:rPr>
            </w:pPr>
            <w:r>
              <w:rPr>
                <w:rFonts w:hint="eastAsia"/>
                <w:b w:val="0"/>
                <w:bCs w:val="0"/>
                <w:sz w:val="18"/>
                <w:szCs w:val="18"/>
              </w:rPr>
              <w:t>探测效率</w:t>
            </w:r>
            <w:r>
              <w:rPr>
                <w:b w:val="0"/>
                <w:bCs w:val="0"/>
                <w:position w:val="-10"/>
                <w:sz w:val="18"/>
                <w:szCs w:val="18"/>
              </w:rPr>
              <w:object w:dxaOrig="207" w:dyaOrig="207" w14:anchorId="274E1808">
                <v:shape id="_x0000_i1084" type="#_x0000_t75" style="width:10.35pt;height:10.35pt" o:ole="">
                  <v:imagedata r:id="rId125" o:title=""/>
                </v:shape>
                <o:OLEObject Type="Embed" ProgID="Equation.DSMT4" ShapeID="_x0000_i1084" DrawAspect="Content" ObjectID="_1832493458" r:id="rId126"/>
              </w:object>
            </w:r>
            <w:r>
              <w:rPr>
                <w:sz w:val="18"/>
                <w:szCs w:val="18"/>
              </w:rPr>
              <w:t>/%</w:t>
            </w:r>
          </w:p>
        </w:tc>
        <w:tc>
          <w:tcPr>
            <w:tcW w:w="1842" w:type="dxa"/>
            <w:tcBorders>
              <w:bottom w:val="single" w:sz="8" w:space="0" w:color="auto"/>
            </w:tcBorders>
          </w:tcPr>
          <w:p w14:paraId="00217883" w14:textId="77777777" w:rsidR="008E062A" w:rsidRDefault="00072D76">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40</w:t>
            </w:r>
          </w:p>
        </w:tc>
      </w:tr>
    </w:tbl>
    <w:p w14:paraId="18B62916" w14:textId="77777777" w:rsidR="008E062A" w:rsidRDefault="008E062A">
      <w:pPr>
        <w:spacing w:line="240" w:lineRule="auto"/>
      </w:pPr>
    </w:p>
    <w:p w14:paraId="476618A6" w14:textId="77777777" w:rsidR="008E062A" w:rsidRDefault="00072D76">
      <w:pPr>
        <w:spacing w:line="240" w:lineRule="auto"/>
        <w:ind w:firstLineChars="200" w:firstLine="360"/>
        <w:jc w:val="center"/>
        <w:rPr>
          <w:sz w:val="18"/>
          <w:szCs w:val="18"/>
        </w:rPr>
      </w:pPr>
      <w:r>
        <w:rPr>
          <w:rFonts w:hint="eastAsia"/>
          <w:sz w:val="18"/>
          <w:szCs w:val="18"/>
        </w:rPr>
        <w:t>表</w:t>
      </w:r>
      <w:r>
        <w:rPr>
          <w:rFonts w:hint="eastAsia"/>
          <w:sz w:val="18"/>
          <w:szCs w:val="18"/>
        </w:rPr>
        <w:t>2 CV-QKD</w:t>
      </w:r>
      <w:r>
        <w:rPr>
          <w:rFonts w:hint="eastAsia"/>
          <w:sz w:val="18"/>
          <w:szCs w:val="18"/>
        </w:rPr>
        <w:t>系统参数</w:t>
      </w:r>
    </w:p>
    <w:tbl>
      <w:tblPr>
        <w:tblStyle w:val="12"/>
        <w:tblW w:w="4820" w:type="dxa"/>
        <w:tblInd w:w="608" w:type="dxa"/>
        <w:tblBorders>
          <w:top w:val="single" w:sz="12" w:space="0" w:color="auto"/>
          <w:bottom w:val="single" w:sz="12" w:space="0" w:color="000000" w:themeColor="text1"/>
        </w:tblBorders>
        <w:tblLook w:val="04A0" w:firstRow="1" w:lastRow="0" w:firstColumn="1" w:lastColumn="0" w:noHBand="0" w:noVBand="1"/>
      </w:tblPr>
      <w:tblGrid>
        <w:gridCol w:w="2876"/>
        <w:gridCol w:w="1944"/>
      </w:tblGrid>
      <w:tr w:rsidR="008E062A" w14:paraId="630CCBBD" w14:textId="77777777" w:rsidTr="008E062A">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876" w:type="dxa"/>
            <w:tcBorders>
              <w:top w:val="single" w:sz="8" w:space="0" w:color="auto"/>
              <w:bottom w:val="single" w:sz="8" w:space="0" w:color="auto"/>
            </w:tcBorders>
          </w:tcPr>
          <w:p w14:paraId="00FF36DF" w14:textId="77777777" w:rsidR="008E062A" w:rsidRDefault="00072D76">
            <w:pPr>
              <w:spacing w:line="240" w:lineRule="auto"/>
              <w:jc w:val="center"/>
              <w:rPr>
                <w:b w:val="0"/>
                <w:bCs w:val="0"/>
                <w:sz w:val="18"/>
                <w:szCs w:val="18"/>
              </w:rPr>
            </w:pPr>
            <w:r>
              <w:rPr>
                <w:rFonts w:hint="eastAsia"/>
                <w:b w:val="0"/>
                <w:bCs w:val="0"/>
                <w:sz w:val="18"/>
                <w:szCs w:val="18"/>
              </w:rPr>
              <w:t>参数名称</w:t>
            </w:r>
          </w:p>
        </w:tc>
        <w:tc>
          <w:tcPr>
            <w:tcW w:w="1944" w:type="dxa"/>
            <w:tcBorders>
              <w:top w:val="single" w:sz="8" w:space="0" w:color="auto"/>
              <w:bottom w:val="single" w:sz="8" w:space="0" w:color="auto"/>
            </w:tcBorders>
          </w:tcPr>
          <w:p w14:paraId="4EB3CEAE" w14:textId="77777777" w:rsidR="008E062A" w:rsidRDefault="00072D76">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r>
              <w:rPr>
                <w:rFonts w:hint="eastAsia"/>
                <w:b w:val="0"/>
                <w:bCs w:val="0"/>
                <w:sz w:val="18"/>
                <w:szCs w:val="18"/>
              </w:rPr>
              <w:t>数值</w:t>
            </w:r>
          </w:p>
        </w:tc>
      </w:tr>
      <w:tr w:rsidR="008E062A" w14:paraId="413E3DFC"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2876" w:type="dxa"/>
            <w:tcBorders>
              <w:top w:val="single" w:sz="8" w:space="0" w:color="auto"/>
            </w:tcBorders>
          </w:tcPr>
          <w:p w14:paraId="7CF10C64" w14:textId="77777777" w:rsidR="008E062A" w:rsidRDefault="00072D76">
            <w:pPr>
              <w:spacing w:line="240" w:lineRule="auto"/>
              <w:jc w:val="center"/>
              <w:rPr>
                <w:b w:val="0"/>
                <w:bCs w:val="0"/>
                <w:position w:val="-6"/>
                <w:sz w:val="18"/>
                <w:szCs w:val="18"/>
              </w:rPr>
            </w:pPr>
            <w:r>
              <w:rPr>
                <w:rFonts w:hint="eastAsia"/>
                <w:b w:val="0"/>
                <w:bCs w:val="0"/>
                <w:position w:val="-6"/>
                <w:sz w:val="18"/>
                <w:szCs w:val="18"/>
              </w:rPr>
              <w:t>波长</w:t>
            </w:r>
            <w:r>
              <w:rPr>
                <w:b w:val="0"/>
                <w:bCs w:val="0"/>
                <w:position w:val="-6"/>
                <w:sz w:val="18"/>
                <w:szCs w:val="18"/>
              </w:rPr>
              <w:object w:dxaOrig="207" w:dyaOrig="207" w14:anchorId="4C6454CA">
                <v:shape id="_x0000_i1085" type="#_x0000_t75" style="width:10.35pt;height:10.35pt" o:ole="">
                  <v:imagedata r:id="rId127" o:title=""/>
                </v:shape>
                <o:OLEObject Type="Embed" ProgID="Equation.DSMT4" ShapeID="_x0000_i1085" DrawAspect="Content" ObjectID="_1832493459" r:id="rId128"/>
              </w:object>
            </w:r>
            <w:r>
              <w:rPr>
                <w:sz w:val="18"/>
                <w:szCs w:val="18"/>
              </w:rPr>
              <w:t>/</w:t>
            </w:r>
            <w:r>
              <w:rPr>
                <w:b w:val="0"/>
                <w:sz w:val="18"/>
                <w:szCs w:val="18"/>
              </w:rPr>
              <w:t>nm</w:t>
            </w:r>
          </w:p>
        </w:tc>
        <w:tc>
          <w:tcPr>
            <w:tcW w:w="1944" w:type="dxa"/>
            <w:tcBorders>
              <w:top w:val="single" w:sz="8" w:space="0" w:color="auto"/>
            </w:tcBorders>
          </w:tcPr>
          <w:p w14:paraId="1C1A8A74" w14:textId="77777777" w:rsidR="008E062A" w:rsidRDefault="00072D76">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1</w:t>
            </w:r>
            <w:r>
              <w:rPr>
                <w:sz w:val="18"/>
                <w:szCs w:val="18"/>
              </w:rPr>
              <w:t xml:space="preserve"> </w:t>
            </w:r>
            <w:r>
              <w:rPr>
                <w:rFonts w:hint="eastAsia"/>
                <w:sz w:val="18"/>
                <w:szCs w:val="18"/>
              </w:rPr>
              <w:t>550</w:t>
            </w:r>
          </w:p>
        </w:tc>
      </w:tr>
      <w:tr w:rsidR="008E062A" w14:paraId="32A7CB0E"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2876" w:type="dxa"/>
          </w:tcPr>
          <w:p w14:paraId="0BDCCF15" w14:textId="77777777" w:rsidR="008E062A" w:rsidRDefault="00072D76">
            <w:pPr>
              <w:spacing w:line="240" w:lineRule="auto"/>
              <w:jc w:val="center"/>
              <w:rPr>
                <w:sz w:val="18"/>
                <w:szCs w:val="18"/>
              </w:rPr>
            </w:pPr>
            <w:r>
              <w:rPr>
                <w:rFonts w:hint="eastAsia"/>
                <w:b w:val="0"/>
                <w:bCs w:val="0"/>
                <w:sz w:val="18"/>
                <w:szCs w:val="18"/>
              </w:rPr>
              <w:t>反向协调效率</w:t>
            </w:r>
            <w:r>
              <w:rPr>
                <w:b w:val="0"/>
                <w:bCs w:val="0"/>
                <w:position w:val="-10"/>
                <w:sz w:val="18"/>
                <w:szCs w:val="18"/>
              </w:rPr>
              <w:object w:dxaOrig="207" w:dyaOrig="207" w14:anchorId="7FE82D4C">
                <v:shape id="_x0000_i1086" type="#_x0000_t75" style="width:10.35pt;height:10.35pt" o:ole="">
                  <v:imagedata r:id="rId129" o:title=""/>
                </v:shape>
                <o:OLEObject Type="Embed" ProgID="Equation.DSMT4" ShapeID="_x0000_i1086" DrawAspect="Content" ObjectID="_1832493460" r:id="rId130"/>
              </w:object>
            </w:r>
          </w:p>
        </w:tc>
        <w:tc>
          <w:tcPr>
            <w:tcW w:w="1944" w:type="dxa"/>
          </w:tcPr>
          <w:p w14:paraId="0F6862ED" w14:textId="77777777" w:rsidR="008E062A" w:rsidRDefault="00072D76">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0.95</w:t>
            </w:r>
          </w:p>
        </w:tc>
      </w:tr>
      <w:tr w:rsidR="008E062A" w14:paraId="03DF5B9C"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2876" w:type="dxa"/>
            <w:tcBorders>
              <w:bottom w:val="single" w:sz="4" w:space="0" w:color="999999" w:themeColor="text1" w:themeTint="66"/>
            </w:tcBorders>
          </w:tcPr>
          <w:p w14:paraId="6A25B153" w14:textId="77777777" w:rsidR="008E062A" w:rsidRDefault="00072D76">
            <w:pPr>
              <w:spacing w:line="240" w:lineRule="auto"/>
              <w:jc w:val="center"/>
              <w:rPr>
                <w:b w:val="0"/>
                <w:bCs w:val="0"/>
                <w:sz w:val="18"/>
                <w:szCs w:val="18"/>
              </w:rPr>
            </w:pPr>
            <w:r>
              <w:rPr>
                <w:rFonts w:hint="eastAsia"/>
                <w:b w:val="0"/>
                <w:bCs w:val="0"/>
                <w:sz w:val="18"/>
                <w:szCs w:val="18"/>
              </w:rPr>
              <w:t>方差</w:t>
            </w:r>
            <w:r>
              <w:rPr>
                <w:b w:val="0"/>
                <w:bCs w:val="0"/>
                <w:position w:val="-12"/>
                <w:sz w:val="18"/>
                <w:szCs w:val="18"/>
              </w:rPr>
              <w:object w:dxaOrig="184" w:dyaOrig="276" w14:anchorId="46F65BEC">
                <v:shape id="_x0000_i1087" type="#_x0000_t75" style="width:9.2pt;height:13.8pt" o:ole="">
                  <v:imagedata r:id="rId131" o:title=""/>
                </v:shape>
                <o:OLEObject Type="Embed" ProgID="Equation.DSMT4" ShapeID="_x0000_i1087" DrawAspect="Content" ObjectID="_1832493461" r:id="rId132"/>
              </w:object>
            </w:r>
            <w:r>
              <w:rPr>
                <w:sz w:val="18"/>
                <w:szCs w:val="18"/>
              </w:rPr>
              <w:t>/</w:t>
            </w:r>
            <w:r>
              <w:rPr>
                <w:rFonts w:hint="eastAsia"/>
                <w:sz w:val="18"/>
                <w:szCs w:val="18"/>
              </w:rPr>
              <w:t xml:space="preserve"> </w:t>
            </w:r>
            <w:r>
              <w:rPr>
                <w:rFonts w:hint="eastAsia"/>
                <w:b w:val="0"/>
                <w:sz w:val="18"/>
                <w:szCs w:val="18"/>
              </w:rPr>
              <w:t>S.N.U.</w:t>
            </w:r>
          </w:p>
        </w:tc>
        <w:tc>
          <w:tcPr>
            <w:tcW w:w="1944" w:type="dxa"/>
            <w:tcBorders>
              <w:bottom w:val="single" w:sz="4" w:space="0" w:color="999999" w:themeColor="text1" w:themeTint="66"/>
            </w:tcBorders>
          </w:tcPr>
          <w:p w14:paraId="7068E9D4" w14:textId="77777777" w:rsidR="008E062A" w:rsidRDefault="00072D76">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 xml:space="preserve">2 </w:t>
            </w:r>
          </w:p>
        </w:tc>
      </w:tr>
      <w:tr w:rsidR="008E062A" w14:paraId="43F28176"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2876" w:type="dxa"/>
            <w:tcBorders>
              <w:top w:val="single" w:sz="4" w:space="0" w:color="999999" w:themeColor="text1" w:themeTint="66"/>
              <w:bottom w:val="single" w:sz="8" w:space="0" w:color="auto"/>
            </w:tcBorders>
          </w:tcPr>
          <w:p w14:paraId="2ACA313C" w14:textId="77777777" w:rsidR="008E062A" w:rsidRDefault="00072D76">
            <w:pPr>
              <w:spacing w:line="240" w:lineRule="auto"/>
              <w:jc w:val="center"/>
              <w:rPr>
                <w:b w:val="0"/>
                <w:bCs w:val="0"/>
                <w:sz w:val="18"/>
                <w:szCs w:val="18"/>
              </w:rPr>
            </w:pPr>
            <w:r>
              <w:rPr>
                <w:rFonts w:hint="eastAsia"/>
                <w:b w:val="0"/>
                <w:bCs w:val="0"/>
                <w:sz w:val="18"/>
                <w:szCs w:val="18"/>
              </w:rPr>
              <w:t>额外噪声</w:t>
            </w:r>
            <w:r>
              <w:rPr>
                <w:b w:val="0"/>
                <w:bCs w:val="0"/>
                <w:position w:val="-6"/>
                <w:sz w:val="18"/>
                <w:szCs w:val="18"/>
              </w:rPr>
              <w:object w:dxaOrig="207" w:dyaOrig="207" w14:anchorId="3A573B89">
                <v:shape id="_x0000_i1088" type="#_x0000_t75" style="width:10.35pt;height:10.35pt" o:ole="">
                  <v:imagedata r:id="rId133" o:title=""/>
                </v:shape>
                <o:OLEObject Type="Embed" ProgID="Equation.DSMT4" ShapeID="_x0000_i1088" DrawAspect="Content" ObjectID="_1832493462" r:id="rId134"/>
              </w:object>
            </w:r>
            <w:r>
              <w:rPr>
                <w:sz w:val="18"/>
                <w:szCs w:val="18"/>
              </w:rPr>
              <w:t>/</w:t>
            </w:r>
            <w:r>
              <w:rPr>
                <w:rFonts w:hint="eastAsia"/>
                <w:sz w:val="18"/>
                <w:szCs w:val="18"/>
              </w:rPr>
              <w:t xml:space="preserve"> </w:t>
            </w:r>
            <w:r>
              <w:rPr>
                <w:rFonts w:hint="eastAsia"/>
                <w:b w:val="0"/>
                <w:sz w:val="18"/>
                <w:szCs w:val="18"/>
              </w:rPr>
              <w:t>S.N.U.</w:t>
            </w:r>
          </w:p>
        </w:tc>
        <w:tc>
          <w:tcPr>
            <w:tcW w:w="1944" w:type="dxa"/>
            <w:tcBorders>
              <w:top w:val="single" w:sz="4" w:space="0" w:color="999999" w:themeColor="text1" w:themeTint="66"/>
              <w:bottom w:val="single" w:sz="8" w:space="0" w:color="auto"/>
            </w:tcBorders>
          </w:tcPr>
          <w:p w14:paraId="1D8CF728" w14:textId="77777777" w:rsidR="008E062A" w:rsidRDefault="00072D76">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0.01</w:t>
            </w:r>
          </w:p>
        </w:tc>
      </w:tr>
    </w:tbl>
    <w:p w14:paraId="041A7400" w14:textId="77777777" w:rsidR="008E062A" w:rsidRDefault="00072D76">
      <w:pPr>
        <w:spacing w:line="317" w:lineRule="exact"/>
        <w:ind w:firstLineChars="200" w:firstLine="420"/>
        <w:textAlignment w:val="center"/>
        <w:rPr>
          <w:rFonts w:ascii="宋体" w:hAnsi="宋体"/>
          <w:iCs/>
        </w:rPr>
      </w:pPr>
      <w:r>
        <w:rPr>
          <w:rFonts w:ascii="宋体" w:hAnsi="宋体" w:hint="eastAsia"/>
          <w:iCs/>
        </w:rPr>
        <w:t>仿真得到的“墨子号”卫星与德令哈地面站之间的高度角、链路距离以及传输损耗随接入时间的变化关系如图 3 所示。其中，传输损耗由传输效率通过取对数转换得到，天顶角与高度角呈互余关系。</w:t>
      </w:r>
    </w:p>
    <w:p w14:paraId="05E0C712" w14:textId="3DCAE70B" w:rsidR="008E062A" w:rsidRDefault="00072D76">
      <w:pPr>
        <w:jc w:val="center"/>
        <w:textAlignment w:val="center"/>
        <w:rPr>
          <w:iCs/>
        </w:rPr>
      </w:pPr>
      <w:r>
        <w:rPr>
          <w:rFonts w:hint="eastAsia"/>
          <w:iCs/>
        </w:rPr>
        <w:t xml:space="preserve"> </w:t>
      </w:r>
      <w:r w:rsidR="003E172A">
        <w:rPr>
          <w:iCs/>
          <w:noProof/>
        </w:rPr>
        <w:drawing>
          <wp:inline distT="0" distB="0" distL="0" distR="0" wp14:anchorId="2C0E6212" wp14:editId="0F8207B1">
            <wp:extent cx="2877312" cy="2447544"/>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禹钧译visio图3a.jpg"/>
                    <pic:cNvPicPr/>
                  </pic:nvPicPr>
                  <pic:blipFill>
                    <a:blip r:embed="rId135">
                      <a:extLst>
                        <a:ext uri="{28A0092B-C50C-407E-A947-70E740481C1C}">
                          <a14:useLocalDpi xmlns:a14="http://schemas.microsoft.com/office/drawing/2010/main" val="0"/>
                        </a:ext>
                      </a:extLst>
                    </a:blip>
                    <a:stretch>
                      <a:fillRect/>
                    </a:stretch>
                  </pic:blipFill>
                  <pic:spPr>
                    <a:xfrm>
                      <a:off x="0" y="0"/>
                      <a:ext cx="2877312" cy="2447544"/>
                    </a:xfrm>
                    <a:prstGeom prst="rect">
                      <a:avLst/>
                    </a:prstGeom>
                  </pic:spPr>
                </pic:pic>
              </a:graphicData>
            </a:graphic>
          </wp:inline>
        </w:drawing>
      </w:r>
    </w:p>
    <w:p w14:paraId="2B9D3F43" w14:textId="77777777" w:rsidR="008E062A" w:rsidRDefault="00072D76">
      <w:pPr>
        <w:pStyle w:val="af6"/>
        <w:numPr>
          <w:ilvl w:val="0"/>
          <w:numId w:val="2"/>
        </w:numPr>
        <w:spacing w:line="240" w:lineRule="auto"/>
        <w:ind w:firstLineChars="0"/>
        <w:jc w:val="center"/>
        <w:textAlignment w:val="center"/>
        <w:rPr>
          <w:sz w:val="18"/>
          <w:szCs w:val="21"/>
        </w:rPr>
      </w:pPr>
      <w:r>
        <w:rPr>
          <w:rFonts w:hint="eastAsia"/>
          <w:sz w:val="18"/>
          <w:szCs w:val="21"/>
        </w:rPr>
        <w:t>高度角和距离</w:t>
      </w:r>
    </w:p>
    <w:p w14:paraId="2AA6D2A8" w14:textId="19E17112" w:rsidR="008E062A" w:rsidRDefault="003E172A">
      <w:pPr>
        <w:pStyle w:val="af6"/>
        <w:spacing w:line="240" w:lineRule="auto"/>
        <w:ind w:left="450" w:firstLineChars="900" w:firstLine="1620"/>
        <w:jc w:val="left"/>
        <w:textAlignment w:val="center"/>
        <w:rPr>
          <w:sz w:val="18"/>
          <w:szCs w:val="21"/>
        </w:rPr>
      </w:pPr>
      <w:r>
        <w:rPr>
          <w:noProof/>
          <w:sz w:val="18"/>
          <w:szCs w:val="21"/>
        </w:rPr>
        <w:drawing>
          <wp:inline distT="0" distB="0" distL="0" distR="0" wp14:anchorId="78BB8512" wp14:editId="39317EBD">
            <wp:extent cx="2801112" cy="2066544"/>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禹钧译visio图3b.jpg"/>
                    <pic:cNvPicPr/>
                  </pic:nvPicPr>
                  <pic:blipFill>
                    <a:blip r:embed="rId136">
                      <a:extLst>
                        <a:ext uri="{28A0092B-C50C-407E-A947-70E740481C1C}">
                          <a14:useLocalDpi xmlns:a14="http://schemas.microsoft.com/office/drawing/2010/main" val="0"/>
                        </a:ext>
                      </a:extLst>
                    </a:blip>
                    <a:stretch>
                      <a:fillRect/>
                    </a:stretch>
                  </pic:blipFill>
                  <pic:spPr>
                    <a:xfrm>
                      <a:off x="0" y="0"/>
                      <a:ext cx="2801112" cy="2066544"/>
                    </a:xfrm>
                    <a:prstGeom prst="rect">
                      <a:avLst/>
                    </a:prstGeom>
                  </pic:spPr>
                </pic:pic>
              </a:graphicData>
            </a:graphic>
          </wp:inline>
        </w:drawing>
      </w:r>
    </w:p>
    <w:p w14:paraId="5C11CF15" w14:textId="77777777" w:rsidR="008E062A" w:rsidRDefault="00072D76">
      <w:pPr>
        <w:spacing w:line="240" w:lineRule="auto"/>
        <w:jc w:val="center"/>
        <w:textAlignment w:val="center"/>
        <w:rPr>
          <w:sz w:val="18"/>
          <w:szCs w:val="21"/>
        </w:rPr>
      </w:pPr>
      <w:r>
        <w:rPr>
          <w:rFonts w:hint="eastAsia"/>
          <w:sz w:val="18"/>
          <w:szCs w:val="21"/>
        </w:rPr>
        <w:t>(b)</w:t>
      </w:r>
      <w:r>
        <w:rPr>
          <w:sz w:val="18"/>
          <w:szCs w:val="21"/>
        </w:rPr>
        <w:t xml:space="preserve"> </w:t>
      </w:r>
      <w:r>
        <w:rPr>
          <w:rFonts w:hint="eastAsia"/>
          <w:sz w:val="18"/>
          <w:szCs w:val="21"/>
        </w:rPr>
        <w:t>传输损耗</w:t>
      </w:r>
    </w:p>
    <w:p w14:paraId="5B202615" w14:textId="77777777" w:rsidR="008E062A" w:rsidRDefault="00072D76">
      <w:pPr>
        <w:spacing w:line="240" w:lineRule="auto"/>
        <w:ind w:firstLineChars="200" w:firstLine="361"/>
        <w:jc w:val="center"/>
        <w:rPr>
          <w:kern w:val="0"/>
        </w:rPr>
      </w:pPr>
      <w:r>
        <w:rPr>
          <w:rFonts w:hint="eastAsia"/>
          <w:b/>
          <w:bCs/>
          <w:sz w:val="18"/>
          <w:szCs w:val="21"/>
        </w:rPr>
        <w:lastRenderedPageBreak/>
        <w:t>图</w:t>
      </w:r>
      <w:r>
        <w:rPr>
          <w:rFonts w:hint="eastAsia"/>
          <w:b/>
          <w:bCs/>
          <w:sz w:val="18"/>
          <w:szCs w:val="21"/>
        </w:rPr>
        <w:t xml:space="preserve">3 </w:t>
      </w:r>
      <w:r>
        <w:rPr>
          <w:rFonts w:hint="eastAsia"/>
          <w:b/>
          <w:bCs/>
          <w:sz w:val="18"/>
          <w:szCs w:val="21"/>
        </w:rPr>
        <w:t>星地与德令哈站间的高度角、通信距离和传输损耗的变化关系</w:t>
      </w:r>
    </w:p>
    <w:p w14:paraId="54F5886D" w14:textId="77777777" w:rsidR="008E062A" w:rsidRDefault="00072D76">
      <w:pPr>
        <w:spacing w:line="240" w:lineRule="auto"/>
        <w:ind w:firstLineChars="200" w:firstLine="420"/>
        <w:rPr>
          <w:kern w:val="0"/>
        </w:rPr>
      </w:pPr>
      <w:r>
        <w:rPr>
          <w:rFonts w:hint="eastAsia"/>
          <w:kern w:val="0"/>
        </w:rPr>
        <w:t>卫星与地面站的通信总时长约为</w:t>
      </w:r>
      <w:r>
        <w:rPr>
          <w:rFonts w:hint="eastAsia"/>
          <w:kern w:val="0"/>
        </w:rPr>
        <w:t xml:space="preserve"> 440 s</w:t>
      </w:r>
      <w:r>
        <w:rPr>
          <w:rFonts w:hint="eastAsia"/>
          <w:kern w:val="0"/>
        </w:rPr>
        <w:t>。在通信过程中，星地链路的最短距离约为</w:t>
      </w:r>
      <w:r>
        <w:rPr>
          <w:rFonts w:hint="eastAsia"/>
          <w:kern w:val="0"/>
        </w:rPr>
        <w:t xml:space="preserve"> 490 km</w:t>
      </w:r>
      <w:r>
        <w:rPr>
          <w:rFonts w:hint="eastAsia"/>
          <w:kern w:val="0"/>
        </w:rPr>
        <w:t>，天顶角变化范围最大可达</w:t>
      </w:r>
      <w:r>
        <w:rPr>
          <w:rFonts w:hint="eastAsia"/>
          <w:kern w:val="0"/>
        </w:rPr>
        <w:t xml:space="preserve"> 85.2</w:t>
      </w:r>
      <w:r>
        <w:rPr>
          <w:rFonts w:hint="eastAsia"/>
          <w:kern w:val="0"/>
        </w:rPr>
        <w:t>°。传输损耗随接入时间的变化呈先减小后增大的趋势，在天顶角最小时（卫星过顶附近）达到最小值。</w:t>
      </w:r>
    </w:p>
    <w:p w14:paraId="03FF0A37" w14:textId="77777777" w:rsidR="008E062A" w:rsidRDefault="00072D76">
      <w:pPr>
        <w:spacing w:line="240" w:lineRule="auto"/>
        <w:ind w:firstLineChars="200" w:firstLine="420"/>
      </w:pPr>
      <w:r>
        <w:rPr>
          <w:rFonts w:hint="eastAsia"/>
          <w:kern w:val="0"/>
        </w:rPr>
        <w:t>通过修正的伽马分布函数对云滴谱数据进行拟合，本文对不同类型云层的平均云滴半径进行了参数化。云层仿真所采用的参数如表</w:t>
      </w:r>
      <w:r>
        <w:rPr>
          <w:rFonts w:hint="eastAsia"/>
          <w:kern w:val="0"/>
        </w:rPr>
        <w:t xml:space="preserve"> 3 </w:t>
      </w:r>
      <w:r>
        <w:rPr>
          <w:rFonts w:hint="eastAsia"/>
          <w:kern w:val="0"/>
        </w:rPr>
        <w:t>所示。</w:t>
      </w:r>
    </w:p>
    <w:p w14:paraId="698665CA" w14:textId="77777777" w:rsidR="008E062A" w:rsidRDefault="00072D76">
      <w:pPr>
        <w:spacing w:line="240" w:lineRule="auto"/>
        <w:ind w:firstLineChars="200" w:firstLine="360"/>
        <w:jc w:val="center"/>
        <w:rPr>
          <w:kern w:val="0"/>
          <w:sz w:val="18"/>
          <w:szCs w:val="18"/>
        </w:rPr>
      </w:pPr>
      <w:r>
        <w:rPr>
          <w:sz w:val="18"/>
          <w:szCs w:val="18"/>
        </w:rPr>
        <w:t>表</w:t>
      </w:r>
      <w:r>
        <w:rPr>
          <w:sz w:val="18"/>
          <w:szCs w:val="18"/>
        </w:rPr>
        <w:t xml:space="preserve">3 </w:t>
      </w:r>
      <w:r>
        <w:rPr>
          <w:sz w:val="18"/>
          <w:szCs w:val="18"/>
        </w:rPr>
        <w:t>云层仿真参数</w:t>
      </w:r>
    </w:p>
    <w:tbl>
      <w:tblPr>
        <w:tblStyle w:val="11"/>
        <w:tblpPr w:leftFromText="180" w:rightFromText="180" w:vertAnchor="text" w:horzAnchor="margin" w:tblpXSpec="center" w:tblpY="285"/>
        <w:tblW w:w="5963" w:type="dxa"/>
        <w:tblLook w:val="04A0" w:firstRow="1" w:lastRow="0" w:firstColumn="1" w:lastColumn="0" w:noHBand="0" w:noVBand="1"/>
      </w:tblPr>
      <w:tblGrid>
        <w:gridCol w:w="1710"/>
        <w:gridCol w:w="2212"/>
        <w:gridCol w:w="2041"/>
      </w:tblGrid>
      <w:tr w:rsidR="008E062A" w14:paraId="605AD273" w14:textId="77777777" w:rsidTr="008E062A">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710" w:type="dxa"/>
            <w:tcBorders>
              <w:top w:val="single" w:sz="8" w:space="0" w:color="auto"/>
              <w:bottom w:val="single" w:sz="8" w:space="0" w:color="auto"/>
            </w:tcBorders>
          </w:tcPr>
          <w:p w14:paraId="27EB9562" w14:textId="77777777" w:rsidR="008E062A" w:rsidRDefault="00072D76">
            <w:pPr>
              <w:pStyle w:val="af8"/>
              <w:spacing w:line="240" w:lineRule="auto"/>
              <w:ind w:firstLineChars="0" w:firstLine="0"/>
              <w:rPr>
                <w:rFonts w:ascii="宋体" w:hAnsi="宋体"/>
                <w:sz w:val="18"/>
                <w:szCs w:val="18"/>
              </w:rPr>
            </w:pPr>
            <w:r>
              <w:rPr>
                <w:rFonts w:ascii="宋体" w:hAnsi="宋体" w:hint="eastAsia"/>
                <w:b w:val="0"/>
                <w:bCs w:val="0"/>
                <w:sz w:val="18"/>
                <w:szCs w:val="18"/>
              </w:rPr>
              <w:t>云层类型</w:t>
            </w:r>
          </w:p>
        </w:tc>
        <w:tc>
          <w:tcPr>
            <w:tcW w:w="2212" w:type="dxa"/>
            <w:tcBorders>
              <w:top w:val="single" w:sz="8" w:space="0" w:color="auto"/>
              <w:bottom w:val="single" w:sz="8" w:space="0" w:color="auto"/>
            </w:tcBorders>
          </w:tcPr>
          <w:p w14:paraId="13CE9F94" w14:textId="77777777" w:rsidR="008E062A" w:rsidRDefault="00072D76">
            <w:pPr>
              <w:pStyle w:val="af8"/>
              <w:spacing w:line="240" w:lineRule="auto"/>
              <w:ind w:firstLineChars="0" w:firstLine="0"/>
              <w:cnfStyle w:val="100000000000" w:firstRow="1" w:lastRow="0" w:firstColumn="0" w:lastColumn="0" w:oddVBand="0" w:evenVBand="0" w:oddHBand="0" w:evenHBand="0" w:firstRowFirstColumn="0" w:firstRowLastColumn="0" w:lastRowFirstColumn="0" w:lastRowLastColumn="0"/>
              <w:rPr>
                <w:b w:val="0"/>
                <w:bCs w:val="0"/>
                <w:snapToGrid w:val="0"/>
              </w:rPr>
            </w:pPr>
            <w:r>
              <w:rPr>
                <w:rFonts w:hint="eastAsia"/>
                <w:b w:val="0"/>
                <w:bCs w:val="0"/>
                <w:snapToGrid w:val="0"/>
              </w:rPr>
              <w:t xml:space="preserve">G </w:t>
            </w:r>
            <w:r>
              <w:rPr>
                <w:rFonts w:hint="eastAsia"/>
                <w:b w:val="0"/>
                <w:bCs w:val="0"/>
                <w:snapToGrid w:val="0"/>
                <w:position w:val="2"/>
              </w:rPr>
              <w:t>(</w:t>
            </w:r>
            <w:r>
              <w:rPr>
                <w:rFonts w:eastAsiaTheme="minorEastAsia"/>
                <w:b w:val="0"/>
                <w:bCs w:val="0"/>
                <w:snapToGrid w:val="0"/>
                <w:position w:val="2"/>
              </w:rPr>
              <w:t>g/m</w:t>
            </w:r>
            <w:r>
              <w:rPr>
                <w:rFonts w:eastAsiaTheme="minorEastAsia"/>
                <w:b w:val="0"/>
                <w:bCs w:val="0"/>
                <w:snapToGrid w:val="0"/>
                <w:position w:val="2"/>
                <w:vertAlign w:val="superscript"/>
              </w:rPr>
              <w:t>3</w:t>
            </w:r>
            <w:r>
              <w:rPr>
                <w:rFonts w:ascii="宋体" w:hAnsi="宋体" w:cs="宋体" w:hint="eastAsia"/>
                <w:snapToGrid w:val="0"/>
                <w:position w:val="2"/>
              </w:rPr>
              <w:t>）</w:t>
            </w:r>
          </w:p>
        </w:tc>
        <w:tc>
          <w:tcPr>
            <w:tcW w:w="2041" w:type="dxa"/>
            <w:tcBorders>
              <w:top w:val="single" w:sz="8" w:space="0" w:color="auto"/>
              <w:bottom w:val="single" w:sz="8" w:space="0" w:color="auto"/>
            </w:tcBorders>
          </w:tcPr>
          <w:p w14:paraId="78CCB579" w14:textId="77777777" w:rsidR="008E062A" w:rsidRDefault="00072D76">
            <w:pPr>
              <w:pStyle w:val="af8"/>
              <w:spacing w:line="240" w:lineRule="auto"/>
              <w:ind w:firstLineChars="0" w:firstLine="0"/>
              <w:cnfStyle w:val="100000000000" w:firstRow="1" w:lastRow="0" w:firstColumn="0" w:lastColumn="0" w:oddVBand="0" w:evenVBand="0" w:oddHBand="0" w:evenHBand="0" w:firstRowFirstColumn="0" w:firstRowLastColumn="0" w:lastRowFirstColumn="0" w:lastRowLastColumn="0"/>
              <w:rPr>
                <w:b w:val="0"/>
                <w:bCs w:val="0"/>
              </w:rPr>
            </w:pPr>
            <w:r>
              <w:rPr>
                <w:rFonts w:hint="eastAsia"/>
                <w:b w:val="0"/>
                <w:bCs w:val="0"/>
              </w:rPr>
              <w:t>r</w:t>
            </w:r>
            <w:r>
              <w:rPr>
                <w:rFonts w:hint="eastAsia"/>
                <w:b w:val="0"/>
                <w:bCs w:val="0"/>
                <w:vertAlign w:val="subscript"/>
              </w:rPr>
              <w:t>c</w:t>
            </w:r>
            <w:r>
              <w:rPr>
                <w:rFonts w:eastAsiaTheme="minorEastAsia" w:hint="eastAsia"/>
                <w:vertAlign w:val="subscript"/>
              </w:rPr>
              <w:t xml:space="preserve"> </w:t>
            </w:r>
            <w:r>
              <w:rPr>
                <w:rFonts w:eastAsiaTheme="minorEastAsia" w:hint="eastAsia"/>
                <w:b w:val="0"/>
                <w:bCs w:val="0"/>
              </w:rPr>
              <w:t>(</w:t>
            </w:r>
            <w:r>
              <w:rPr>
                <w:rFonts w:eastAsiaTheme="minorEastAsia"/>
                <w:b w:val="0"/>
                <w:bCs w:val="0"/>
              </w:rPr>
              <w:t>μm</w:t>
            </w:r>
            <w:r>
              <w:rPr>
                <w:rFonts w:ascii="宋体" w:hAnsi="宋体" w:cs="宋体" w:hint="eastAsia"/>
              </w:rPr>
              <w:t>）</w:t>
            </w:r>
          </w:p>
        </w:tc>
      </w:tr>
      <w:tr w:rsidR="008E062A" w14:paraId="6771A6E2"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1710" w:type="dxa"/>
            <w:tcBorders>
              <w:top w:val="single" w:sz="8" w:space="0" w:color="auto"/>
            </w:tcBorders>
          </w:tcPr>
          <w:p w14:paraId="17486A69" w14:textId="77777777" w:rsidR="008E062A" w:rsidRDefault="00072D76">
            <w:pPr>
              <w:pStyle w:val="af8"/>
              <w:spacing w:line="240" w:lineRule="auto"/>
              <w:ind w:firstLineChars="0" w:firstLine="0"/>
              <w:rPr>
                <w:rFonts w:ascii="宋体" w:hAnsi="宋体"/>
                <w:sz w:val="18"/>
                <w:szCs w:val="18"/>
              </w:rPr>
            </w:pPr>
            <w:r>
              <w:rPr>
                <w:rFonts w:ascii="宋体" w:hAnsi="宋体" w:hint="eastAsia"/>
                <w:b w:val="0"/>
                <w:bCs w:val="0"/>
                <w:sz w:val="18"/>
                <w:szCs w:val="18"/>
              </w:rPr>
              <w:t>积云</w:t>
            </w:r>
          </w:p>
        </w:tc>
        <w:tc>
          <w:tcPr>
            <w:tcW w:w="2212" w:type="dxa"/>
            <w:tcBorders>
              <w:top w:val="single" w:sz="8" w:space="0" w:color="auto"/>
            </w:tcBorders>
          </w:tcPr>
          <w:p w14:paraId="5026EF72" w14:textId="77777777" w:rsidR="008E062A" w:rsidRDefault="00072D76">
            <w:pPr>
              <w:pStyle w:val="af8"/>
              <w:spacing w:line="240" w:lineRule="auto"/>
              <w:ind w:firstLineChars="0" w:firstLine="0"/>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1</w:t>
            </w:r>
          </w:p>
        </w:tc>
        <w:tc>
          <w:tcPr>
            <w:tcW w:w="2041" w:type="dxa"/>
            <w:tcBorders>
              <w:top w:val="single" w:sz="8" w:space="0" w:color="auto"/>
            </w:tcBorders>
          </w:tcPr>
          <w:p w14:paraId="00BCD630" w14:textId="77777777" w:rsidR="008E062A" w:rsidRDefault="00072D76">
            <w:pPr>
              <w:pStyle w:val="af8"/>
              <w:spacing w:line="240" w:lineRule="auto"/>
              <w:ind w:firstLineChars="0" w:firstLine="0"/>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6</w:t>
            </w:r>
          </w:p>
        </w:tc>
      </w:tr>
      <w:tr w:rsidR="008E062A" w14:paraId="56485590"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1710" w:type="dxa"/>
          </w:tcPr>
          <w:p w14:paraId="0E1C15D4" w14:textId="77777777" w:rsidR="008E062A" w:rsidRDefault="00072D76">
            <w:pPr>
              <w:pStyle w:val="af8"/>
              <w:spacing w:line="240" w:lineRule="auto"/>
              <w:ind w:firstLineChars="0" w:firstLine="0"/>
              <w:rPr>
                <w:rFonts w:ascii="宋体" w:hAnsi="宋体"/>
                <w:b w:val="0"/>
                <w:bCs w:val="0"/>
                <w:sz w:val="18"/>
                <w:szCs w:val="18"/>
              </w:rPr>
            </w:pPr>
            <w:r>
              <w:rPr>
                <w:rFonts w:ascii="宋体" w:hAnsi="宋体" w:hint="eastAsia"/>
                <w:b w:val="0"/>
                <w:bCs w:val="0"/>
                <w:sz w:val="18"/>
                <w:szCs w:val="18"/>
              </w:rPr>
              <w:t>层云</w:t>
            </w:r>
          </w:p>
        </w:tc>
        <w:tc>
          <w:tcPr>
            <w:tcW w:w="2212" w:type="dxa"/>
          </w:tcPr>
          <w:p w14:paraId="667E3044" w14:textId="77777777" w:rsidR="008E062A" w:rsidRDefault="00072D76">
            <w:pPr>
              <w:pStyle w:val="af8"/>
              <w:spacing w:line="240" w:lineRule="auto"/>
              <w:ind w:firstLineChars="0" w:firstLine="0"/>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0.29</w:t>
            </w:r>
          </w:p>
        </w:tc>
        <w:tc>
          <w:tcPr>
            <w:tcW w:w="2041" w:type="dxa"/>
          </w:tcPr>
          <w:p w14:paraId="120EA122" w14:textId="77777777" w:rsidR="008E062A" w:rsidRDefault="00072D76">
            <w:pPr>
              <w:pStyle w:val="af8"/>
              <w:spacing w:line="240" w:lineRule="auto"/>
              <w:ind w:firstLineChars="0" w:firstLine="0"/>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3.33</w:t>
            </w:r>
          </w:p>
        </w:tc>
      </w:tr>
      <w:tr w:rsidR="008E062A" w14:paraId="71F41481"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1710" w:type="dxa"/>
          </w:tcPr>
          <w:p w14:paraId="300768B4" w14:textId="77777777" w:rsidR="008E062A" w:rsidRDefault="00072D76">
            <w:pPr>
              <w:pStyle w:val="af8"/>
              <w:spacing w:line="240" w:lineRule="auto"/>
              <w:ind w:firstLineChars="0" w:firstLine="0"/>
              <w:rPr>
                <w:rFonts w:ascii="宋体" w:hAnsi="宋体"/>
                <w:b w:val="0"/>
                <w:bCs w:val="0"/>
                <w:sz w:val="18"/>
                <w:szCs w:val="18"/>
              </w:rPr>
            </w:pPr>
            <w:r>
              <w:rPr>
                <w:rFonts w:ascii="宋体" w:hAnsi="宋体" w:hint="eastAsia"/>
                <w:b w:val="0"/>
                <w:bCs w:val="0"/>
                <w:sz w:val="18"/>
                <w:szCs w:val="18"/>
              </w:rPr>
              <w:t>层积云</w:t>
            </w:r>
          </w:p>
        </w:tc>
        <w:tc>
          <w:tcPr>
            <w:tcW w:w="2212" w:type="dxa"/>
          </w:tcPr>
          <w:p w14:paraId="274890BE" w14:textId="77777777" w:rsidR="008E062A" w:rsidRDefault="00072D76">
            <w:pPr>
              <w:pStyle w:val="af8"/>
              <w:spacing w:line="240" w:lineRule="auto"/>
              <w:ind w:firstLineChars="0" w:firstLine="0"/>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0.15</w:t>
            </w:r>
          </w:p>
        </w:tc>
        <w:tc>
          <w:tcPr>
            <w:tcW w:w="2041" w:type="dxa"/>
          </w:tcPr>
          <w:p w14:paraId="25E58A37" w14:textId="77777777" w:rsidR="008E062A" w:rsidRDefault="00072D76">
            <w:pPr>
              <w:pStyle w:val="af8"/>
              <w:spacing w:line="240" w:lineRule="auto"/>
              <w:ind w:firstLineChars="0" w:firstLine="0"/>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2.67</w:t>
            </w:r>
          </w:p>
        </w:tc>
      </w:tr>
      <w:tr w:rsidR="008E062A" w14:paraId="5A580B62"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1710" w:type="dxa"/>
          </w:tcPr>
          <w:p w14:paraId="3BC37F5E" w14:textId="77777777" w:rsidR="008E062A" w:rsidRDefault="00072D76">
            <w:pPr>
              <w:pStyle w:val="af8"/>
              <w:spacing w:line="240" w:lineRule="auto"/>
              <w:ind w:firstLineChars="0" w:firstLine="0"/>
              <w:rPr>
                <w:rFonts w:ascii="宋体" w:hAnsi="宋体"/>
                <w:sz w:val="18"/>
                <w:szCs w:val="18"/>
              </w:rPr>
            </w:pPr>
            <w:r>
              <w:rPr>
                <w:rFonts w:ascii="宋体" w:hAnsi="宋体" w:hint="eastAsia"/>
                <w:b w:val="0"/>
                <w:bCs w:val="0"/>
                <w:sz w:val="18"/>
                <w:szCs w:val="18"/>
              </w:rPr>
              <w:t>高层云</w:t>
            </w:r>
          </w:p>
        </w:tc>
        <w:tc>
          <w:tcPr>
            <w:tcW w:w="2212" w:type="dxa"/>
          </w:tcPr>
          <w:p w14:paraId="55F9FF35" w14:textId="77777777" w:rsidR="008E062A" w:rsidRDefault="00072D76">
            <w:pPr>
              <w:pStyle w:val="af8"/>
              <w:spacing w:line="240" w:lineRule="auto"/>
              <w:ind w:firstLineChars="0" w:firstLine="0"/>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0.41</w:t>
            </w:r>
          </w:p>
        </w:tc>
        <w:tc>
          <w:tcPr>
            <w:tcW w:w="2041" w:type="dxa"/>
          </w:tcPr>
          <w:p w14:paraId="72C067B9" w14:textId="77777777" w:rsidR="008E062A" w:rsidRDefault="00072D76">
            <w:pPr>
              <w:pStyle w:val="af8"/>
              <w:spacing w:line="240" w:lineRule="auto"/>
              <w:ind w:firstLineChars="0" w:firstLine="0"/>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4.5</w:t>
            </w:r>
          </w:p>
        </w:tc>
      </w:tr>
      <w:tr w:rsidR="008E062A" w14:paraId="50039A61"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1710" w:type="dxa"/>
          </w:tcPr>
          <w:p w14:paraId="7EB98D15" w14:textId="77777777" w:rsidR="008E062A" w:rsidRDefault="00072D76">
            <w:pPr>
              <w:pStyle w:val="af8"/>
              <w:spacing w:line="240" w:lineRule="auto"/>
              <w:ind w:firstLineChars="0" w:firstLine="0"/>
              <w:rPr>
                <w:rFonts w:ascii="宋体" w:hAnsi="宋体"/>
                <w:b w:val="0"/>
                <w:bCs w:val="0"/>
                <w:sz w:val="18"/>
                <w:szCs w:val="18"/>
              </w:rPr>
            </w:pPr>
            <w:r>
              <w:rPr>
                <w:rFonts w:ascii="宋体" w:hAnsi="宋体" w:hint="eastAsia"/>
                <w:b w:val="0"/>
                <w:bCs w:val="0"/>
                <w:sz w:val="18"/>
                <w:szCs w:val="18"/>
              </w:rPr>
              <w:t>雨层云</w:t>
            </w:r>
          </w:p>
        </w:tc>
        <w:tc>
          <w:tcPr>
            <w:tcW w:w="2212" w:type="dxa"/>
          </w:tcPr>
          <w:p w14:paraId="2F6660B5" w14:textId="77777777" w:rsidR="008E062A" w:rsidRDefault="00072D76">
            <w:pPr>
              <w:pStyle w:val="af8"/>
              <w:spacing w:line="240" w:lineRule="auto"/>
              <w:ind w:firstLineChars="0" w:firstLine="0"/>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0.65</w:t>
            </w:r>
          </w:p>
        </w:tc>
        <w:tc>
          <w:tcPr>
            <w:tcW w:w="2041" w:type="dxa"/>
          </w:tcPr>
          <w:p w14:paraId="0598BFD2" w14:textId="77777777" w:rsidR="008E062A" w:rsidRDefault="00072D76">
            <w:pPr>
              <w:pStyle w:val="af8"/>
              <w:spacing w:line="240" w:lineRule="auto"/>
              <w:ind w:firstLineChars="0" w:firstLine="0"/>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4.7</w:t>
            </w:r>
          </w:p>
        </w:tc>
      </w:tr>
      <w:tr w:rsidR="008E062A" w14:paraId="7F8F1EE7"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1710" w:type="dxa"/>
            <w:tcBorders>
              <w:bottom w:val="dotted" w:sz="4" w:space="0" w:color="auto"/>
            </w:tcBorders>
          </w:tcPr>
          <w:p w14:paraId="354652D5" w14:textId="77777777" w:rsidR="008E062A" w:rsidRDefault="00072D76">
            <w:pPr>
              <w:pStyle w:val="af8"/>
              <w:spacing w:line="240" w:lineRule="auto"/>
              <w:ind w:firstLineChars="0" w:firstLine="0"/>
              <w:rPr>
                <w:rFonts w:ascii="宋体" w:hAnsi="宋体"/>
                <w:b w:val="0"/>
                <w:bCs w:val="0"/>
                <w:sz w:val="18"/>
                <w:szCs w:val="18"/>
              </w:rPr>
            </w:pPr>
            <w:r>
              <w:rPr>
                <w:rFonts w:ascii="宋体" w:hAnsi="宋体" w:hint="eastAsia"/>
                <w:b w:val="0"/>
                <w:bCs w:val="0"/>
                <w:sz w:val="18"/>
                <w:szCs w:val="18"/>
              </w:rPr>
              <w:t>卷云</w:t>
            </w:r>
          </w:p>
        </w:tc>
        <w:tc>
          <w:tcPr>
            <w:tcW w:w="2212" w:type="dxa"/>
            <w:tcBorders>
              <w:bottom w:val="dotted" w:sz="4" w:space="0" w:color="auto"/>
            </w:tcBorders>
          </w:tcPr>
          <w:p w14:paraId="65E475D1" w14:textId="77777777" w:rsidR="008E062A" w:rsidRDefault="00072D76">
            <w:pPr>
              <w:pStyle w:val="af8"/>
              <w:spacing w:line="240" w:lineRule="auto"/>
              <w:ind w:firstLineChars="0" w:firstLine="0"/>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0.06405</w:t>
            </w:r>
          </w:p>
        </w:tc>
        <w:tc>
          <w:tcPr>
            <w:tcW w:w="2041" w:type="dxa"/>
            <w:tcBorders>
              <w:bottom w:val="dotted" w:sz="4" w:space="0" w:color="auto"/>
            </w:tcBorders>
          </w:tcPr>
          <w:p w14:paraId="0888B4DC" w14:textId="77777777" w:rsidR="008E062A" w:rsidRDefault="00072D76">
            <w:pPr>
              <w:pStyle w:val="af8"/>
              <w:spacing w:line="240" w:lineRule="auto"/>
              <w:ind w:firstLineChars="0" w:firstLine="0"/>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64</w:t>
            </w:r>
          </w:p>
        </w:tc>
      </w:tr>
      <w:tr w:rsidR="008E062A" w14:paraId="4D667A3E" w14:textId="77777777" w:rsidTr="008E062A">
        <w:trPr>
          <w:trHeight w:val="57"/>
        </w:trPr>
        <w:tc>
          <w:tcPr>
            <w:cnfStyle w:val="001000000000" w:firstRow="0" w:lastRow="0" w:firstColumn="1" w:lastColumn="0" w:oddVBand="0" w:evenVBand="0" w:oddHBand="0" w:evenHBand="0" w:firstRowFirstColumn="0" w:firstRowLastColumn="0" w:lastRowFirstColumn="0" w:lastRowLastColumn="0"/>
            <w:tcW w:w="1710" w:type="dxa"/>
            <w:tcBorders>
              <w:bottom w:val="single" w:sz="8" w:space="0" w:color="auto"/>
            </w:tcBorders>
          </w:tcPr>
          <w:p w14:paraId="30A192F5" w14:textId="77777777" w:rsidR="008E062A" w:rsidRDefault="00072D76">
            <w:pPr>
              <w:pStyle w:val="af8"/>
              <w:spacing w:line="240" w:lineRule="auto"/>
              <w:ind w:firstLineChars="0" w:firstLine="0"/>
              <w:rPr>
                <w:rFonts w:ascii="宋体" w:hAnsi="宋体"/>
                <w:b w:val="0"/>
                <w:bCs w:val="0"/>
                <w:sz w:val="18"/>
                <w:szCs w:val="18"/>
              </w:rPr>
            </w:pPr>
            <w:r>
              <w:rPr>
                <w:rFonts w:ascii="宋体" w:hAnsi="宋体" w:hint="eastAsia"/>
                <w:b w:val="0"/>
                <w:bCs w:val="0"/>
                <w:sz w:val="18"/>
                <w:szCs w:val="18"/>
              </w:rPr>
              <w:t>薄卷云</w:t>
            </w:r>
          </w:p>
        </w:tc>
        <w:tc>
          <w:tcPr>
            <w:tcW w:w="2212" w:type="dxa"/>
            <w:tcBorders>
              <w:bottom w:val="single" w:sz="8" w:space="0" w:color="auto"/>
            </w:tcBorders>
          </w:tcPr>
          <w:p w14:paraId="418F9167" w14:textId="77777777" w:rsidR="008E062A" w:rsidRDefault="00072D76">
            <w:pPr>
              <w:pStyle w:val="af8"/>
              <w:spacing w:line="240" w:lineRule="auto"/>
              <w:ind w:firstLineChars="0" w:firstLine="0"/>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3.128×10</w:t>
            </w:r>
            <w:r>
              <w:rPr>
                <w:rFonts w:hint="eastAsia"/>
                <w:sz w:val="18"/>
                <w:szCs w:val="18"/>
                <w:vertAlign w:val="superscript"/>
              </w:rPr>
              <w:t>-4</w:t>
            </w:r>
          </w:p>
        </w:tc>
        <w:tc>
          <w:tcPr>
            <w:tcW w:w="2041" w:type="dxa"/>
            <w:tcBorders>
              <w:bottom w:val="single" w:sz="8" w:space="0" w:color="auto"/>
            </w:tcBorders>
          </w:tcPr>
          <w:p w14:paraId="3BC9F270" w14:textId="77777777" w:rsidR="008E062A" w:rsidRDefault="00072D76">
            <w:pPr>
              <w:pStyle w:val="af8"/>
              <w:spacing w:line="240" w:lineRule="auto"/>
              <w:ind w:firstLineChars="0" w:firstLine="0"/>
              <w:cnfStyle w:val="000000000000" w:firstRow="0" w:lastRow="0" w:firstColumn="0" w:lastColumn="0" w:oddVBand="0" w:evenVBand="0" w:oddHBand="0" w:evenHBand="0" w:firstRowFirstColumn="0" w:firstRowLastColumn="0" w:lastRowFirstColumn="0" w:lastRowLastColumn="0"/>
              <w:rPr>
                <w:sz w:val="18"/>
                <w:szCs w:val="18"/>
              </w:rPr>
            </w:pPr>
            <w:r>
              <w:rPr>
                <w:rFonts w:hint="eastAsia"/>
                <w:sz w:val="18"/>
                <w:szCs w:val="18"/>
              </w:rPr>
              <w:t>4</w:t>
            </w:r>
          </w:p>
        </w:tc>
      </w:tr>
    </w:tbl>
    <w:p w14:paraId="1F1C2468" w14:textId="77777777" w:rsidR="008E062A" w:rsidRDefault="008E062A">
      <w:pPr>
        <w:pStyle w:val="af8"/>
        <w:spacing w:line="240" w:lineRule="auto"/>
        <w:ind w:firstLineChars="95" w:firstLine="199"/>
        <w:jc w:val="both"/>
      </w:pPr>
    </w:p>
    <w:p w14:paraId="15AD5CF6" w14:textId="77777777" w:rsidR="008E062A" w:rsidRDefault="008E062A">
      <w:pPr>
        <w:spacing w:line="240" w:lineRule="auto"/>
        <w:rPr>
          <w:b/>
          <w:szCs w:val="21"/>
        </w:rPr>
      </w:pPr>
    </w:p>
    <w:p w14:paraId="3F03DCEF" w14:textId="77777777" w:rsidR="008E062A" w:rsidRDefault="008E062A">
      <w:pPr>
        <w:spacing w:line="240" w:lineRule="auto"/>
        <w:rPr>
          <w:b/>
          <w:szCs w:val="21"/>
        </w:rPr>
      </w:pPr>
    </w:p>
    <w:p w14:paraId="2EC86F4F" w14:textId="77777777" w:rsidR="008E062A" w:rsidRDefault="008E062A">
      <w:pPr>
        <w:spacing w:line="240" w:lineRule="auto"/>
        <w:rPr>
          <w:b/>
          <w:szCs w:val="21"/>
        </w:rPr>
      </w:pPr>
    </w:p>
    <w:p w14:paraId="1F7545E2" w14:textId="77777777" w:rsidR="008E062A" w:rsidRDefault="008E062A">
      <w:pPr>
        <w:spacing w:line="240" w:lineRule="auto"/>
        <w:rPr>
          <w:b/>
          <w:szCs w:val="21"/>
        </w:rPr>
      </w:pPr>
    </w:p>
    <w:p w14:paraId="271C137E" w14:textId="77777777" w:rsidR="008E062A" w:rsidRDefault="008E062A">
      <w:pPr>
        <w:spacing w:line="240" w:lineRule="auto"/>
        <w:rPr>
          <w:b/>
          <w:szCs w:val="21"/>
        </w:rPr>
      </w:pPr>
    </w:p>
    <w:p w14:paraId="420471D1" w14:textId="77777777" w:rsidR="008E062A" w:rsidRDefault="008E062A">
      <w:pPr>
        <w:spacing w:line="240" w:lineRule="auto"/>
        <w:rPr>
          <w:b/>
          <w:szCs w:val="21"/>
        </w:rPr>
      </w:pPr>
    </w:p>
    <w:p w14:paraId="76E2ED74" w14:textId="77777777" w:rsidR="008E062A" w:rsidRDefault="008E062A">
      <w:pPr>
        <w:spacing w:line="240" w:lineRule="auto"/>
        <w:rPr>
          <w:b/>
          <w:szCs w:val="21"/>
        </w:rPr>
      </w:pPr>
    </w:p>
    <w:p w14:paraId="2D10E27E" w14:textId="77777777" w:rsidR="008E062A" w:rsidRDefault="008E062A">
      <w:pPr>
        <w:spacing w:line="240" w:lineRule="auto"/>
        <w:rPr>
          <w:b/>
          <w:szCs w:val="21"/>
        </w:rPr>
      </w:pPr>
    </w:p>
    <w:p w14:paraId="15B0D916" w14:textId="77777777" w:rsidR="008E062A" w:rsidRDefault="008E062A">
      <w:pPr>
        <w:spacing w:line="240" w:lineRule="auto"/>
        <w:rPr>
          <w:sz w:val="15"/>
          <w:szCs w:val="15"/>
        </w:rPr>
      </w:pPr>
    </w:p>
    <w:p w14:paraId="4BA5E77D" w14:textId="77777777" w:rsidR="008E062A" w:rsidRDefault="00072D76">
      <w:pPr>
        <w:wordWrap w:val="0"/>
        <w:spacing w:line="240" w:lineRule="auto"/>
        <w:ind w:firstLineChars="200" w:firstLine="420"/>
        <w:rPr>
          <w:kern w:val="0"/>
        </w:rPr>
      </w:pPr>
      <w:r>
        <w:rPr>
          <w:rFonts w:hint="eastAsia"/>
          <w:kern w:val="0"/>
        </w:rPr>
        <w:t>对云层能见度对信道衰减的影响进行了仿真分析，重点考察了不同波长下光信号在信道中的衰减特性。图</w:t>
      </w:r>
      <w:r>
        <w:rPr>
          <w:rFonts w:hint="eastAsia"/>
          <w:kern w:val="0"/>
        </w:rPr>
        <w:t xml:space="preserve"> 4 </w:t>
      </w:r>
      <w:r>
        <w:rPr>
          <w:rFonts w:hint="eastAsia"/>
          <w:kern w:val="0"/>
        </w:rPr>
        <w:t>给出了在云层厚度为</w:t>
      </w:r>
      <w:r>
        <w:rPr>
          <w:rFonts w:hint="eastAsia"/>
          <w:kern w:val="0"/>
        </w:rPr>
        <w:t xml:space="preserve"> 4 km </w:t>
      </w:r>
      <w:r>
        <w:rPr>
          <w:rFonts w:hint="eastAsia"/>
          <w:kern w:val="0"/>
        </w:rPr>
        <w:t>的条件下，信道衰减与能见度之间的关系。可以看出，信道衰减随云层能见度的增加呈指数衰减趋势：在能见度为</w:t>
      </w:r>
      <w:r>
        <w:rPr>
          <w:rFonts w:hint="eastAsia"/>
          <w:kern w:val="0"/>
        </w:rPr>
        <w:t xml:space="preserve"> 0</w:t>
      </w:r>
      <w:r>
        <w:rPr>
          <w:rFonts w:hint="eastAsia"/>
          <w:kern w:val="0"/>
        </w:rPr>
        <w:t>–</w:t>
      </w:r>
      <w:r>
        <w:rPr>
          <w:rFonts w:hint="eastAsia"/>
          <w:kern w:val="0"/>
        </w:rPr>
        <w:t xml:space="preserve">5 km </w:t>
      </w:r>
      <w:r>
        <w:rPr>
          <w:rFonts w:hint="eastAsia"/>
          <w:kern w:val="0"/>
        </w:rPr>
        <w:t>范围内，衰减从约</w:t>
      </w:r>
      <w:r>
        <w:rPr>
          <w:rFonts w:hint="eastAsia"/>
          <w:kern w:val="0"/>
        </w:rPr>
        <w:t xml:space="preserve"> 6000 dB </w:t>
      </w:r>
      <w:r>
        <w:rPr>
          <w:rFonts w:hint="eastAsia"/>
          <w:kern w:val="0"/>
        </w:rPr>
        <w:t>快速下降至约</w:t>
      </w:r>
      <w:r>
        <w:rPr>
          <w:rFonts w:hint="eastAsia"/>
          <w:kern w:val="0"/>
        </w:rPr>
        <w:t xml:space="preserve"> 10 dB</w:t>
      </w:r>
      <w:r>
        <w:rPr>
          <w:rFonts w:hint="eastAsia"/>
          <w:kern w:val="0"/>
        </w:rPr>
        <w:t>；当能见度超过</w:t>
      </w:r>
      <w:r>
        <w:rPr>
          <w:rFonts w:hint="eastAsia"/>
          <w:kern w:val="0"/>
        </w:rPr>
        <w:t xml:space="preserve"> 5 km </w:t>
      </w:r>
      <w:r>
        <w:rPr>
          <w:rFonts w:hint="eastAsia"/>
          <w:kern w:val="0"/>
        </w:rPr>
        <w:t>后，衰减的下降速率明显减缓。此外，在能见度低于</w:t>
      </w:r>
      <w:r>
        <w:rPr>
          <w:rFonts w:hint="eastAsia"/>
          <w:kern w:val="0"/>
        </w:rPr>
        <w:t xml:space="preserve"> 5 km </w:t>
      </w:r>
      <w:r>
        <w:rPr>
          <w:rFonts w:hint="eastAsia"/>
          <w:kern w:val="0"/>
        </w:rPr>
        <w:t>时，</w:t>
      </w:r>
      <w:r>
        <w:rPr>
          <w:rFonts w:hint="eastAsia"/>
          <w:kern w:val="0"/>
        </w:rPr>
        <w:t xml:space="preserve">810 nm </w:t>
      </w:r>
      <w:r>
        <w:rPr>
          <w:rFonts w:hint="eastAsia"/>
          <w:kern w:val="0"/>
        </w:rPr>
        <w:t>与</w:t>
      </w:r>
      <w:r>
        <w:rPr>
          <w:rFonts w:hint="eastAsia"/>
          <w:kern w:val="0"/>
        </w:rPr>
        <w:t xml:space="preserve"> 1550 nm </w:t>
      </w:r>
      <w:r>
        <w:rPr>
          <w:rFonts w:hint="eastAsia"/>
          <w:kern w:val="0"/>
        </w:rPr>
        <w:t>波长光束的衰减程度相近；而当能见度大于</w:t>
      </w:r>
      <w:r>
        <w:rPr>
          <w:rFonts w:hint="eastAsia"/>
          <w:kern w:val="0"/>
        </w:rPr>
        <w:t xml:space="preserve"> 5 km </w:t>
      </w:r>
      <w:r>
        <w:rPr>
          <w:rFonts w:hint="eastAsia"/>
          <w:kern w:val="0"/>
        </w:rPr>
        <w:t>时，</w:t>
      </w:r>
      <w:r>
        <w:rPr>
          <w:rFonts w:hint="eastAsia"/>
          <w:kern w:val="0"/>
        </w:rPr>
        <w:t xml:space="preserve">1550 nm </w:t>
      </w:r>
      <w:r>
        <w:rPr>
          <w:rFonts w:hint="eastAsia"/>
          <w:kern w:val="0"/>
        </w:rPr>
        <w:t>波长的衰减显著低于</w:t>
      </w:r>
      <w:r>
        <w:rPr>
          <w:rFonts w:hint="eastAsia"/>
          <w:kern w:val="0"/>
        </w:rPr>
        <w:t xml:space="preserve"> 810 nm </w:t>
      </w:r>
      <w:r>
        <w:rPr>
          <w:rFonts w:hint="eastAsia"/>
          <w:kern w:val="0"/>
        </w:rPr>
        <w:t>波长，表明在高能见度条件下，</w:t>
      </w:r>
      <w:r>
        <w:rPr>
          <w:rFonts w:hint="eastAsia"/>
          <w:kern w:val="0"/>
        </w:rPr>
        <w:t xml:space="preserve">1550 nm </w:t>
      </w:r>
      <w:r>
        <w:rPr>
          <w:rFonts w:hint="eastAsia"/>
          <w:kern w:val="0"/>
        </w:rPr>
        <w:t>波段具有更优的大气穿透性能。</w:t>
      </w:r>
    </w:p>
    <w:p w14:paraId="36AE7AA1" w14:textId="27A5AC5D" w:rsidR="008E062A" w:rsidRDefault="003E172A">
      <w:pPr>
        <w:jc w:val="center"/>
        <w:rPr>
          <w:b/>
          <w:szCs w:val="21"/>
        </w:rPr>
      </w:pPr>
      <w:r>
        <w:rPr>
          <w:b/>
          <w:noProof/>
          <w:szCs w:val="21"/>
        </w:rPr>
        <w:drawing>
          <wp:inline distT="0" distB="0" distL="0" distR="0" wp14:anchorId="19D2403B" wp14:editId="13170921">
            <wp:extent cx="2695956" cy="2295144"/>
            <wp:effectExtent l="0" t="0" r="952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禹钧译visio图4.jpg"/>
                    <pic:cNvPicPr/>
                  </pic:nvPicPr>
                  <pic:blipFill>
                    <a:blip r:embed="rId137">
                      <a:extLst>
                        <a:ext uri="{28A0092B-C50C-407E-A947-70E740481C1C}">
                          <a14:useLocalDpi xmlns:a14="http://schemas.microsoft.com/office/drawing/2010/main" val="0"/>
                        </a:ext>
                      </a:extLst>
                    </a:blip>
                    <a:stretch>
                      <a:fillRect/>
                    </a:stretch>
                  </pic:blipFill>
                  <pic:spPr>
                    <a:xfrm>
                      <a:off x="0" y="0"/>
                      <a:ext cx="2695956" cy="2295144"/>
                    </a:xfrm>
                    <a:prstGeom prst="rect">
                      <a:avLst/>
                    </a:prstGeom>
                  </pic:spPr>
                </pic:pic>
              </a:graphicData>
            </a:graphic>
          </wp:inline>
        </w:drawing>
      </w:r>
    </w:p>
    <w:p w14:paraId="730C51C8" w14:textId="77777777" w:rsidR="008E062A" w:rsidRDefault="00072D76">
      <w:pPr>
        <w:spacing w:line="240" w:lineRule="auto"/>
        <w:jc w:val="center"/>
        <w:textAlignment w:val="center"/>
        <w:rPr>
          <w:b/>
          <w:bCs/>
          <w:sz w:val="18"/>
          <w:szCs w:val="21"/>
        </w:rPr>
      </w:pPr>
      <w:r>
        <w:rPr>
          <w:rFonts w:hint="eastAsia"/>
          <w:b/>
          <w:bCs/>
          <w:sz w:val="18"/>
          <w:szCs w:val="21"/>
        </w:rPr>
        <w:t>图</w:t>
      </w:r>
      <w:r>
        <w:rPr>
          <w:rFonts w:hint="eastAsia"/>
          <w:b/>
          <w:bCs/>
          <w:sz w:val="18"/>
          <w:szCs w:val="21"/>
        </w:rPr>
        <w:t xml:space="preserve">4 </w:t>
      </w:r>
      <w:r>
        <w:rPr>
          <w:rFonts w:hint="eastAsia"/>
          <w:b/>
          <w:bCs/>
          <w:sz w:val="18"/>
          <w:szCs w:val="21"/>
        </w:rPr>
        <w:t>信道衰减随云层能见度的变化图</w:t>
      </w:r>
    </w:p>
    <w:p w14:paraId="4ABA0B05" w14:textId="77777777" w:rsidR="008E062A" w:rsidRDefault="00072D76">
      <w:pPr>
        <w:wordWrap w:val="0"/>
        <w:spacing w:line="240" w:lineRule="auto"/>
        <w:ind w:firstLineChars="200" w:firstLine="420"/>
        <w:rPr>
          <w:kern w:val="0"/>
        </w:rPr>
      </w:pPr>
      <w:r>
        <w:rPr>
          <w:rFonts w:hint="eastAsia"/>
          <w:kern w:val="0"/>
        </w:rPr>
        <w:t>将表</w:t>
      </w:r>
      <w:r>
        <w:rPr>
          <w:rFonts w:hint="eastAsia"/>
          <w:kern w:val="0"/>
        </w:rPr>
        <w:t xml:space="preserve"> 3 </w:t>
      </w:r>
      <w:r>
        <w:rPr>
          <w:rFonts w:hint="eastAsia"/>
          <w:kern w:val="0"/>
        </w:rPr>
        <w:t>中的参数代入式</w:t>
      </w:r>
      <w:r>
        <w:rPr>
          <w:rFonts w:hint="eastAsia"/>
          <w:kern w:val="0"/>
        </w:rPr>
        <w:t xml:space="preserve"> (12) </w:t>
      </w:r>
      <w:r>
        <w:rPr>
          <w:rFonts w:hint="eastAsia"/>
          <w:kern w:val="0"/>
        </w:rPr>
        <w:t>可得，层云、积云、雨积云与层积云的能见度差异较小。因此，本文以层云为代表，并选取卷云与薄卷云作为能见度差异较大的云层类型进行对比分析。不同云层及波长下的信道衰减特性如图</w:t>
      </w:r>
      <w:r>
        <w:rPr>
          <w:rFonts w:hint="eastAsia"/>
          <w:kern w:val="0"/>
        </w:rPr>
        <w:t xml:space="preserve"> 5 </w:t>
      </w:r>
      <w:r>
        <w:rPr>
          <w:rFonts w:hint="eastAsia"/>
          <w:kern w:val="0"/>
        </w:rPr>
        <w:t>所示。</w:t>
      </w:r>
    </w:p>
    <w:p w14:paraId="2F79D125" w14:textId="77777777" w:rsidR="008E062A" w:rsidRDefault="00072D76">
      <w:pPr>
        <w:wordWrap w:val="0"/>
        <w:spacing w:line="240" w:lineRule="auto"/>
        <w:ind w:firstLineChars="200" w:firstLine="420"/>
        <w:rPr>
          <w:kern w:val="0"/>
        </w:rPr>
      </w:pPr>
      <w:r>
        <w:rPr>
          <w:rFonts w:hint="eastAsia"/>
          <w:kern w:val="0"/>
        </w:rPr>
        <w:t>从图</w:t>
      </w:r>
      <w:r>
        <w:rPr>
          <w:rFonts w:hint="eastAsia"/>
          <w:kern w:val="0"/>
        </w:rPr>
        <w:t xml:space="preserve"> 5(a) </w:t>
      </w:r>
      <w:r>
        <w:rPr>
          <w:rFonts w:hint="eastAsia"/>
          <w:kern w:val="0"/>
        </w:rPr>
        <w:t>可见，在云层厚度为</w:t>
      </w:r>
      <w:r>
        <w:rPr>
          <w:rFonts w:hint="eastAsia"/>
          <w:kern w:val="0"/>
        </w:rPr>
        <w:t xml:space="preserve"> 0~4 km </w:t>
      </w:r>
      <w:r>
        <w:rPr>
          <w:rFonts w:hint="eastAsia"/>
          <w:kern w:val="0"/>
        </w:rPr>
        <w:t>范围内，卷云与薄卷云引起的信道衰减近似呈线性增长。在</w:t>
      </w:r>
      <w:r>
        <w:rPr>
          <w:rFonts w:hint="eastAsia"/>
          <w:kern w:val="0"/>
        </w:rPr>
        <w:t xml:space="preserve"> 1550 nm </w:t>
      </w:r>
      <w:r>
        <w:rPr>
          <w:rFonts w:hint="eastAsia"/>
          <w:kern w:val="0"/>
        </w:rPr>
        <w:t>波长下，最大衰减约为</w:t>
      </w:r>
      <w:r>
        <w:rPr>
          <w:rFonts w:hint="eastAsia"/>
          <w:kern w:val="0"/>
        </w:rPr>
        <w:t xml:space="preserve"> 0.3 dB</w:t>
      </w:r>
      <w:r>
        <w:rPr>
          <w:rFonts w:hint="eastAsia"/>
          <w:kern w:val="0"/>
        </w:rPr>
        <w:t>；而在</w:t>
      </w:r>
      <w:r>
        <w:rPr>
          <w:rFonts w:hint="eastAsia"/>
          <w:kern w:val="0"/>
        </w:rPr>
        <w:t xml:space="preserve"> 810 nm </w:t>
      </w:r>
      <w:r>
        <w:rPr>
          <w:rFonts w:hint="eastAsia"/>
          <w:kern w:val="0"/>
        </w:rPr>
        <w:t>波长下，最大衰减约为</w:t>
      </w:r>
      <w:r>
        <w:rPr>
          <w:rFonts w:hint="eastAsia"/>
          <w:kern w:val="0"/>
        </w:rPr>
        <w:t xml:space="preserve"> 0.9 dB</w:t>
      </w:r>
      <w:r>
        <w:rPr>
          <w:rFonts w:hint="eastAsia"/>
          <w:kern w:val="0"/>
        </w:rPr>
        <w:t>。</w:t>
      </w:r>
    </w:p>
    <w:p w14:paraId="7B71CCA6" w14:textId="77777777" w:rsidR="008E062A" w:rsidRDefault="00072D76">
      <w:pPr>
        <w:wordWrap w:val="0"/>
        <w:spacing w:line="240" w:lineRule="auto"/>
        <w:ind w:firstLineChars="200" w:firstLine="420"/>
        <w:rPr>
          <w:kern w:val="0"/>
        </w:rPr>
      </w:pPr>
      <w:r>
        <w:rPr>
          <w:rFonts w:hint="eastAsia"/>
          <w:kern w:val="0"/>
        </w:rPr>
        <w:t>从图</w:t>
      </w:r>
      <w:r>
        <w:rPr>
          <w:rFonts w:hint="eastAsia"/>
          <w:kern w:val="0"/>
        </w:rPr>
        <w:t xml:space="preserve"> 5(b) </w:t>
      </w:r>
      <w:r>
        <w:rPr>
          <w:rFonts w:hint="eastAsia"/>
          <w:kern w:val="0"/>
        </w:rPr>
        <w:t>可见，在层云信道中，</w:t>
      </w:r>
      <w:r>
        <w:rPr>
          <w:rFonts w:hint="eastAsia"/>
          <w:kern w:val="0"/>
        </w:rPr>
        <w:t xml:space="preserve">810 nm </w:t>
      </w:r>
      <w:r>
        <w:rPr>
          <w:rFonts w:hint="eastAsia"/>
          <w:kern w:val="0"/>
        </w:rPr>
        <w:t>与</w:t>
      </w:r>
      <w:r>
        <w:rPr>
          <w:rFonts w:hint="eastAsia"/>
          <w:kern w:val="0"/>
        </w:rPr>
        <w:t xml:space="preserve"> 1550 nm </w:t>
      </w:r>
      <w:r>
        <w:rPr>
          <w:rFonts w:hint="eastAsia"/>
          <w:kern w:val="0"/>
        </w:rPr>
        <w:t>波长的衰减几乎重合，表明波长</w:t>
      </w:r>
      <w:r>
        <w:rPr>
          <w:rFonts w:hint="eastAsia"/>
          <w:kern w:val="0"/>
        </w:rPr>
        <w:lastRenderedPageBreak/>
        <w:t>对层云引起的衰减影响较小。然而，当层云厚度仅为</w:t>
      </w:r>
      <w:r>
        <w:rPr>
          <w:rFonts w:hint="eastAsia"/>
          <w:kern w:val="0"/>
        </w:rPr>
        <w:t xml:space="preserve"> 100 m </w:t>
      </w:r>
      <w:r>
        <w:rPr>
          <w:rFonts w:hint="eastAsia"/>
          <w:kern w:val="0"/>
        </w:rPr>
        <w:t>时，信道衰减已达到约</w:t>
      </w:r>
      <w:r>
        <w:rPr>
          <w:rFonts w:hint="eastAsia"/>
          <w:kern w:val="0"/>
        </w:rPr>
        <w:t xml:space="preserve"> 100 dB</w:t>
      </w:r>
      <w:r>
        <w:rPr>
          <w:rFonts w:hint="eastAsia"/>
          <w:kern w:val="0"/>
        </w:rPr>
        <w:t>，说明层云即使在很薄的情况下也会对光信号造成严重衰减，其厚度的微小增加将导致信道性能急剧恶化。</w:t>
      </w:r>
    </w:p>
    <w:p w14:paraId="2A55528A" w14:textId="1837C9E7" w:rsidR="008E062A" w:rsidRDefault="003E172A">
      <w:pPr>
        <w:jc w:val="center"/>
      </w:pPr>
      <w:r>
        <w:rPr>
          <w:noProof/>
        </w:rPr>
        <w:drawing>
          <wp:inline distT="0" distB="0" distL="0" distR="0" wp14:anchorId="2F4960CF" wp14:editId="49C95FC2">
            <wp:extent cx="2772156" cy="2229612"/>
            <wp:effectExtent l="0" t="0" r="952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禹钧译visio图5a.jpg"/>
                    <pic:cNvPicPr/>
                  </pic:nvPicPr>
                  <pic:blipFill>
                    <a:blip r:embed="rId138">
                      <a:extLst>
                        <a:ext uri="{28A0092B-C50C-407E-A947-70E740481C1C}">
                          <a14:useLocalDpi xmlns:a14="http://schemas.microsoft.com/office/drawing/2010/main" val="0"/>
                        </a:ext>
                      </a:extLst>
                    </a:blip>
                    <a:stretch>
                      <a:fillRect/>
                    </a:stretch>
                  </pic:blipFill>
                  <pic:spPr>
                    <a:xfrm>
                      <a:off x="0" y="0"/>
                      <a:ext cx="2772156" cy="2229612"/>
                    </a:xfrm>
                    <a:prstGeom prst="rect">
                      <a:avLst/>
                    </a:prstGeom>
                  </pic:spPr>
                </pic:pic>
              </a:graphicData>
            </a:graphic>
          </wp:inline>
        </w:drawing>
      </w:r>
    </w:p>
    <w:p w14:paraId="264C308E" w14:textId="77777777" w:rsidR="008E062A" w:rsidRDefault="00072D76">
      <w:pPr>
        <w:pStyle w:val="af6"/>
        <w:numPr>
          <w:ilvl w:val="0"/>
          <w:numId w:val="3"/>
        </w:numPr>
        <w:spacing w:line="240" w:lineRule="auto"/>
        <w:ind w:firstLineChars="0"/>
        <w:jc w:val="center"/>
        <w:rPr>
          <w:sz w:val="18"/>
          <w:szCs w:val="21"/>
        </w:rPr>
      </w:pPr>
      <w:r>
        <w:rPr>
          <w:rFonts w:hint="eastAsia"/>
          <w:sz w:val="18"/>
          <w:szCs w:val="21"/>
        </w:rPr>
        <w:t>卷云和薄卷云衰减变化</w:t>
      </w:r>
    </w:p>
    <w:p w14:paraId="53EF88CF" w14:textId="12EBDD95" w:rsidR="008E062A" w:rsidRDefault="003E172A">
      <w:pPr>
        <w:spacing w:line="240" w:lineRule="auto"/>
        <w:jc w:val="center"/>
        <w:rPr>
          <w:sz w:val="18"/>
          <w:szCs w:val="21"/>
        </w:rPr>
      </w:pPr>
      <w:r>
        <w:rPr>
          <w:noProof/>
          <w:sz w:val="18"/>
          <w:szCs w:val="21"/>
        </w:rPr>
        <w:drawing>
          <wp:inline distT="0" distB="0" distL="0" distR="0" wp14:anchorId="7DA05300" wp14:editId="2698ACDC">
            <wp:extent cx="2734056" cy="2238756"/>
            <wp:effectExtent l="0" t="0" r="0" b="952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禹钧译visio图5b.jpg"/>
                    <pic:cNvPicPr/>
                  </pic:nvPicPr>
                  <pic:blipFill>
                    <a:blip r:embed="rId139">
                      <a:extLst>
                        <a:ext uri="{28A0092B-C50C-407E-A947-70E740481C1C}">
                          <a14:useLocalDpi xmlns:a14="http://schemas.microsoft.com/office/drawing/2010/main" val="0"/>
                        </a:ext>
                      </a:extLst>
                    </a:blip>
                    <a:stretch>
                      <a:fillRect/>
                    </a:stretch>
                  </pic:blipFill>
                  <pic:spPr>
                    <a:xfrm>
                      <a:off x="0" y="0"/>
                      <a:ext cx="2734056" cy="2238756"/>
                    </a:xfrm>
                    <a:prstGeom prst="rect">
                      <a:avLst/>
                    </a:prstGeom>
                  </pic:spPr>
                </pic:pic>
              </a:graphicData>
            </a:graphic>
          </wp:inline>
        </w:drawing>
      </w:r>
    </w:p>
    <w:p w14:paraId="27604325" w14:textId="77777777" w:rsidR="008E062A" w:rsidRDefault="00072D76">
      <w:pPr>
        <w:spacing w:line="240" w:lineRule="auto"/>
        <w:jc w:val="center"/>
        <w:rPr>
          <w:sz w:val="18"/>
          <w:szCs w:val="21"/>
        </w:rPr>
      </w:pPr>
      <w:r>
        <w:rPr>
          <w:rFonts w:hint="eastAsia"/>
          <w:sz w:val="18"/>
          <w:szCs w:val="21"/>
        </w:rPr>
        <w:t>(b)</w:t>
      </w:r>
      <w:r>
        <w:rPr>
          <w:sz w:val="18"/>
          <w:szCs w:val="21"/>
        </w:rPr>
        <w:t xml:space="preserve"> </w:t>
      </w:r>
      <w:r>
        <w:rPr>
          <w:rFonts w:hint="eastAsia"/>
          <w:sz w:val="18"/>
          <w:szCs w:val="21"/>
        </w:rPr>
        <w:t>层云衰减变化</w:t>
      </w:r>
    </w:p>
    <w:p w14:paraId="32FCA308" w14:textId="77777777" w:rsidR="008E062A" w:rsidRDefault="00072D76">
      <w:pPr>
        <w:wordWrap w:val="0"/>
        <w:spacing w:line="317" w:lineRule="exact"/>
        <w:ind w:firstLineChars="200" w:firstLine="361"/>
        <w:jc w:val="center"/>
        <w:rPr>
          <w:b/>
          <w:bCs/>
          <w:sz w:val="18"/>
          <w:szCs w:val="21"/>
        </w:rPr>
      </w:pPr>
      <w:r>
        <w:rPr>
          <w:rFonts w:hint="eastAsia"/>
          <w:b/>
          <w:bCs/>
          <w:sz w:val="18"/>
          <w:szCs w:val="21"/>
        </w:rPr>
        <w:t>图</w:t>
      </w:r>
      <w:r>
        <w:rPr>
          <w:rFonts w:hint="eastAsia"/>
          <w:b/>
          <w:bCs/>
          <w:sz w:val="18"/>
          <w:szCs w:val="21"/>
        </w:rPr>
        <w:t>5</w:t>
      </w:r>
      <w:r>
        <w:rPr>
          <w:rFonts w:hint="eastAsia"/>
          <w:b/>
          <w:bCs/>
          <w:sz w:val="18"/>
          <w:szCs w:val="21"/>
        </w:rPr>
        <w:t>不同云层与波长下衰减变化图</w:t>
      </w:r>
    </w:p>
    <w:p w14:paraId="4B5481F4" w14:textId="77777777" w:rsidR="008E062A" w:rsidRDefault="00072D76">
      <w:pPr>
        <w:wordWrap w:val="0"/>
        <w:spacing w:line="240" w:lineRule="auto"/>
        <w:ind w:firstLineChars="200" w:firstLine="420"/>
        <w:rPr>
          <w:iCs/>
        </w:rPr>
      </w:pPr>
      <w:r>
        <w:rPr>
          <w:rFonts w:hint="eastAsia"/>
          <w:iCs/>
        </w:rPr>
        <w:t>根据表</w:t>
      </w:r>
      <w:r>
        <w:rPr>
          <w:rFonts w:hint="eastAsia"/>
          <w:iCs/>
        </w:rPr>
        <w:t xml:space="preserve"> 1 </w:t>
      </w:r>
      <w:r>
        <w:rPr>
          <w:rFonts w:hint="eastAsia"/>
          <w:iCs/>
        </w:rPr>
        <w:t>及式</w:t>
      </w:r>
      <w:r>
        <w:rPr>
          <w:rFonts w:hint="eastAsia"/>
          <w:iCs/>
        </w:rPr>
        <w:t xml:space="preserve"> (5)</w:t>
      </w:r>
      <w:r>
        <w:rPr>
          <w:rFonts w:hint="eastAsia"/>
          <w:iCs/>
        </w:rPr>
        <w:t>、式</w:t>
      </w:r>
      <w:r>
        <w:rPr>
          <w:rFonts w:hint="eastAsia"/>
          <w:iCs/>
        </w:rPr>
        <w:t xml:space="preserve"> (8) </w:t>
      </w:r>
      <w:r>
        <w:rPr>
          <w:rFonts w:hint="eastAsia"/>
          <w:iCs/>
        </w:rPr>
        <w:t>和式</w:t>
      </w:r>
      <w:r>
        <w:rPr>
          <w:rFonts w:hint="eastAsia"/>
          <w:iCs/>
        </w:rPr>
        <w:t xml:space="preserve"> (9)</w:t>
      </w:r>
      <w:r>
        <w:rPr>
          <w:rFonts w:hint="eastAsia"/>
          <w:iCs/>
        </w:rPr>
        <w:t>，计算了不同云层的云滴数浓度与能见度，并选取高能见度的卷云与低能见度的层云进行仿真分析。图</w:t>
      </w:r>
      <w:r>
        <w:rPr>
          <w:rFonts w:hint="eastAsia"/>
          <w:iCs/>
        </w:rPr>
        <w:t xml:space="preserve"> 6 </w:t>
      </w:r>
      <w:r>
        <w:rPr>
          <w:rFonts w:hint="eastAsia"/>
          <w:iCs/>
        </w:rPr>
        <w:t>展示了不同云层信道下地面站的密钥生成率。</w:t>
      </w:r>
    </w:p>
    <w:p w14:paraId="7A884E7F" w14:textId="77777777" w:rsidR="008E062A" w:rsidRDefault="00072D76">
      <w:pPr>
        <w:wordWrap w:val="0"/>
        <w:spacing w:line="240" w:lineRule="auto"/>
        <w:ind w:firstLineChars="200" w:firstLine="420"/>
        <w:rPr>
          <w:iCs/>
        </w:rPr>
      </w:pPr>
      <w:r>
        <w:rPr>
          <w:rFonts w:hint="eastAsia"/>
          <w:iCs/>
        </w:rPr>
        <w:t>可以看出，云层类型对密钥率具有显著影响。如图</w:t>
      </w:r>
      <w:r>
        <w:rPr>
          <w:rFonts w:hint="eastAsia"/>
          <w:iCs/>
        </w:rPr>
        <w:t xml:space="preserve"> 6(a) </w:t>
      </w:r>
      <w:r>
        <w:rPr>
          <w:rFonts w:hint="eastAsia"/>
          <w:iCs/>
        </w:rPr>
        <w:t>所示，在卷云条件下，链路密钥率损失较小。在接入时间约为</w:t>
      </w:r>
      <w:r>
        <w:rPr>
          <w:rFonts w:hint="eastAsia"/>
          <w:iCs/>
        </w:rPr>
        <w:t xml:space="preserve"> 220 s </w:t>
      </w:r>
      <w:r>
        <w:rPr>
          <w:rFonts w:hint="eastAsia"/>
          <w:iCs/>
        </w:rPr>
        <w:t>时，即使云层厚度达到最大值</w:t>
      </w:r>
      <w:r>
        <w:rPr>
          <w:rFonts w:hint="eastAsia"/>
          <w:iCs/>
        </w:rPr>
        <w:t xml:space="preserve"> 4 km</w:t>
      </w:r>
      <w:r>
        <w:rPr>
          <w:rFonts w:hint="eastAsia"/>
          <w:iCs/>
        </w:rPr>
        <w:t>，密钥率仍可达</w:t>
      </w:r>
      <w:r>
        <w:t>7.</w:t>
      </w:r>
      <w:r>
        <w:rPr>
          <w:rFonts w:hint="eastAsia"/>
        </w:rPr>
        <w:t>8</w:t>
      </w:r>
      <w:r>
        <w:t>×10</w:t>
      </w:r>
      <w:r>
        <w:rPr>
          <w:vertAlign w:val="superscript"/>
        </w:rPr>
        <w:t xml:space="preserve">-4 </w:t>
      </w:r>
      <w:r>
        <w:t>b/s</w:t>
      </w:r>
      <w:r>
        <w:rPr>
          <w:rFonts w:hint="eastAsia"/>
        </w:rPr>
        <w:t>，仅略低于无云条件下的</w:t>
      </w:r>
      <w:r>
        <w:rPr>
          <w:rFonts w:hint="eastAsia"/>
        </w:rPr>
        <w:t>8.5</w:t>
      </w:r>
      <w:r>
        <w:t>×10</w:t>
      </w:r>
      <w:r>
        <w:rPr>
          <w:vertAlign w:val="superscript"/>
        </w:rPr>
        <w:t xml:space="preserve">-4 </w:t>
      </w:r>
      <w:r>
        <w:t>b/s</w:t>
      </w:r>
      <w:r>
        <w:rPr>
          <w:rFonts w:hint="eastAsia"/>
        </w:rPr>
        <w:t>。</w:t>
      </w:r>
    </w:p>
    <w:p w14:paraId="3C8B63C1" w14:textId="77777777" w:rsidR="008E062A" w:rsidRDefault="00072D76">
      <w:pPr>
        <w:wordWrap w:val="0"/>
        <w:spacing w:line="240" w:lineRule="auto"/>
        <w:ind w:firstLineChars="200" w:firstLine="420"/>
        <w:rPr>
          <w:iCs/>
        </w:rPr>
      </w:pPr>
      <w:r>
        <w:rPr>
          <w:rFonts w:hint="eastAsia"/>
          <w:iCs/>
        </w:rPr>
        <w:t>相比之下，层云对链路性能影响极为显著。如图</w:t>
      </w:r>
      <w:r>
        <w:rPr>
          <w:rFonts w:hint="eastAsia"/>
          <w:iCs/>
        </w:rPr>
        <w:t xml:space="preserve"> 6(b) </w:t>
      </w:r>
      <w:r>
        <w:rPr>
          <w:rFonts w:hint="eastAsia"/>
          <w:iCs/>
        </w:rPr>
        <w:t>所示，当层云厚度仅为</w:t>
      </w:r>
      <w:r>
        <w:rPr>
          <w:rFonts w:hint="eastAsia"/>
          <w:iCs/>
        </w:rPr>
        <w:t xml:space="preserve"> 30 m </w:t>
      </w:r>
      <w:r>
        <w:rPr>
          <w:rFonts w:hint="eastAsia"/>
          <w:iCs/>
        </w:rPr>
        <w:t>时，密钥率已从无云条件下的</w:t>
      </w:r>
      <w:r>
        <w:t>8</w:t>
      </w:r>
      <w:r>
        <w:rPr>
          <w:rFonts w:hint="eastAsia"/>
        </w:rPr>
        <w:t>.2</w:t>
      </w:r>
      <w:r>
        <w:t>×10</w:t>
      </w:r>
      <w:r>
        <w:rPr>
          <w:vertAlign w:val="superscript"/>
        </w:rPr>
        <w:t xml:space="preserve">-4 </w:t>
      </w:r>
      <w:r>
        <w:t>b/s</w:t>
      </w:r>
      <w:r>
        <w:rPr>
          <w:rFonts w:hint="eastAsia"/>
          <w:kern w:val="0"/>
        </w:rPr>
        <w:t>急剧下降至</w:t>
      </w:r>
      <w:r>
        <w:rPr>
          <w:rFonts w:hint="eastAsia"/>
        </w:rPr>
        <w:t>2.4</w:t>
      </w:r>
      <w:r>
        <w:t>×10</w:t>
      </w:r>
      <w:r>
        <w:rPr>
          <w:vertAlign w:val="superscript"/>
        </w:rPr>
        <w:t xml:space="preserve">-4 </w:t>
      </w:r>
      <w:r>
        <w:t>b/s</w:t>
      </w:r>
      <w:r>
        <w:rPr>
          <w:rFonts w:hint="eastAsia"/>
          <w:kern w:val="0"/>
        </w:rPr>
        <w:t>；当厚度增至</w:t>
      </w:r>
      <w:r>
        <w:rPr>
          <w:rFonts w:hint="eastAsia"/>
          <w:kern w:val="0"/>
        </w:rPr>
        <w:t xml:space="preserve"> 50 m </w:t>
      </w:r>
      <w:r>
        <w:rPr>
          <w:rFonts w:hint="eastAsia"/>
          <w:kern w:val="0"/>
        </w:rPr>
        <w:t>时，密钥率进一步降至</w:t>
      </w:r>
      <w:r>
        <w:rPr>
          <w:rFonts w:hint="eastAsia"/>
          <w:kern w:val="21"/>
        </w:rPr>
        <w:t>1</w:t>
      </w:r>
      <w:r>
        <w:rPr>
          <w:kern w:val="21"/>
        </w:rPr>
        <w:t>×10</w:t>
      </w:r>
      <w:r>
        <w:rPr>
          <w:kern w:val="21"/>
          <w:vertAlign w:val="superscript"/>
        </w:rPr>
        <w:t xml:space="preserve">-4 </w:t>
      </w:r>
      <w:r>
        <w:rPr>
          <w:kern w:val="21"/>
        </w:rPr>
        <w:t>b/s</w:t>
      </w:r>
      <w:r>
        <w:rPr>
          <w:rFonts w:hint="eastAsia"/>
          <w:kern w:val="21"/>
        </w:rPr>
        <w:t>；厚度达到</w:t>
      </w:r>
      <w:r>
        <w:rPr>
          <w:rFonts w:hint="eastAsia"/>
          <w:kern w:val="21"/>
        </w:rPr>
        <w:t xml:space="preserve"> 70 m </w:t>
      </w:r>
      <w:r>
        <w:rPr>
          <w:rFonts w:hint="eastAsia"/>
          <w:kern w:val="21"/>
        </w:rPr>
        <w:t>时，密钥率约为</w:t>
      </w:r>
      <w:r>
        <w:rPr>
          <w:kern w:val="21"/>
        </w:rPr>
        <w:t>0.5×10</w:t>
      </w:r>
      <w:r>
        <w:rPr>
          <w:kern w:val="21"/>
          <w:vertAlign w:val="superscript"/>
        </w:rPr>
        <w:t xml:space="preserve">-4 </w:t>
      </w:r>
      <w:r>
        <w:rPr>
          <w:kern w:val="21"/>
        </w:rPr>
        <w:t>b/s</w:t>
      </w:r>
      <w:r>
        <w:rPr>
          <w:rFonts w:hint="eastAsia"/>
          <w:kern w:val="21"/>
        </w:rPr>
        <w:t>。考虑到实际大气中层云厚度通常远大于</w:t>
      </w:r>
      <w:r>
        <w:rPr>
          <w:rFonts w:hint="eastAsia"/>
          <w:kern w:val="21"/>
        </w:rPr>
        <w:t xml:space="preserve"> 70 m</w:t>
      </w:r>
      <w:r>
        <w:rPr>
          <w:rFonts w:hint="eastAsia"/>
          <w:kern w:val="21"/>
        </w:rPr>
        <w:t>，其存在将导致密钥生成率严重衰减，在多数情况下使星地</w:t>
      </w:r>
      <w:r>
        <w:rPr>
          <w:rFonts w:hint="eastAsia"/>
          <w:kern w:val="21"/>
        </w:rPr>
        <w:t>QKD</w:t>
      </w:r>
      <w:r>
        <w:rPr>
          <w:rFonts w:hint="eastAsia"/>
          <w:kern w:val="21"/>
        </w:rPr>
        <w:t>系统无法正常运行。</w:t>
      </w:r>
    </w:p>
    <w:p w14:paraId="36B09534" w14:textId="06598B11" w:rsidR="008E062A" w:rsidRDefault="003E172A">
      <w:pPr>
        <w:spacing w:line="240" w:lineRule="auto"/>
        <w:jc w:val="center"/>
        <w:textAlignment w:val="center"/>
        <w:rPr>
          <w:iCs/>
        </w:rPr>
      </w:pPr>
      <w:r>
        <w:rPr>
          <w:iCs/>
          <w:noProof/>
        </w:rPr>
        <w:lastRenderedPageBreak/>
        <w:drawing>
          <wp:inline distT="0" distB="0" distL="0" distR="0" wp14:anchorId="3438C279" wp14:editId="50146734">
            <wp:extent cx="2772156" cy="2133600"/>
            <wp:effectExtent l="0" t="0" r="952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禹钧译visio图6a.jpg"/>
                    <pic:cNvPicPr/>
                  </pic:nvPicPr>
                  <pic:blipFill>
                    <a:blip r:embed="rId140">
                      <a:extLst>
                        <a:ext uri="{28A0092B-C50C-407E-A947-70E740481C1C}">
                          <a14:useLocalDpi xmlns:a14="http://schemas.microsoft.com/office/drawing/2010/main" val="0"/>
                        </a:ext>
                      </a:extLst>
                    </a:blip>
                    <a:stretch>
                      <a:fillRect/>
                    </a:stretch>
                  </pic:blipFill>
                  <pic:spPr>
                    <a:xfrm>
                      <a:off x="0" y="0"/>
                      <a:ext cx="2772156" cy="2133600"/>
                    </a:xfrm>
                    <a:prstGeom prst="rect">
                      <a:avLst/>
                    </a:prstGeom>
                  </pic:spPr>
                </pic:pic>
              </a:graphicData>
            </a:graphic>
          </wp:inline>
        </w:drawing>
      </w:r>
    </w:p>
    <w:p w14:paraId="69131DC2" w14:textId="77777777" w:rsidR="008E062A" w:rsidRDefault="00072D76">
      <w:pPr>
        <w:pStyle w:val="af6"/>
        <w:numPr>
          <w:ilvl w:val="0"/>
          <w:numId w:val="4"/>
        </w:numPr>
        <w:spacing w:line="240" w:lineRule="auto"/>
        <w:ind w:firstLineChars="0"/>
        <w:jc w:val="center"/>
        <w:rPr>
          <w:sz w:val="18"/>
          <w:szCs w:val="21"/>
        </w:rPr>
      </w:pPr>
      <w:r>
        <w:rPr>
          <w:rFonts w:hint="eastAsia"/>
          <w:sz w:val="18"/>
          <w:szCs w:val="21"/>
        </w:rPr>
        <w:t>卷云信道德令哈站密钥率图</w:t>
      </w:r>
    </w:p>
    <w:p w14:paraId="22A0EE69" w14:textId="2561ACB7" w:rsidR="008E062A" w:rsidRDefault="003E172A">
      <w:pPr>
        <w:spacing w:line="240" w:lineRule="auto"/>
        <w:jc w:val="center"/>
        <w:rPr>
          <w:sz w:val="18"/>
          <w:szCs w:val="21"/>
        </w:rPr>
      </w:pPr>
      <w:r>
        <w:rPr>
          <w:noProof/>
          <w:sz w:val="18"/>
          <w:szCs w:val="21"/>
        </w:rPr>
        <w:drawing>
          <wp:inline distT="0" distB="0" distL="0" distR="0" wp14:anchorId="2F2BAF5D" wp14:editId="3102D3E7">
            <wp:extent cx="2781300" cy="2124456"/>
            <wp:effectExtent l="0" t="0" r="0" b="952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禹钧译visio图6b.jpg"/>
                    <pic:cNvPicPr/>
                  </pic:nvPicPr>
                  <pic:blipFill>
                    <a:blip r:embed="rId141">
                      <a:extLst>
                        <a:ext uri="{28A0092B-C50C-407E-A947-70E740481C1C}">
                          <a14:useLocalDpi xmlns:a14="http://schemas.microsoft.com/office/drawing/2010/main" val="0"/>
                        </a:ext>
                      </a:extLst>
                    </a:blip>
                    <a:stretch>
                      <a:fillRect/>
                    </a:stretch>
                  </pic:blipFill>
                  <pic:spPr>
                    <a:xfrm>
                      <a:off x="0" y="0"/>
                      <a:ext cx="2781300" cy="2124456"/>
                    </a:xfrm>
                    <a:prstGeom prst="rect">
                      <a:avLst/>
                    </a:prstGeom>
                  </pic:spPr>
                </pic:pic>
              </a:graphicData>
            </a:graphic>
          </wp:inline>
        </w:drawing>
      </w:r>
    </w:p>
    <w:p w14:paraId="39C09B2C" w14:textId="77777777" w:rsidR="008E062A" w:rsidRDefault="00072D76">
      <w:pPr>
        <w:spacing w:line="240" w:lineRule="auto"/>
        <w:jc w:val="center"/>
        <w:rPr>
          <w:sz w:val="18"/>
          <w:szCs w:val="21"/>
        </w:rPr>
      </w:pPr>
      <w:r>
        <w:rPr>
          <w:rFonts w:hint="eastAsia"/>
          <w:sz w:val="18"/>
          <w:szCs w:val="21"/>
        </w:rPr>
        <w:t>(b)</w:t>
      </w:r>
      <w:r>
        <w:rPr>
          <w:sz w:val="18"/>
          <w:szCs w:val="21"/>
        </w:rPr>
        <w:t xml:space="preserve"> </w:t>
      </w:r>
      <w:r>
        <w:rPr>
          <w:rFonts w:hint="eastAsia"/>
          <w:sz w:val="18"/>
          <w:szCs w:val="21"/>
        </w:rPr>
        <w:t>层云信道兴隆站密钥率图</w:t>
      </w:r>
    </w:p>
    <w:p w14:paraId="5E9ABB03" w14:textId="77777777" w:rsidR="008E062A" w:rsidRDefault="00072D76">
      <w:pPr>
        <w:spacing w:line="317" w:lineRule="exact"/>
        <w:jc w:val="center"/>
        <w:rPr>
          <w:rFonts w:ascii="宋体"/>
          <w:b/>
          <w:bCs/>
          <w:kern w:val="0"/>
        </w:rPr>
      </w:pPr>
      <w:r>
        <w:rPr>
          <w:rFonts w:hint="eastAsia"/>
          <w:b/>
          <w:bCs/>
          <w:sz w:val="18"/>
          <w:szCs w:val="21"/>
        </w:rPr>
        <w:t>图</w:t>
      </w:r>
      <w:r>
        <w:rPr>
          <w:rFonts w:hint="eastAsia"/>
          <w:b/>
          <w:bCs/>
          <w:sz w:val="18"/>
          <w:szCs w:val="21"/>
        </w:rPr>
        <w:t xml:space="preserve">6 </w:t>
      </w:r>
      <w:r>
        <w:rPr>
          <w:rFonts w:hint="eastAsia"/>
          <w:b/>
          <w:bCs/>
          <w:sz w:val="18"/>
          <w:szCs w:val="21"/>
        </w:rPr>
        <w:t>不同云层信道地面站密钥率图</w:t>
      </w:r>
    </w:p>
    <w:p w14:paraId="119A6AFA" w14:textId="77777777" w:rsidR="008E062A" w:rsidRDefault="00072D76">
      <w:pPr>
        <w:spacing w:line="240" w:lineRule="auto"/>
        <w:ind w:firstLineChars="200" w:firstLine="420"/>
        <w:rPr>
          <w:rFonts w:ascii="宋体"/>
          <w:iCs/>
          <w:kern w:val="0"/>
        </w:rPr>
      </w:pPr>
      <w:r>
        <w:rPr>
          <w:rFonts w:ascii="宋体" w:hint="eastAsia"/>
          <w:iCs/>
          <w:kern w:val="0"/>
        </w:rPr>
        <w:t>最后，针对卫星高度角与轨道高度在云层信道下对密钥生成率的影响开展了仿真分析。图 7 展示了不同云层信道中高度角与密钥率的关系。结果表明，在卷云信道中，密钥率随天顶角的增大呈指数衰减趋势。当高度角为10°时，密钥率较天顶方向下降超过50%。这是由于大天顶角对应更长的大气斜路径，导致光子损耗显著增加。因此，在大天顶角（即低高度角）观测条件下，可通过云信道建模与自适应光学或波长选择等手段进行补偿，以缓解长路径传输带来的累积衰减效应。</w:t>
      </w:r>
    </w:p>
    <w:p w14:paraId="38B2BCB8" w14:textId="77777777" w:rsidR="008E062A" w:rsidRDefault="00072D76">
      <w:pPr>
        <w:spacing w:line="240" w:lineRule="auto"/>
        <w:ind w:firstLineChars="200" w:firstLine="420"/>
        <w:rPr>
          <w:rFonts w:ascii="宋体"/>
          <w:iCs/>
          <w:kern w:val="0"/>
        </w:rPr>
      </w:pPr>
      <w:r>
        <w:rPr>
          <w:rFonts w:ascii="宋体" w:hint="eastAsia"/>
          <w:iCs/>
          <w:kern w:val="0"/>
        </w:rPr>
        <w:t>相比之下，层云因其高液态水含量和强散射特性，在同等角度条件下，即使厚度仅为 30 m，也会使密钥率降幅超过一倍；当厚度增至 50 m 以上时，降幅进一步扩大。由于层云信道下密钥率对天顶角的变化相对不敏感，其衰减主要由云层本身光学厚度主导，而非几何路径长度。这表明，在层云主导的天气条件下，优化工作波长（如选用 1550 nm 而非 810 nm）或提升探测系统信噪比，可能比依赖几何条件更有效，有助于增强星地量子密钥分发系统的鲁棒性。</w:t>
      </w:r>
    </w:p>
    <w:p w14:paraId="00AEBF79" w14:textId="6E4147F4" w:rsidR="008E062A" w:rsidRDefault="001255FF">
      <w:pPr>
        <w:spacing w:line="240" w:lineRule="auto"/>
        <w:jc w:val="center"/>
        <w:rPr>
          <w:rFonts w:ascii="宋体"/>
          <w:iCs/>
          <w:kern w:val="0"/>
        </w:rPr>
      </w:pPr>
      <w:r>
        <w:rPr>
          <w:rFonts w:ascii="宋体"/>
          <w:iCs/>
          <w:noProof/>
          <w:kern w:val="0"/>
        </w:rPr>
        <w:lastRenderedPageBreak/>
        <w:drawing>
          <wp:inline distT="0" distB="0" distL="0" distR="0" wp14:anchorId="597251E0" wp14:editId="7205DDBF">
            <wp:extent cx="2752344" cy="2153412"/>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禹钧译visio图7a.jpg"/>
                    <pic:cNvPicPr/>
                  </pic:nvPicPr>
                  <pic:blipFill>
                    <a:blip r:embed="rId142">
                      <a:extLst>
                        <a:ext uri="{28A0092B-C50C-407E-A947-70E740481C1C}">
                          <a14:useLocalDpi xmlns:a14="http://schemas.microsoft.com/office/drawing/2010/main" val="0"/>
                        </a:ext>
                      </a:extLst>
                    </a:blip>
                    <a:stretch>
                      <a:fillRect/>
                    </a:stretch>
                  </pic:blipFill>
                  <pic:spPr>
                    <a:xfrm>
                      <a:off x="0" y="0"/>
                      <a:ext cx="2752344" cy="2153412"/>
                    </a:xfrm>
                    <a:prstGeom prst="rect">
                      <a:avLst/>
                    </a:prstGeom>
                  </pic:spPr>
                </pic:pic>
              </a:graphicData>
            </a:graphic>
          </wp:inline>
        </w:drawing>
      </w:r>
    </w:p>
    <w:p w14:paraId="6B2356DE" w14:textId="77777777" w:rsidR="008E062A" w:rsidRDefault="00072D76">
      <w:pPr>
        <w:pStyle w:val="af6"/>
        <w:numPr>
          <w:ilvl w:val="0"/>
          <w:numId w:val="5"/>
        </w:numPr>
        <w:spacing w:line="240" w:lineRule="auto"/>
        <w:ind w:firstLineChars="0"/>
        <w:jc w:val="center"/>
        <w:rPr>
          <w:sz w:val="18"/>
          <w:szCs w:val="21"/>
        </w:rPr>
      </w:pPr>
      <w:r>
        <w:rPr>
          <w:rFonts w:hint="eastAsia"/>
          <w:sz w:val="18"/>
          <w:szCs w:val="21"/>
        </w:rPr>
        <w:t>卷云信道高度角密钥率关系曲线</w:t>
      </w:r>
    </w:p>
    <w:p w14:paraId="44DEFDAF" w14:textId="5CA16806" w:rsidR="008E062A" w:rsidRDefault="001255FF">
      <w:pPr>
        <w:spacing w:line="240" w:lineRule="auto"/>
        <w:jc w:val="center"/>
        <w:rPr>
          <w:sz w:val="18"/>
          <w:szCs w:val="21"/>
        </w:rPr>
      </w:pPr>
      <w:r>
        <w:rPr>
          <w:noProof/>
          <w:sz w:val="18"/>
          <w:szCs w:val="21"/>
        </w:rPr>
        <w:drawing>
          <wp:inline distT="0" distB="0" distL="0" distR="0" wp14:anchorId="37209B80" wp14:editId="3709955F">
            <wp:extent cx="2743200" cy="2115312"/>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禹钧译visio图7b.jpg"/>
                    <pic:cNvPicPr/>
                  </pic:nvPicPr>
                  <pic:blipFill>
                    <a:blip r:embed="rId143">
                      <a:extLst>
                        <a:ext uri="{28A0092B-C50C-407E-A947-70E740481C1C}">
                          <a14:useLocalDpi xmlns:a14="http://schemas.microsoft.com/office/drawing/2010/main" val="0"/>
                        </a:ext>
                      </a:extLst>
                    </a:blip>
                    <a:stretch>
                      <a:fillRect/>
                    </a:stretch>
                  </pic:blipFill>
                  <pic:spPr>
                    <a:xfrm>
                      <a:off x="0" y="0"/>
                      <a:ext cx="2743200" cy="2115312"/>
                    </a:xfrm>
                    <a:prstGeom prst="rect">
                      <a:avLst/>
                    </a:prstGeom>
                  </pic:spPr>
                </pic:pic>
              </a:graphicData>
            </a:graphic>
          </wp:inline>
        </w:drawing>
      </w:r>
    </w:p>
    <w:p w14:paraId="187E90F9" w14:textId="77777777" w:rsidR="008E062A" w:rsidRDefault="00072D76">
      <w:pPr>
        <w:spacing w:line="240" w:lineRule="auto"/>
        <w:jc w:val="center"/>
        <w:rPr>
          <w:sz w:val="18"/>
          <w:szCs w:val="21"/>
        </w:rPr>
      </w:pPr>
      <w:r>
        <w:rPr>
          <w:rFonts w:hint="eastAsia"/>
          <w:sz w:val="18"/>
          <w:szCs w:val="21"/>
        </w:rPr>
        <w:t>(b)</w:t>
      </w:r>
      <w:r>
        <w:rPr>
          <w:sz w:val="18"/>
          <w:szCs w:val="21"/>
        </w:rPr>
        <w:t xml:space="preserve"> </w:t>
      </w:r>
      <w:r>
        <w:rPr>
          <w:rFonts w:hint="eastAsia"/>
          <w:sz w:val="18"/>
          <w:szCs w:val="21"/>
        </w:rPr>
        <w:t>层云信道高度角密钥率关系曲线</w:t>
      </w:r>
    </w:p>
    <w:p w14:paraId="538DCA59" w14:textId="77777777" w:rsidR="008E062A" w:rsidRDefault="00072D76">
      <w:pPr>
        <w:spacing w:line="240" w:lineRule="auto"/>
        <w:jc w:val="center"/>
        <w:rPr>
          <w:b/>
          <w:bCs/>
          <w:sz w:val="18"/>
          <w:szCs w:val="21"/>
        </w:rPr>
      </w:pPr>
      <w:r>
        <w:rPr>
          <w:rFonts w:hint="eastAsia"/>
          <w:b/>
          <w:bCs/>
          <w:sz w:val="18"/>
          <w:szCs w:val="21"/>
        </w:rPr>
        <w:t>图</w:t>
      </w:r>
      <w:r>
        <w:rPr>
          <w:rFonts w:hint="eastAsia"/>
          <w:b/>
          <w:bCs/>
          <w:sz w:val="18"/>
          <w:szCs w:val="21"/>
        </w:rPr>
        <w:t xml:space="preserve">7 </w:t>
      </w:r>
      <w:r>
        <w:rPr>
          <w:rFonts w:hint="eastAsia"/>
          <w:b/>
          <w:bCs/>
          <w:sz w:val="18"/>
          <w:szCs w:val="21"/>
        </w:rPr>
        <w:t>云层信道高度角与密钥率关系曲线</w:t>
      </w:r>
    </w:p>
    <w:p w14:paraId="5928F22A" w14:textId="77777777" w:rsidR="008E062A" w:rsidRDefault="00072D76">
      <w:pPr>
        <w:wordWrap w:val="0"/>
        <w:spacing w:line="240" w:lineRule="auto"/>
        <w:ind w:firstLineChars="200" w:firstLine="420"/>
        <w:rPr>
          <w:bCs/>
          <w:szCs w:val="21"/>
        </w:rPr>
      </w:pPr>
      <w:r>
        <w:rPr>
          <w:rFonts w:hint="eastAsia"/>
          <w:bCs/>
          <w:szCs w:val="21"/>
        </w:rPr>
        <w:t>兴隆站云层信道中轨道高度与密钥生成率的关系如图</w:t>
      </w:r>
      <w:r>
        <w:rPr>
          <w:rFonts w:hint="eastAsia"/>
          <w:bCs/>
          <w:szCs w:val="21"/>
        </w:rPr>
        <w:t xml:space="preserve"> 8 </w:t>
      </w:r>
      <w:r>
        <w:rPr>
          <w:rFonts w:hint="eastAsia"/>
          <w:bCs/>
          <w:szCs w:val="21"/>
        </w:rPr>
        <w:t>所示。仿真结果表明，随着轨道高度的增加，密钥率总体呈下降趋势，这主要归因于自由空间路径损耗的增大。</w:t>
      </w:r>
    </w:p>
    <w:p w14:paraId="1227E5B2" w14:textId="77777777" w:rsidR="008E062A" w:rsidRDefault="00072D76">
      <w:pPr>
        <w:wordWrap w:val="0"/>
        <w:spacing w:line="240" w:lineRule="auto"/>
        <w:ind w:firstLineChars="200" w:firstLine="420"/>
        <w:rPr>
          <w:bCs/>
          <w:szCs w:val="21"/>
        </w:rPr>
      </w:pPr>
      <w:r>
        <w:rPr>
          <w:rFonts w:hint="eastAsia"/>
          <w:bCs/>
          <w:szCs w:val="21"/>
        </w:rPr>
        <w:t>在所考察的轨道高度中，</w:t>
      </w:r>
      <w:r>
        <w:rPr>
          <w:bCs/>
          <w:szCs w:val="21"/>
        </w:rPr>
        <w:t xml:space="preserve">800 km </w:t>
      </w:r>
      <w:r>
        <w:rPr>
          <w:rFonts w:hint="eastAsia"/>
          <w:bCs/>
          <w:szCs w:val="21"/>
        </w:rPr>
        <w:t>轨道在密钥率与自由空间损耗之间表现出较优的折中特性：相较于高轨道（如</w:t>
      </w:r>
      <w:r>
        <w:rPr>
          <w:bCs/>
          <w:szCs w:val="21"/>
        </w:rPr>
        <w:t xml:space="preserve"> 1 200 km</w:t>
      </w:r>
      <w:r>
        <w:rPr>
          <w:rFonts w:hint="eastAsia"/>
          <w:bCs/>
          <w:szCs w:val="21"/>
        </w:rPr>
        <w:t>），其信道损耗更低，从而维持了相对较高的密钥生成率。因此，</w:t>
      </w:r>
      <w:r>
        <w:rPr>
          <w:bCs/>
          <w:szCs w:val="21"/>
        </w:rPr>
        <w:t xml:space="preserve">800 km </w:t>
      </w:r>
      <w:r>
        <w:rPr>
          <w:rFonts w:hint="eastAsia"/>
          <w:bCs/>
          <w:szCs w:val="21"/>
        </w:rPr>
        <w:t>轨道在兼顾系统覆盖能力与密钥生成性能方面具有优势。</w:t>
      </w:r>
    </w:p>
    <w:p w14:paraId="424FB1C5" w14:textId="77777777" w:rsidR="008E062A" w:rsidRDefault="00072D76">
      <w:pPr>
        <w:wordWrap w:val="0"/>
        <w:spacing w:line="240" w:lineRule="auto"/>
        <w:ind w:firstLineChars="200" w:firstLine="420"/>
        <w:rPr>
          <w:iCs/>
          <w:kern w:val="0"/>
        </w:rPr>
      </w:pPr>
      <w:r>
        <w:rPr>
          <w:rFonts w:hint="eastAsia"/>
          <w:bCs/>
          <w:szCs w:val="21"/>
        </w:rPr>
        <w:t>此外，层云对密钥率的负面影响在高轨道条件下尤为显著。在</w:t>
      </w:r>
      <w:r>
        <w:rPr>
          <w:bCs/>
          <w:szCs w:val="21"/>
        </w:rPr>
        <w:t xml:space="preserve">1200 km </w:t>
      </w:r>
      <w:r>
        <w:rPr>
          <w:rFonts w:hint="eastAsia"/>
          <w:bCs/>
          <w:szCs w:val="21"/>
        </w:rPr>
        <w:t>轨道高度下，当层云厚度超过</w:t>
      </w:r>
      <w:r>
        <w:rPr>
          <w:bCs/>
          <w:szCs w:val="21"/>
        </w:rPr>
        <w:t xml:space="preserve"> 50 m </w:t>
      </w:r>
      <w:r>
        <w:rPr>
          <w:rFonts w:hint="eastAsia"/>
          <w:bCs/>
          <w:szCs w:val="21"/>
        </w:rPr>
        <w:t>时，密钥率已降至</w:t>
      </w:r>
      <w:r>
        <w:rPr>
          <w:kern w:val="21"/>
        </w:rPr>
        <w:t>10</w:t>
      </w:r>
      <w:r>
        <w:rPr>
          <w:kern w:val="21"/>
          <w:vertAlign w:val="superscript"/>
        </w:rPr>
        <w:t xml:space="preserve">-5 </w:t>
      </w:r>
      <w:r>
        <w:rPr>
          <w:kern w:val="21"/>
        </w:rPr>
        <w:t>b/s</w:t>
      </w:r>
      <w:r>
        <w:rPr>
          <w:rFonts w:hint="eastAsia"/>
          <w:bCs/>
          <w:szCs w:val="21"/>
        </w:rPr>
        <w:t>量级（或更低），基本丧失实用价值；相比之下，卷云在相同条件下对密钥率的影响明显较小。这表明，在高轨道星地量子密钥分发系统中，层云是限制链路可用性的关键因素。</w:t>
      </w:r>
    </w:p>
    <w:p w14:paraId="520AE846" w14:textId="78E5EB32" w:rsidR="008E062A" w:rsidRDefault="001255FF">
      <w:pPr>
        <w:spacing w:line="240" w:lineRule="auto"/>
        <w:jc w:val="center"/>
        <w:rPr>
          <w:kern w:val="0"/>
        </w:rPr>
      </w:pPr>
      <w:r>
        <w:rPr>
          <w:noProof/>
          <w:kern w:val="0"/>
        </w:rPr>
        <w:lastRenderedPageBreak/>
        <w:drawing>
          <wp:inline distT="0" distB="0" distL="0" distR="0" wp14:anchorId="277CD92C" wp14:editId="3A9DDD1F">
            <wp:extent cx="2667000" cy="2200656"/>
            <wp:effectExtent l="0" t="0" r="0"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禹钧译visio图8a.jpg"/>
                    <pic:cNvPicPr/>
                  </pic:nvPicPr>
                  <pic:blipFill>
                    <a:blip r:embed="rId144">
                      <a:extLst>
                        <a:ext uri="{28A0092B-C50C-407E-A947-70E740481C1C}">
                          <a14:useLocalDpi xmlns:a14="http://schemas.microsoft.com/office/drawing/2010/main" val="0"/>
                        </a:ext>
                      </a:extLst>
                    </a:blip>
                    <a:stretch>
                      <a:fillRect/>
                    </a:stretch>
                  </pic:blipFill>
                  <pic:spPr>
                    <a:xfrm>
                      <a:off x="0" y="0"/>
                      <a:ext cx="2667000" cy="2200656"/>
                    </a:xfrm>
                    <a:prstGeom prst="rect">
                      <a:avLst/>
                    </a:prstGeom>
                  </pic:spPr>
                </pic:pic>
              </a:graphicData>
            </a:graphic>
          </wp:inline>
        </w:drawing>
      </w:r>
    </w:p>
    <w:p w14:paraId="78B3A59F" w14:textId="77777777" w:rsidR="008E062A" w:rsidRDefault="00072D76">
      <w:pPr>
        <w:pStyle w:val="af6"/>
        <w:numPr>
          <w:ilvl w:val="0"/>
          <w:numId w:val="6"/>
        </w:numPr>
        <w:spacing w:line="240" w:lineRule="auto"/>
        <w:ind w:firstLineChars="0"/>
        <w:jc w:val="center"/>
        <w:rPr>
          <w:sz w:val="18"/>
          <w:szCs w:val="21"/>
        </w:rPr>
      </w:pPr>
      <w:r>
        <w:rPr>
          <w:rFonts w:hint="eastAsia"/>
          <w:sz w:val="18"/>
          <w:szCs w:val="21"/>
        </w:rPr>
        <w:t>800</w:t>
      </w:r>
      <w:r>
        <w:rPr>
          <w:sz w:val="18"/>
          <w:szCs w:val="21"/>
        </w:rPr>
        <w:t xml:space="preserve"> </w:t>
      </w:r>
      <w:r>
        <w:rPr>
          <w:rFonts w:hint="eastAsia"/>
          <w:sz w:val="18"/>
          <w:szCs w:val="21"/>
        </w:rPr>
        <w:t>km</w:t>
      </w:r>
      <w:r>
        <w:rPr>
          <w:rFonts w:hint="eastAsia"/>
          <w:sz w:val="18"/>
          <w:szCs w:val="21"/>
        </w:rPr>
        <w:t>轨道密钥率关系曲线</w:t>
      </w:r>
    </w:p>
    <w:p w14:paraId="262D38E9" w14:textId="472BE116" w:rsidR="008E062A" w:rsidRDefault="001255FF">
      <w:pPr>
        <w:spacing w:line="240" w:lineRule="auto"/>
        <w:jc w:val="center"/>
        <w:rPr>
          <w:sz w:val="18"/>
          <w:szCs w:val="21"/>
        </w:rPr>
      </w:pPr>
      <w:r>
        <w:rPr>
          <w:noProof/>
          <w:sz w:val="18"/>
          <w:szCs w:val="21"/>
        </w:rPr>
        <w:drawing>
          <wp:inline distT="0" distB="0" distL="0" distR="0" wp14:anchorId="7966F350" wp14:editId="5D8FBE2F">
            <wp:extent cx="2810256" cy="2218944"/>
            <wp:effectExtent l="0" t="0" r="952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禹钧译visio图8b.jpg"/>
                    <pic:cNvPicPr/>
                  </pic:nvPicPr>
                  <pic:blipFill>
                    <a:blip r:embed="rId145">
                      <a:extLst>
                        <a:ext uri="{28A0092B-C50C-407E-A947-70E740481C1C}">
                          <a14:useLocalDpi xmlns:a14="http://schemas.microsoft.com/office/drawing/2010/main" val="0"/>
                        </a:ext>
                      </a:extLst>
                    </a:blip>
                    <a:stretch>
                      <a:fillRect/>
                    </a:stretch>
                  </pic:blipFill>
                  <pic:spPr>
                    <a:xfrm>
                      <a:off x="0" y="0"/>
                      <a:ext cx="2810256" cy="2218944"/>
                    </a:xfrm>
                    <a:prstGeom prst="rect">
                      <a:avLst/>
                    </a:prstGeom>
                  </pic:spPr>
                </pic:pic>
              </a:graphicData>
            </a:graphic>
          </wp:inline>
        </w:drawing>
      </w:r>
    </w:p>
    <w:p w14:paraId="1261755A" w14:textId="77777777" w:rsidR="008E062A" w:rsidRDefault="00072D76">
      <w:pPr>
        <w:spacing w:line="240" w:lineRule="auto"/>
        <w:jc w:val="center"/>
        <w:rPr>
          <w:sz w:val="18"/>
          <w:szCs w:val="21"/>
        </w:rPr>
      </w:pPr>
      <w:r>
        <w:rPr>
          <w:rFonts w:hint="eastAsia"/>
          <w:sz w:val="18"/>
          <w:szCs w:val="21"/>
        </w:rPr>
        <w:t>(b)</w:t>
      </w:r>
      <w:r>
        <w:rPr>
          <w:sz w:val="18"/>
          <w:szCs w:val="21"/>
        </w:rPr>
        <w:t xml:space="preserve"> </w:t>
      </w:r>
      <w:r>
        <w:rPr>
          <w:rFonts w:hint="eastAsia"/>
          <w:sz w:val="18"/>
          <w:szCs w:val="21"/>
        </w:rPr>
        <w:t>1</w:t>
      </w:r>
      <w:r>
        <w:rPr>
          <w:sz w:val="18"/>
          <w:szCs w:val="21"/>
        </w:rPr>
        <w:t xml:space="preserve"> </w:t>
      </w:r>
      <w:r>
        <w:rPr>
          <w:rFonts w:hint="eastAsia"/>
          <w:sz w:val="18"/>
          <w:szCs w:val="21"/>
        </w:rPr>
        <w:t>200</w:t>
      </w:r>
      <w:r>
        <w:rPr>
          <w:sz w:val="18"/>
          <w:szCs w:val="21"/>
        </w:rPr>
        <w:t xml:space="preserve"> </w:t>
      </w:r>
      <w:r>
        <w:rPr>
          <w:rFonts w:hint="eastAsia"/>
          <w:sz w:val="18"/>
          <w:szCs w:val="21"/>
        </w:rPr>
        <w:t>km</w:t>
      </w:r>
      <w:r>
        <w:rPr>
          <w:rFonts w:hint="eastAsia"/>
          <w:sz w:val="18"/>
          <w:szCs w:val="21"/>
        </w:rPr>
        <w:t>轨道密钥率关系曲线</w:t>
      </w:r>
      <w:bookmarkStart w:id="2" w:name="_GoBack"/>
      <w:bookmarkEnd w:id="2"/>
    </w:p>
    <w:p w14:paraId="6FD86685" w14:textId="77777777" w:rsidR="008E062A" w:rsidRDefault="00072D76">
      <w:pPr>
        <w:spacing w:line="240" w:lineRule="auto"/>
        <w:jc w:val="center"/>
        <w:rPr>
          <w:b/>
          <w:bCs/>
          <w:sz w:val="18"/>
          <w:szCs w:val="21"/>
        </w:rPr>
      </w:pPr>
      <w:r>
        <w:rPr>
          <w:rFonts w:hint="eastAsia"/>
          <w:b/>
          <w:bCs/>
          <w:sz w:val="18"/>
          <w:szCs w:val="21"/>
        </w:rPr>
        <w:t>图</w:t>
      </w:r>
      <w:r>
        <w:rPr>
          <w:rFonts w:hint="eastAsia"/>
          <w:b/>
          <w:bCs/>
          <w:sz w:val="18"/>
          <w:szCs w:val="21"/>
        </w:rPr>
        <w:t>8</w:t>
      </w:r>
      <w:r>
        <w:rPr>
          <w:rFonts w:hint="eastAsia"/>
          <w:b/>
          <w:bCs/>
          <w:sz w:val="18"/>
          <w:szCs w:val="21"/>
        </w:rPr>
        <w:t>兴隆站云层信道高度与密钥率关系曲线</w:t>
      </w:r>
    </w:p>
    <w:p w14:paraId="077D9C46" w14:textId="77777777" w:rsidR="008E062A" w:rsidRDefault="00072D76">
      <w:pPr>
        <w:wordWrap w:val="0"/>
        <w:rPr>
          <w:b/>
          <w:bCs/>
          <w:sz w:val="24"/>
          <w:szCs w:val="24"/>
        </w:rPr>
      </w:pPr>
      <w:r>
        <w:rPr>
          <w:rFonts w:hint="eastAsia"/>
          <w:b/>
          <w:bCs/>
          <w:sz w:val="24"/>
          <w:szCs w:val="24"/>
        </w:rPr>
        <w:t>3</w:t>
      </w:r>
      <w:r>
        <w:rPr>
          <w:rFonts w:hint="eastAsia"/>
          <w:b/>
          <w:bCs/>
          <w:sz w:val="24"/>
          <w:szCs w:val="24"/>
        </w:rPr>
        <w:t>结束语</w:t>
      </w:r>
    </w:p>
    <w:p w14:paraId="28D9E3F6" w14:textId="77777777" w:rsidR="008E062A" w:rsidRDefault="00072D76">
      <w:pPr>
        <w:wordWrap w:val="0"/>
        <w:spacing w:line="240" w:lineRule="auto"/>
        <w:ind w:firstLineChars="200" w:firstLine="420"/>
        <w:rPr>
          <w:szCs w:val="21"/>
        </w:rPr>
      </w:pPr>
      <w:r>
        <w:rPr>
          <w:rFonts w:hint="eastAsia"/>
          <w:szCs w:val="21"/>
        </w:rPr>
        <w:t>本文针对星地</w:t>
      </w:r>
      <w:r>
        <w:rPr>
          <w:rFonts w:hint="eastAsia"/>
          <w:szCs w:val="21"/>
        </w:rPr>
        <w:t>CV-QKD</w:t>
      </w:r>
      <w:r>
        <w:rPr>
          <w:rFonts w:hint="eastAsia"/>
          <w:szCs w:val="21"/>
        </w:rPr>
        <w:t>系统中的云层信道特性，分析不同类型云层对相干态量子信号的衰减影响，并基于动态星地几何场景进行仿真，评估密钥生成率及卫星天顶角与轨道高度的影响。结果表明，高能见度云层（如卷云）对密钥率影响较小，而低能见度云层（如层云）即使厚度较小，也可能导致密钥率骤降甚至通信中断。长波在穿透高能见度云层时更具优势，而层云对波长变化不敏感。此外，卫星天顶角减小可降低云层衰减，但在高轨道（如</w:t>
      </w:r>
      <w:r>
        <w:rPr>
          <w:rFonts w:hint="eastAsia"/>
          <w:szCs w:val="21"/>
        </w:rPr>
        <w:t>1</w:t>
      </w:r>
      <w:r>
        <w:rPr>
          <w:szCs w:val="21"/>
        </w:rPr>
        <w:t xml:space="preserve"> </w:t>
      </w:r>
      <w:r>
        <w:rPr>
          <w:rFonts w:hint="eastAsia"/>
          <w:szCs w:val="21"/>
        </w:rPr>
        <w:t>200 km</w:t>
      </w:r>
      <w:r>
        <w:rPr>
          <w:rFonts w:hint="eastAsia"/>
          <w:szCs w:val="21"/>
        </w:rPr>
        <w:t>），云层可能使密钥率接近于零。因此，相较于云层影响，轨道优化对系统性能更为关键；对于高海拔地区应优先考虑动态云层检测，低海拔地区应优先考虑波长优化以及调制深度优化来提升鲁棒性。研究提供了云层信道衰减的仿真数据，为空间量子密钥分发的实验与应用提供了重要参考。</w:t>
      </w:r>
    </w:p>
    <w:p w14:paraId="2339171B" w14:textId="77777777" w:rsidR="008E062A" w:rsidRDefault="008E062A">
      <w:pPr>
        <w:wordWrap w:val="0"/>
        <w:spacing w:line="240" w:lineRule="auto"/>
        <w:ind w:firstLineChars="200" w:firstLine="420"/>
        <w:rPr>
          <w:szCs w:val="21"/>
        </w:rPr>
      </w:pPr>
    </w:p>
    <w:p w14:paraId="1E01B7EA" w14:textId="77777777" w:rsidR="008E062A" w:rsidRDefault="00072D76">
      <w:pPr>
        <w:wordWrap w:val="0"/>
        <w:rPr>
          <w:b/>
          <w:bCs/>
          <w:szCs w:val="21"/>
        </w:rPr>
      </w:pPr>
      <w:r>
        <w:rPr>
          <w:b/>
          <w:bCs/>
          <w:szCs w:val="21"/>
        </w:rPr>
        <w:t>参考文献</w:t>
      </w:r>
      <w:r>
        <w:rPr>
          <w:rFonts w:hint="eastAsia"/>
          <w:b/>
          <w:bCs/>
          <w:szCs w:val="21"/>
        </w:rPr>
        <w:t>：</w:t>
      </w:r>
    </w:p>
    <w:p w14:paraId="600A657C" w14:textId="77777777" w:rsidR="008E062A" w:rsidRDefault="00072D76">
      <w:pPr>
        <w:pStyle w:val="ad"/>
        <w:shd w:val="clear" w:color="auto" w:fill="FFFFFF"/>
        <w:snapToGrid w:val="0"/>
        <w:spacing w:line="240" w:lineRule="auto"/>
        <w:rPr>
          <w:shd w:val="clear" w:color="auto" w:fill="FFFFFF"/>
        </w:rPr>
      </w:pPr>
      <w:bookmarkStart w:id="3" w:name="_Ref187243602"/>
      <w:bookmarkStart w:id="4" w:name="_Ref186218352"/>
      <w:bookmarkStart w:id="5" w:name="_Ref13153"/>
      <w:bookmarkStart w:id="6" w:name="_Hlk187069171"/>
      <w:r>
        <w:rPr>
          <w:rFonts w:hint="eastAsia"/>
          <w:szCs w:val="21"/>
        </w:rPr>
        <w:t xml:space="preserve">[1] </w:t>
      </w:r>
      <w:bookmarkStart w:id="7" w:name="_Ref187243603"/>
      <w:bookmarkEnd w:id="3"/>
      <w:r>
        <w:rPr>
          <w:caps/>
          <w:szCs w:val="21"/>
        </w:rPr>
        <w:t>Bennett C, Brassard G</w:t>
      </w:r>
      <w:r>
        <w:rPr>
          <w:shd w:val="clear" w:color="auto" w:fill="FFFFFF"/>
        </w:rPr>
        <w:t xml:space="preserve">. </w:t>
      </w:r>
      <w:bookmarkStart w:id="8" w:name="OLE_LINK13"/>
      <w:r>
        <w:rPr>
          <w:shd w:val="clear" w:color="auto" w:fill="FFFFFF"/>
        </w:rPr>
        <w:t xml:space="preserve">Proceedings of the </w:t>
      </w:r>
      <w:r>
        <w:rPr>
          <w:rFonts w:hint="eastAsia"/>
          <w:shd w:val="clear" w:color="auto" w:fill="FFFFFF"/>
        </w:rPr>
        <w:t>IEEE</w:t>
      </w:r>
      <w:r>
        <w:rPr>
          <w:shd w:val="clear" w:color="auto" w:fill="FFFFFF"/>
        </w:rPr>
        <w:t xml:space="preserve"> international conference on computers, systems and signal processing</w:t>
      </w:r>
      <w:bookmarkEnd w:id="8"/>
      <w:r>
        <w:rPr>
          <w:rFonts w:hint="eastAsia"/>
          <w:shd w:val="clear" w:color="auto" w:fill="FFFFFF"/>
        </w:rPr>
        <w:t>, d</w:t>
      </w:r>
      <w:r>
        <w:rPr>
          <w:shd w:val="clear" w:color="auto" w:fill="FFFFFF"/>
        </w:rPr>
        <w:t>ecember</w:t>
      </w:r>
      <w:r>
        <w:rPr>
          <w:rFonts w:hint="eastAsia"/>
          <w:shd w:val="clear" w:color="auto" w:fill="FFFFFF"/>
        </w:rPr>
        <w:t xml:space="preserve"> 9-12, 1984[C]</w:t>
      </w:r>
      <w:r>
        <w:rPr>
          <w:shd w:val="clear" w:color="auto" w:fill="FFFFFF"/>
        </w:rPr>
        <w:t xml:space="preserve">. </w:t>
      </w:r>
      <w:r>
        <w:rPr>
          <w:rFonts w:hint="eastAsia"/>
          <w:shd w:val="clear" w:color="auto" w:fill="FFFFFF"/>
        </w:rPr>
        <w:t>New York: IEEE, 1984</w:t>
      </w:r>
      <w:r>
        <w:rPr>
          <w:shd w:val="clear" w:color="auto" w:fill="FFFFFF"/>
        </w:rPr>
        <w:t>.</w:t>
      </w:r>
    </w:p>
    <w:p w14:paraId="2C8DAD35" w14:textId="77777777" w:rsidR="008E062A" w:rsidRDefault="00072D76">
      <w:pPr>
        <w:adjustRightInd w:val="0"/>
        <w:spacing w:line="240" w:lineRule="auto"/>
        <w:rPr>
          <w:szCs w:val="21"/>
        </w:rPr>
      </w:pPr>
      <w:r>
        <w:rPr>
          <w:rFonts w:hint="eastAsia"/>
          <w:caps/>
          <w:szCs w:val="21"/>
        </w:rPr>
        <w:t xml:space="preserve">[2] </w:t>
      </w:r>
      <w:r>
        <w:rPr>
          <w:caps/>
          <w:szCs w:val="21"/>
        </w:rPr>
        <w:t>Ekert</w:t>
      </w:r>
      <w:r>
        <w:rPr>
          <w:szCs w:val="21"/>
        </w:rPr>
        <w:t xml:space="preserve"> A K. Quantum Cryptography Based on Bell’s Theorem[J]. Physical Review Letters, 1991, 67</w:t>
      </w:r>
      <w:r>
        <w:rPr>
          <w:rFonts w:hint="eastAsia"/>
          <w:szCs w:val="21"/>
        </w:rPr>
        <w:t>（</w:t>
      </w:r>
      <w:r>
        <w:rPr>
          <w:rFonts w:hint="eastAsia"/>
          <w:szCs w:val="21"/>
        </w:rPr>
        <w:t>6</w:t>
      </w:r>
      <w:r>
        <w:rPr>
          <w:rFonts w:hint="eastAsia"/>
          <w:szCs w:val="21"/>
        </w:rPr>
        <w:t>）</w:t>
      </w:r>
      <w:r>
        <w:rPr>
          <w:szCs w:val="21"/>
        </w:rPr>
        <w:t>: 661-663.</w:t>
      </w:r>
      <w:bookmarkEnd w:id="7"/>
    </w:p>
    <w:p w14:paraId="1E6EFD3F" w14:textId="77777777" w:rsidR="008E062A" w:rsidRDefault="00072D76">
      <w:pPr>
        <w:adjustRightInd w:val="0"/>
        <w:spacing w:line="240" w:lineRule="auto"/>
        <w:rPr>
          <w:szCs w:val="21"/>
        </w:rPr>
      </w:pPr>
      <w:r>
        <w:rPr>
          <w:rFonts w:hint="eastAsia"/>
          <w:caps/>
          <w:szCs w:val="21"/>
        </w:rPr>
        <w:t xml:space="preserve">[3] </w:t>
      </w:r>
      <w:r>
        <w:rPr>
          <w:caps/>
          <w:szCs w:val="21"/>
        </w:rPr>
        <w:t>Shor P W, Preskill J.</w:t>
      </w:r>
      <w:r>
        <w:rPr>
          <w:szCs w:val="21"/>
        </w:rPr>
        <w:t xml:space="preserve"> Simple proof of security of the BB84 quantum key distribution </w:t>
      </w:r>
      <w:r>
        <w:rPr>
          <w:szCs w:val="21"/>
        </w:rPr>
        <w:lastRenderedPageBreak/>
        <w:t>protocol[J]. Physical Review Letters, 2000, 85</w:t>
      </w:r>
      <w:r>
        <w:rPr>
          <w:rFonts w:hint="eastAsia"/>
          <w:szCs w:val="21"/>
        </w:rPr>
        <w:t>（</w:t>
      </w:r>
      <w:r>
        <w:rPr>
          <w:rFonts w:hint="eastAsia"/>
          <w:szCs w:val="21"/>
        </w:rPr>
        <w:t>2</w:t>
      </w:r>
      <w:r>
        <w:rPr>
          <w:rFonts w:hint="eastAsia"/>
          <w:szCs w:val="21"/>
        </w:rPr>
        <w:t>）</w:t>
      </w:r>
      <w:r>
        <w:rPr>
          <w:szCs w:val="21"/>
        </w:rPr>
        <w:t>: 441-</w:t>
      </w:r>
      <w:r>
        <w:rPr>
          <w:rFonts w:hint="eastAsia"/>
          <w:szCs w:val="21"/>
        </w:rPr>
        <w:t>444</w:t>
      </w:r>
      <w:r>
        <w:rPr>
          <w:szCs w:val="21"/>
        </w:rPr>
        <w:t>.</w:t>
      </w:r>
    </w:p>
    <w:p w14:paraId="7150BA53" w14:textId="77777777" w:rsidR="008E062A" w:rsidRDefault="00072D76">
      <w:pPr>
        <w:adjustRightInd w:val="0"/>
        <w:spacing w:line="240" w:lineRule="auto"/>
        <w:rPr>
          <w:szCs w:val="21"/>
        </w:rPr>
      </w:pPr>
      <w:bookmarkStart w:id="9" w:name="_Ref187595273"/>
      <w:r>
        <w:rPr>
          <w:rFonts w:hint="eastAsia"/>
          <w:szCs w:val="21"/>
        </w:rPr>
        <w:t xml:space="preserve">[4] </w:t>
      </w:r>
      <w:r>
        <w:rPr>
          <w:caps/>
          <w:szCs w:val="21"/>
        </w:rPr>
        <w:t>Liao S K, Cai W Q, Liu W Y</w:t>
      </w:r>
      <w:r>
        <w:rPr>
          <w:szCs w:val="21"/>
        </w:rPr>
        <w:t>, et al. Satellite-to-ground quantum key distribution[J]. Nature, 2017, 549</w:t>
      </w:r>
      <w:r>
        <w:rPr>
          <w:rFonts w:hint="eastAsia"/>
          <w:szCs w:val="21"/>
        </w:rPr>
        <w:t>（</w:t>
      </w:r>
      <w:r>
        <w:rPr>
          <w:szCs w:val="21"/>
        </w:rPr>
        <w:t>7670</w:t>
      </w:r>
      <w:r>
        <w:rPr>
          <w:rFonts w:hint="eastAsia"/>
          <w:szCs w:val="21"/>
        </w:rPr>
        <w:t>）</w:t>
      </w:r>
      <w:r>
        <w:rPr>
          <w:szCs w:val="21"/>
        </w:rPr>
        <w:t>: 43-47.</w:t>
      </w:r>
      <w:bookmarkEnd w:id="9"/>
    </w:p>
    <w:p w14:paraId="73FAF4AF" w14:textId="77777777" w:rsidR="008E062A" w:rsidRDefault="00072D76">
      <w:pPr>
        <w:adjustRightInd w:val="0"/>
        <w:spacing w:line="240" w:lineRule="auto"/>
        <w:rPr>
          <w:szCs w:val="21"/>
        </w:rPr>
      </w:pPr>
      <w:bookmarkStart w:id="10" w:name="_Ref187595263"/>
      <w:r>
        <w:rPr>
          <w:rFonts w:hint="eastAsia"/>
          <w:szCs w:val="21"/>
        </w:rPr>
        <w:t xml:space="preserve">[5] </w:t>
      </w:r>
      <w:r>
        <w:rPr>
          <w:caps/>
          <w:szCs w:val="21"/>
        </w:rPr>
        <w:t>Jennewein T, Simon C, Weihs G</w:t>
      </w:r>
      <w:r>
        <w:rPr>
          <w:szCs w:val="21"/>
        </w:rPr>
        <w:t>, et al. Quantum cryptography with entangled photons[J]. Physical Review Letters, 2000, 84</w:t>
      </w:r>
      <w:r>
        <w:rPr>
          <w:rFonts w:hint="eastAsia"/>
          <w:szCs w:val="21"/>
        </w:rPr>
        <w:t>（</w:t>
      </w:r>
      <w:r>
        <w:rPr>
          <w:rFonts w:hint="eastAsia"/>
          <w:szCs w:val="21"/>
        </w:rPr>
        <w:t>20</w:t>
      </w:r>
      <w:r>
        <w:rPr>
          <w:rFonts w:hint="eastAsia"/>
          <w:szCs w:val="21"/>
        </w:rPr>
        <w:t>）</w:t>
      </w:r>
      <w:r>
        <w:rPr>
          <w:szCs w:val="21"/>
        </w:rPr>
        <w:t>: 4729--</w:t>
      </w:r>
      <w:r>
        <w:rPr>
          <w:rFonts w:hint="eastAsia"/>
          <w:szCs w:val="21"/>
        </w:rPr>
        <w:t>4732</w:t>
      </w:r>
      <w:r>
        <w:rPr>
          <w:szCs w:val="21"/>
        </w:rPr>
        <w:t>.</w:t>
      </w:r>
      <w:bookmarkEnd w:id="10"/>
    </w:p>
    <w:p w14:paraId="030725BB" w14:textId="77777777" w:rsidR="008E062A" w:rsidRDefault="00072D76">
      <w:pPr>
        <w:adjustRightInd w:val="0"/>
        <w:spacing w:line="240" w:lineRule="auto"/>
        <w:rPr>
          <w:szCs w:val="21"/>
        </w:rPr>
      </w:pPr>
      <w:bookmarkStart w:id="11" w:name="_Ref187595252"/>
      <w:r>
        <w:rPr>
          <w:rFonts w:hint="eastAsia"/>
          <w:szCs w:val="21"/>
        </w:rPr>
        <w:t xml:space="preserve">[6] </w:t>
      </w:r>
      <w:r>
        <w:rPr>
          <w:caps/>
          <w:szCs w:val="21"/>
        </w:rPr>
        <w:t>Yin J, Cao Y, Li Y H</w:t>
      </w:r>
      <w:r>
        <w:rPr>
          <w:szCs w:val="21"/>
        </w:rPr>
        <w:t>, et al. Satellite-based entanglement distribution over 1200 kilometers[J]. Science, 2017, 356</w:t>
      </w:r>
      <w:r>
        <w:rPr>
          <w:rFonts w:hint="eastAsia"/>
          <w:szCs w:val="21"/>
        </w:rPr>
        <w:t>（</w:t>
      </w:r>
      <w:r>
        <w:rPr>
          <w:rFonts w:hint="eastAsia"/>
          <w:szCs w:val="21"/>
        </w:rPr>
        <w:t>6343</w:t>
      </w:r>
      <w:r>
        <w:rPr>
          <w:rFonts w:hint="eastAsia"/>
          <w:szCs w:val="21"/>
        </w:rPr>
        <w:t>）</w:t>
      </w:r>
      <w:r>
        <w:rPr>
          <w:szCs w:val="21"/>
        </w:rPr>
        <w:t>: 1140-1144.</w:t>
      </w:r>
      <w:bookmarkEnd w:id="11"/>
    </w:p>
    <w:p w14:paraId="209F37FC" w14:textId="77777777" w:rsidR="008E062A" w:rsidRDefault="00072D76">
      <w:pPr>
        <w:adjustRightInd w:val="0"/>
        <w:spacing w:line="240" w:lineRule="auto"/>
        <w:rPr>
          <w:szCs w:val="21"/>
        </w:rPr>
      </w:pPr>
      <w:bookmarkStart w:id="12" w:name="_Ref186218369"/>
      <w:bookmarkEnd w:id="4"/>
      <w:bookmarkEnd w:id="5"/>
      <w:r>
        <w:rPr>
          <w:rFonts w:hint="eastAsia"/>
          <w:szCs w:val="21"/>
        </w:rPr>
        <w:t xml:space="preserve">[7] </w:t>
      </w:r>
      <w:r>
        <w:rPr>
          <w:szCs w:val="21"/>
        </w:rPr>
        <w:t>刘旭超</w:t>
      </w:r>
      <w:r>
        <w:rPr>
          <w:rFonts w:hint="eastAsia"/>
          <w:szCs w:val="21"/>
        </w:rPr>
        <w:t>，</w:t>
      </w:r>
      <w:r>
        <w:rPr>
          <w:szCs w:val="21"/>
        </w:rPr>
        <w:t>温佳旭</w:t>
      </w:r>
      <w:r>
        <w:rPr>
          <w:rFonts w:hint="eastAsia"/>
          <w:szCs w:val="21"/>
        </w:rPr>
        <w:t>，</w:t>
      </w:r>
      <w:r>
        <w:rPr>
          <w:szCs w:val="21"/>
        </w:rPr>
        <w:t>李少波</w:t>
      </w:r>
      <w:r>
        <w:rPr>
          <w:rFonts w:hint="eastAsia"/>
          <w:szCs w:val="21"/>
        </w:rPr>
        <w:t>，等</w:t>
      </w:r>
      <w:r>
        <w:rPr>
          <w:rFonts w:ascii="宋体" w:hAnsi="宋体"/>
          <w:szCs w:val="21"/>
        </w:rPr>
        <w:t>.</w:t>
      </w:r>
      <w:r>
        <w:rPr>
          <w:szCs w:val="21"/>
        </w:rPr>
        <w:t>湍流信道下连续变量量子密钥分发密钥率研究</w:t>
      </w:r>
      <w:r>
        <w:rPr>
          <w:szCs w:val="21"/>
        </w:rPr>
        <w:t xml:space="preserve">[J]. </w:t>
      </w:r>
      <w:r>
        <w:rPr>
          <w:szCs w:val="21"/>
        </w:rPr>
        <w:t>中国激光</w:t>
      </w:r>
      <w:r>
        <w:rPr>
          <w:szCs w:val="21"/>
        </w:rPr>
        <w:t>, 2023, 50</w:t>
      </w:r>
      <w:r>
        <w:rPr>
          <w:rFonts w:hint="eastAsia"/>
          <w:szCs w:val="21"/>
        </w:rPr>
        <w:t>（</w:t>
      </w:r>
      <w:r>
        <w:rPr>
          <w:rFonts w:hint="eastAsia"/>
          <w:szCs w:val="21"/>
        </w:rPr>
        <w:t>14</w:t>
      </w:r>
      <w:r>
        <w:rPr>
          <w:rFonts w:hint="eastAsia"/>
          <w:szCs w:val="21"/>
        </w:rPr>
        <w:t>）</w:t>
      </w:r>
      <w:r>
        <w:rPr>
          <w:rFonts w:ascii="宋体" w:hAnsi="宋体"/>
          <w:szCs w:val="21"/>
        </w:rPr>
        <w:t xml:space="preserve">: </w:t>
      </w:r>
      <w:r>
        <w:rPr>
          <w:szCs w:val="21"/>
        </w:rPr>
        <w:t>1412002-1~1412002-</w:t>
      </w:r>
      <w:r>
        <w:rPr>
          <w:rFonts w:hint="eastAsia"/>
          <w:szCs w:val="21"/>
        </w:rPr>
        <w:t>7</w:t>
      </w:r>
      <w:r>
        <w:rPr>
          <w:szCs w:val="21"/>
        </w:rPr>
        <w:t>.</w:t>
      </w:r>
    </w:p>
    <w:p w14:paraId="2A6161F5" w14:textId="77777777" w:rsidR="008E062A" w:rsidRDefault="00072D76">
      <w:pPr>
        <w:adjustRightInd w:val="0"/>
        <w:spacing w:line="240" w:lineRule="auto"/>
        <w:rPr>
          <w:szCs w:val="21"/>
        </w:rPr>
      </w:pPr>
      <w:bookmarkStart w:id="13" w:name="_Ref187068301"/>
      <w:bookmarkStart w:id="14" w:name="_Ref12435"/>
      <w:bookmarkEnd w:id="12"/>
      <w:r>
        <w:rPr>
          <w:rFonts w:hint="eastAsia"/>
          <w:szCs w:val="21"/>
        </w:rPr>
        <w:t xml:space="preserve">[8] </w:t>
      </w:r>
      <w:r>
        <w:rPr>
          <w:szCs w:val="21"/>
        </w:rPr>
        <w:t>高锟</w:t>
      </w:r>
      <w:r>
        <w:rPr>
          <w:rFonts w:hint="eastAsia"/>
          <w:szCs w:val="21"/>
        </w:rPr>
        <w:t>，</w:t>
      </w:r>
      <w:r>
        <w:rPr>
          <w:szCs w:val="21"/>
        </w:rPr>
        <w:t>聂敏</w:t>
      </w:r>
      <w:r>
        <w:rPr>
          <w:rFonts w:hint="eastAsia"/>
          <w:szCs w:val="21"/>
        </w:rPr>
        <w:t>，</w:t>
      </w:r>
      <w:r>
        <w:rPr>
          <w:szCs w:val="21"/>
        </w:rPr>
        <w:t>杨光</w:t>
      </w:r>
      <w:r>
        <w:rPr>
          <w:rFonts w:hint="eastAsia"/>
          <w:szCs w:val="21"/>
        </w:rPr>
        <w:t>，等</w:t>
      </w:r>
      <w:r>
        <w:rPr>
          <w:szCs w:val="21"/>
        </w:rPr>
        <w:t xml:space="preserve">. </w:t>
      </w:r>
      <w:r>
        <w:rPr>
          <w:szCs w:val="21"/>
        </w:rPr>
        <w:t>降雨背景下自由空间量子通信的性能研究</w:t>
      </w:r>
      <w:r>
        <w:rPr>
          <w:szCs w:val="21"/>
        </w:rPr>
        <w:t xml:space="preserve">[J]. </w:t>
      </w:r>
      <w:r>
        <w:rPr>
          <w:szCs w:val="21"/>
        </w:rPr>
        <w:t>激光与光电子学进展</w:t>
      </w:r>
      <w:r>
        <w:rPr>
          <w:szCs w:val="21"/>
        </w:rPr>
        <w:t>, 2017, 54</w:t>
      </w:r>
      <w:r>
        <w:rPr>
          <w:rFonts w:hint="eastAsia"/>
          <w:szCs w:val="21"/>
        </w:rPr>
        <w:t>（</w:t>
      </w:r>
      <w:r>
        <w:rPr>
          <w:rFonts w:hint="eastAsia"/>
          <w:szCs w:val="21"/>
        </w:rPr>
        <w:t>1</w:t>
      </w:r>
      <w:r>
        <w:rPr>
          <w:rFonts w:hint="eastAsia"/>
          <w:szCs w:val="21"/>
        </w:rPr>
        <w:t>）</w:t>
      </w:r>
      <w:r>
        <w:rPr>
          <w:rFonts w:ascii="宋体" w:hAnsi="宋体"/>
          <w:szCs w:val="21"/>
        </w:rPr>
        <w:t>:</w:t>
      </w:r>
      <w:r>
        <w:rPr>
          <w:szCs w:val="21"/>
        </w:rPr>
        <w:t xml:space="preserve"> 012701-1~012701-</w:t>
      </w:r>
      <w:r>
        <w:rPr>
          <w:szCs w:val="21"/>
          <w:highlight w:val="yellow"/>
        </w:rPr>
        <w:t xml:space="preserve"> </w:t>
      </w:r>
      <w:r>
        <w:rPr>
          <w:rFonts w:hint="eastAsia"/>
          <w:szCs w:val="21"/>
          <w:highlight w:val="yellow"/>
        </w:rPr>
        <w:t>8</w:t>
      </w:r>
      <w:r>
        <w:rPr>
          <w:szCs w:val="21"/>
        </w:rPr>
        <w:t>.</w:t>
      </w:r>
    </w:p>
    <w:p w14:paraId="3D1977C2" w14:textId="77777777" w:rsidR="008E062A" w:rsidRDefault="00072D76">
      <w:pPr>
        <w:adjustRightInd w:val="0"/>
        <w:spacing w:line="240" w:lineRule="auto"/>
        <w:rPr>
          <w:szCs w:val="21"/>
        </w:rPr>
      </w:pPr>
      <w:bookmarkStart w:id="15" w:name="_Ref187068349"/>
      <w:bookmarkStart w:id="16" w:name="_Ref13719"/>
      <w:bookmarkEnd w:id="13"/>
      <w:bookmarkEnd w:id="14"/>
      <w:r>
        <w:rPr>
          <w:rFonts w:hint="eastAsia"/>
          <w:kern w:val="0"/>
          <w:szCs w:val="21"/>
        </w:rPr>
        <w:t xml:space="preserve">[9] </w:t>
      </w:r>
      <w:r>
        <w:rPr>
          <w:kern w:val="0"/>
          <w:szCs w:val="21"/>
        </w:rPr>
        <w:t>李松朗</w:t>
      </w:r>
      <w:r>
        <w:rPr>
          <w:rFonts w:hint="eastAsia"/>
          <w:kern w:val="0"/>
          <w:szCs w:val="21"/>
        </w:rPr>
        <w:t>，</w:t>
      </w:r>
      <w:r>
        <w:rPr>
          <w:kern w:val="0"/>
          <w:szCs w:val="21"/>
        </w:rPr>
        <w:t>毛忠阳</w:t>
      </w:r>
      <w:r>
        <w:rPr>
          <w:rFonts w:hint="eastAsia"/>
          <w:kern w:val="0"/>
          <w:szCs w:val="21"/>
        </w:rPr>
        <w:t>，</w:t>
      </w:r>
      <w:r>
        <w:rPr>
          <w:kern w:val="0"/>
          <w:szCs w:val="21"/>
        </w:rPr>
        <w:t>刘传辉</w:t>
      </w:r>
      <w:r>
        <w:rPr>
          <w:rFonts w:hint="eastAsia"/>
          <w:kern w:val="0"/>
          <w:szCs w:val="21"/>
        </w:rPr>
        <w:t>，</w:t>
      </w:r>
      <w:r>
        <w:rPr>
          <w:kern w:val="0"/>
          <w:szCs w:val="21"/>
        </w:rPr>
        <w:t>等</w:t>
      </w:r>
      <w:r>
        <w:rPr>
          <w:kern w:val="0"/>
          <w:szCs w:val="21"/>
        </w:rPr>
        <w:t xml:space="preserve">. </w:t>
      </w:r>
      <w:r>
        <w:rPr>
          <w:kern w:val="0"/>
          <w:szCs w:val="21"/>
        </w:rPr>
        <w:t>云层厚度对蓝绿激光通信性能的影响分析</w:t>
      </w:r>
      <w:r>
        <w:rPr>
          <w:kern w:val="0"/>
          <w:szCs w:val="21"/>
        </w:rPr>
        <w:t xml:space="preserve">[J]. </w:t>
      </w:r>
      <w:r>
        <w:rPr>
          <w:kern w:val="0"/>
          <w:szCs w:val="21"/>
        </w:rPr>
        <w:t>光电工程，</w:t>
      </w:r>
      <w:r>
        <w:rPr>
          <w:kern w:val="0"/>
          <w:szCs w:val="21"/>
        </w:rPr>
        <w:t>2020</w:t>
      </w:r>
      <w:r>
        <w:rPr>
          <w:kern w:val="0"/>
          <w:szCs w:val="21"/>
        </w:rPr>
        <w:t>，</w:t>
      </w:r>
      <w:r>
        <w:rPr>
          <w:kern w:val="0"/>
          <w:szCs w:val="21"/>
        </w:rPr>
        <w:t>47</w:t>
      </w:r>
      <w:r>
        <w:rPr>
          <w:rFonts w:hint="eastAsia"/>
          <w:kern w:val="0"/>
          <w:szCs w:val="21"/>
        </w:rPr>
        <w:t>（</w:t>
      </w:r>
      <w:r>
        <w:rPr>
          <w:rFonts w:hint="eastAsia"/>
          <w:kern w:val="0"/>
          <w:szCs w:val="21"/>
        </w:rPr>
        <w:t>3</w:t>
      </w:r>
      <w:r>
        <w:rPr>
          <w:rFonts w:hint="eastAsia"/>
          <w:kern w:val="0"/>
          <w:szCs w:val="21"/>
        </w:rPr>
        <w:t>）</w:t>
      </w:r>
      <w:r>
        <w:rPr>
          <w:rFonts w:ascii="宋体" w:hAnsi="宋体" w:hint="eastAsia"/>
          <w:kern w:val="0"/>
          <w:szCs w:val="21"/>
        </w:rPr>
        <w:t>:</w:t>
      </w:r>
      <w:r>
        <w:rPr>
          <w:kern w:val="0"/>
          <w:szCs w:val="21"/>
        </w:rPr>
        <w:t>190389-1</w:t>
      </w:r>
      <w:r>
        <w:rPr>
          <w:rFonts w:hint="eastAsia"/>
          <w:kern w:val="0"/>
          <w:szCs w:val="21"/>
        </w:rPr>
        <w:t>~</w:t>
      </w:r>
      <w:r>
        <w:rPr>
          <w:kern w:val="0"/>
          <w:szCs w:val="21"/>
        </w:rPr>
        <w:t>190389-</w:t>
      </w:r>
      <w:r>
        <w:rPr>
          <w:szCs w:val="21"/>
          <w:highlight w:val="yellow"/>
        </w:rPr>
        <w:t xml:space="preserve"> </w:t>
      </w:r>
      <w:r>
        <w:rPr>
          <w:rFonts w:hint="eastAsia"/>
          <w:szCs w:val="21"/>
          <w:highlight w:val="yellow"/>
        </w:rPr>
        <w:t>7</w:t>
      </w:r>
      <w:r>
        <w:rPr>
          <w:kern w:val="0"/>
          <w:szCs w:val="21"/>
        </w:rPr>
        <w:t xml:space="preserve">. </w:t>
      </w:r>
    </w:p>
    <w:p w14:paraId="7823A465" w14:textId="77777777" w:rsidR="008E062A" w:rsidRDefault="00072D76">
      <w:pPr>
        <w:adjustRightInd w:val="0"/>
        <w:spacing w:line="240" w:lineRule="auto"/>
        <w:rPr>
          <w:szCs w:val="21"/>
        </w:rPr>
      </w:pPr>
      <w:bookmarkStart w:id="17" w:name="_Ref14378"/>
      <w:bookmarkEnd w:id="15"/>
      <w:bookmarkEnd w:id="16"/>
      <w:r>
        <w:rPr>
          <w:rFonts w:hint="eastAsia"/>
          <w:szCs w:val="21"/>
        </w:rPr>
        <w:t xml:space="preserve">[10] </w:t>
      </w:r>
      <w:r>
        <w:rPr>
          <w:szCs w:val="21"/>
        </w:rPr>
        <w:t>聂敏</w:t>
      </w:r>
      <w:r>
        <w:rPr>
          <w:rFonts w:hint="eastAsia"/>
          <w:szCs w:val="21"/>
        </w:rPr>
        <w:t>，</w:t>
      </w:r>
      <w:r>
        <w:rPr>
          <w:szCs w:val="21"/>
        </w:rPr>
        <w:t>石力</w:t>
      </w:r>
      <w:r>
        <w:rPr>
          <w:rFonts w:hint="eastAsia"/>
          <w:szCs w:val="21"/>
        </w:rPr>
        <w:t>，</w:t>
      </w:r>
      <w:r>
        <w:rPr>
          <w:szCs w:val="21"/>
        </w:rPr>
        <w:t>杨光</w:t>
      </w:r>
      <w:r>
        <w:rPr>
          <w:rFonts w:hint="eastAsia"/>
          <w:szCs w:val="21"/>
        </w:rPr>
        <w:t>，</w:t>
      </w:r>
      <w:r>
        <w:rPr>
          <w:szCs w:val="21"/>
        </w:rPr>
        <w:t>等</w:t>
      </w:r>
      <w:r>
        <w:rPr>
          <w:rFonts w:ascii="宋体" w:hAnsi="宋体"/>
          <w:szCs w:val="21"/>
        </w:rPr>
        <w:t>.</w:t>
      </w:r>
      <w:r>
        <w:rPr>
          <w:szCs w:val="21"/>
        </w:rPr>
        <w:t>雷暴云对星地量子链路性能的影响及参数仿真</w:t>
      </w:r>
      <w:r>
        <w:rPr>
          <w:szCs w:val="21"/>
        </w:rPr>
        <w:t>[J]</w:t>
      </w:r>
      <w:r>
        <w:rPr>
          <w:rFonts w:ascii="宋体" w:hAnsi="宋体" w:hint="eastAsia"/>
          <w:szCs w:val="21"/>
        </w:rPr>
        <w:t>.</w:t>
      </w:r>
      <w:r>
        <w:rPr>
          <w:szCs w:val="21"/>
        </w:rPr>
        <w:t>通信学报</w:t>
      </w:r>
      <w:r>
        <w:rPr>
          <w:rFonts w:hint="eastAsia"/>
          <w:szCs w:val="21"/>
        </w:rPr>
        <w:t>，</w:t>
      </w:r>
      <w:r>
        <w:rPr>
          <w:rFonts w:hint="eastAsia"/>
          <w:szCs w:val="21"/>
        </w:rPr>
        <w:t>2017</w:t>
      </w:r>
      <w:r>
        <w:rPr>
          <w:rFonts w:hint="eastAsia"/>
          <w:szCs w:val="21"/>
        </w:rPr>
        <w:t>，</w:t>
      </w:r>
      <w:r>
        <w:rPr>
          <w:rFonts w:hint="eastAsia"/>
          <w:szCs w:val="21"/>
        </w:rPr>
        <w:t>38</w:t>
      </w:r>
      <w:r>
        <w:rPr>
          <w:rFonts w:hint="eastAsia"/>
          <w:szCs w:val="21"/>
        </w:rPr>
        <w:t>（</w:t>
      </w:r>
      <w:r>
        <w:rPr>
          <w:rFonts w:hint="eastAsia"/>
          <w:szCs w:val="21"/>
        </w:rPr>
        <w:t>5</w:t>
      </w:r>
      <w:r>
        <w:rPr>
          <w:rFonts w:hint="eastAsia"/>
          <w:szCs w:val="21"/>
        </w:rPr>
        <w:t>）：</w:t>
      </w:r>
      <w:r>
        <w:rPr>
          <w:rFonts w:hint="eastAsia"/>
          <w:szCs w:val="21"/>
        </w:rPr>
        <w:t>31-38</w:t>
      </w:r>
      <w:r>
        <w:rPr>
          <w:rFonts w:ascii="宋体" w:hAnsi="宋体" w:hint="eastAsia"/>
          <w:szCs w:val="21"/>
        </w:rPr>
        <w:t>.</w:t>
      </w:r>
    </w:p>
    <w:p w14:paraId="2A75A6BC" w14:textId="77777777" w:rsidR="008E062A" w:rsidRDefault="00072D76">
      <w:pPr>
        <w:adjustRightInd w:val="0"/>
        <w:spacing w:line="240" w:lineRule="auto"/>
        <w:rPr>
          <w:szCs w:val="21"/>
        </w:rPr>
      </w:pPr>
      <w:bookmarkStart w:id="18" w:name="_Ref15250"/>
      <w:bookmarkStart w:id="19" w:name="_Ref187068371"/>
      <w:bookmarkEnd w:id="17"/>
      <w:r>
        <w:rPr>
          <w:rFonts w:hint="eastAsia"/>
          <w:szCs w:val="21"/>
        </w:rPr>
        <w:t xml:space="preserve">[11] </w:t>
      </w:r>
      <w:r>
        <w:rPr>
          <w:szCs w:val="21"/>
        </w:rPr>
        <w:t>郭建伟</w:t>
      </w:r>
      <w:r>
        <w:rPr>
          <w:rFonts w:hint="eastAsia"/>
          <w:szCs w:val="21"/>
        </w:rPr>
        <w:t>，</w:t>
      </w:r>
      <w:r>
        <w:rPr>
          <w:szCs w:val="21"/>
        </w:rPr>
        <w:t>聂敏</w:t>
      </w:r>
      <w:r>
        <w:rPr>
          <w:rFonts w:hint="eastAsia"/>
          <w:szCs w:val="21"/>
        </w:rPr>
        <w:t>，</w:t>
      </w:r>
      <w:r>
        <w:rPr>
          <w:szCs w:val="21"/>
        </w:rPr>
        <w:t>杨光</w:t>
      </w:r>
      <w:r>
        <w:rPr>
          <w:rFonts w:hint="eastAsia"/>
          <w:szCs w:val="21"/>
        </w:rPr>
        <w:t>，等</w:t>
      </w:r>
      <w:r>
        <w:rPr>
          <w:rFonts w:ascii="宋体" w:hAnsi="宋体" w:hint="eastAsia"/>
          <w:szCs w:val="21"/>
        </w:rPr>
        <w:t>.</w:t>
      </w:r>
      <w:r>
        <w:rPr>
          <w:szCs w:val="21"/>
        </w:rPr>
        <w:t>冰云对量子卫星通信性能的影响</w:t>
      </w:r>
      <w:r>
        <w:rPr>
          <w:szCs w:val="21"/>
        </w:rPr>
        <w:t>[J]</w:t>
      </w:r>
      <w:r>
        <w:rPr>
          <w:rFonts w:ascii="宋体" w:hAnsi="宋体"/>
          <w:szCs w:val="21"/>
        </w:rPr>
        <w:t>.</w:t>
      </w:r>
      <w:r>
        <w:rPr>
          <w:szCs w:val="21"/>
        </w:rPr>
        <w:t>激光与光电子学进展</w:t>
      </w:r>
      <w:r>
        <w:rPr>
          <w:rFonts w:ascii="宋体" w:hAnsi="宋体" w:hint="eastAsia"/>
          <w:szCs w:val="21"/>
        </w:rPr>
        <w:t>，</w:t>
      </w:r>
      <w:r>
        <w:rPr>
          <w:szCs w:val="21"/>
        </w:rPr>
        <w:t>2021</w:t>
      </w:r>
      <w:r>
        <w:rPr>
          <w:rFonts w:hint="eastAsia"/>
          <w:szCs w:val="21"/>
        </w:rPr>
        <w:t>，</w:t>
      </w:r>
      <w:r>
        <w:rPr>
          <w:szCs w:val="21"/>
        </w:rPr>
        <w:t>58</w:t>
      </w:r>
      <w:r>
        <w:rPr>
          <w:rFonts w:hint="eastAsia"/>
          <w:szCs w:val="21"/>
        </w:rPr>
        <w:t>（</w:t>
      </w:r>
      <w:r>
        <w:rPr>
          <w:rFonts w:hint="eastAsia"/>
          <w:szCs w:val="21"/>
        </w:rPr>
        <w:t>5</w:t>
      </w:r>
      <w:r>
        <w:rPr>
          <w:rFonts w:hint="eastAsia"/>
          <w:szCs w:val="21"/>
        </w:rPr>
        <w:t>）：</w:t>
      </w:r>
      <w:r>
        <w:rPr>
          <w:szCs w:val="21"/>
        </w:rPr>
        <w:t>0506005-1~0506005-</w:t>
      </w:r>
      <w:r>
        <w:rPr>
          <w:rFonts w:hint="eastAsia"/>
          <w:szCs w:val="21"/>
          <w:highlight w:val="yellow"/>
        </w:rPr>
        <w:t>9</w:t>
      </w:r>
      <w:r>
        <w:rPr>
          <w:szCs w:val="21"/>
        </w:rPr>
        <w:t> </w:t>
      </w:r>
    </w:p>
    <w:p w14:paraId="4132A981" w14:textId="77777777" w:rsidR="008E062A" w:rsidRDefault="00072D76">
      <w:pPr>
        <w:adjustRightInd w:val="0"/>
        <w:spacing w:line="240" w:lineRule="auto"/>
        <w:rPr>
          <w:szCs w:val="21"/>
        </w:rPr>
      </w:pPr>
      <w:bookmarkStart w:id="20" w:name="_Ref16762"/>
      <w:bookmarkStart w:id="21" w:name="_Ref187068381"/>
      <w:bookmarkEnd w:id="18"/>
      <w:bookmarkEnd w:id="19"/>
      <w:r>
        <w:rPr>
          <w:rFonts w:hint="eastAsia"/>
          <w:szCs w:val="21"/>
        </w:rPr>
        <w:t xml:space="preserve">[12] </w:t>
      </w:r>
      <w:r>
        <w:rPr>
          <w:rFonts w:ascii="宋体" w:hAnsi="宋体"/>
          <w:szCs w:val="21"/>
        </w:rPr>
        <w:t>胡秀寒</w:t>
      </w:r>
      <w:r>
        <w:rPr>
          <w:rFonts w:ascii="宋体" w:hAnsi="宋体" w:hint="eastAsia"/>
          <w:szCs w:val="21"/>
        </w:rPr>
        <w:t>，</w:t>
      </w:r>
      <w:r>
        <w:rPr>
          <w:rFonts w:ascii="宋体" w:hAnsi="宋体"/>
          <w:szCs w:val="21"/>
        </w:rPr>
        <w:t>周田华</w:t>
      </w:r>
      <w:r>
        <w:rPr>
          <w:rFonts w:ascii="宋体" w:hAnsi="宋体" w:hint="eastAsia"/>
          <w:szCs w:val="21"/>
        </w:rPr>
        <w:t>，</w:t>
      </w:r>
      <w:r>
        <w:rPr>
          <w:rFonts w:ascii="宋体" w:hAnsi="宋体"/>
          <w:szCs w:val="21"/>
        </w:rPr>
        <w:t>朱小磊</w:t>
      </w:r>
      <w:r>
        <w:rPr>
          <w:rFonts w:ascii="宋体" w:hAnsi="宋体" w:hint="eastAsia"/>
          <w:szCs w:val="21"/>
        </w:rPr>
        <w:t>，等</w:t>
      </w:r>
      <w:r>
        <w:rPr>
          <w:rFonts w:ascii="宋体" w:hAnsi="宋体"/>
          <w:szCs w:val="21"/>
        </w:rPr>
        <w:t>.云对激光下行传输影响的仿真研</w:t>
      </w:r>
      <w:r>
        <w:rPr>
          <w:szCs w:val="21"/>
        </w:rPr>
        <w:t>究</w:t>
      </w:r>
      <w:r>
        <w:rPr>
          <w:szCs w:val="21"/>
        </w:rPr>
        <w:t>[J]</w:t>
      </w:r>
      <w:r>
        <w:rPr>
          <w:rFonts w:ascii="宋体" w:hAnsi="宋体"/>
          <w:szCs w:val="21"/>
        </w:rPr>
        <w:t>.</w:t>
      </w:r>
      <w:r>
        <w:rPr>
          <w:szCs w:val="21"/>
        </w:rPr>
        <w:t>红外</w:t>
      </w:r>
      <w:r>
        <w:rPr>
          <w:rFonts w:hint="eastAsia"/>
          <w:szCs w:val="21"/>
        </w:rPr>
        <w:t>，</w:t>
      </w:r>
      <w:r>
        <w:rPr>
          <w:szCs w:val="21"/>
        </w:rPr>
        <w:t>2015</w:t>
      </w:r>
      <w:r>
        <w:rPr>
          <w:rFonts w:hint="eastAsia"/>
          <w:szCs w:val="21"/>
        </w:rPr>
        <w:t>，</w:t>
      </w:r>
      <w:r>
        <w:rPr>
          <w:szCs w:val="21"/>
        </w:rPr>
        <w:t>36</w:t>
      </w:r>
      <w:r>
        <w:rPr>
          <w:rFonts w:hint="eastAsia"/>
          <w:szCs w:val="21"/>
        </w:rPr>
        <w:t>（</w:t>
      </w:r>
      <w:r>
        <w:rPr>
          <w:rFonts w:hint="eastAsia"/>
          <w:szCs w:val="21"/>
        </w:rPr>
        <w:t>2</w:t>
      </w:r>
      <w:r>
        <w:rPr>
          <w:rFonts w:hint="eastAsia"/>
          <w:szCs w:val="21"/>
        </w:rPr>
        <w:t>）：</w:t>
      </w:r>
      <w:r>
        <w:rPr>
          <w:szCs w:val="21"/>
        </w:rPr>
        <w:t>8~12</w:t>
      </w:r>
      <w:r>
        <w:rPr>
          <w:rFonts w:hint="eastAsia"/>
          <w:szCs w:val="21"/>
        </w:rPr>
        <w:t>.</w:t>
      </w:r>
    </w:p>
    <w:p w14:paraId="45782423" w14:textId="77777777" w:rsidR="008E062A" w:rsidRDefault="00072D76">
      <w:pPr>
        <w:wordWrap w:val="0"/>
        <w:adjustRightInd w:val="0"/>
        <w:spacing w:line="240" w:lineRule="auto"/>
        <w:rPr>
          <w:szCs w:val="21"/>
        </w:rPr>
      </w:pPr>
      <w:bookmarkStart w:id="22" w:name="_Ref187595230"/>
      <w:bookmarkStart w:id="23" w:name="_Ref30919"/>
      <w:bookmarkEnd w:id="20"/>
      <w:bookmarkEnd w:id="21"/>
      <w:r>
        <w:rPr>
          <w:rFonts w:hint="eastAsia"/>
          <w:szCs w:val="21"/>
        </w:rPr>
        <w:t>[13]</w:t>
      </w:r>
      <w:r>
        <w:rPr>
          <w:rFonts w:hint="eastAsia"/>
          <w:caps/>
          <w:szCs w:val="21"/>
        </w:rPr>
        <w:t xml:space="preserve"> </w:t>
      </w:r>
      <w:r>
        <w:rPr>
          <w:caps/>
          <w:szCs w:val="21"/>
        </w:rPr>
        <w:t>Djordjevic I B</w:t>
      </w:r>
      <w:r>
        <w:rPr>
          <w:szCs w:val="21"/>
        </w:rPr>
        <w:t>. Optimized-eight-state CV-QKD protocol outperforming gaussian modulationbased protocols[J].IEEE Photonics Journal, 2019, 11</w:t>
      </w:r>
      <w:r>
        <w:rPr>
          <w:rFonts w:hint="eastAsia"/>
          <w:szCs w:val="21"/>
        </w:rPr>
        <w:t>（</w:t>
      </w:r>
      <w:r>
        <w:rPr>
          <w:rFonts w:hint="eastAsia"/>
          <w:szCs w:val="21"/>
        </w:rPr>
        <w:t>4</w:t>
      </w:r>
      <w:r>
        <w:rPr>
          <w:rFonts w:hint="eastAsia"/>
          <w:szCs w:val="21"/>
        </w:rPr>
        <w:t>）</w:t>
      </w:r>
      <w:r>
        <w:rPr>
          <w:szCs w:val="21"/>
        </w:rPr>
        <w:t xml:space="preserve">:1-10. </w:t>
      </w:r>
      <w:bookmarkStart w:id="24" w:name="_Ref183616882"/>
      <w:bookmarkEnd w:id="22"/>
      <w:bookmarkEnd w:id="23"/>
    </w:p>
    <w:p w14:paraId="6BF1661C" w14:textId="77777777" w:rsidR="008E062A" w:rsidRDefault="00072D76">
      <w:pPr>
        <w:wordWrap w:val="0"/>
        <w:adjustRightInd w:val="0"/>
        <w:spacing w:line="240" w:lineRule="auto"/>
        <w:rPr>
          <w:szCs w:val="21"/>
        </w:rPr>
      </w:pPr>
      <w:bookmarkStart w:id="25" w:name="_Ref187595116"/>
      <w:r>
        <w:rPr>
          <w:rFonts w:hint="eastAsia"/>
          <w:szCs w:val="21"/>
        </w:rPr>
        <w:t xml:space="preserve">[14] </w:t>
      </w:r>
      <w:bookmarkStart w:id="26" w:name="_Ref187074246"/>
      <w:bookmarkEnd w:id="24"/>
      <w:bookmarkEnd w:id="25"/>
      <w:r>
        <w:rPr>
          <w:szCs w:val="21"/>
        </w:rPr>
        <w:t>VASYLYEV D, VOGEL W, MOLL F. Satellite-mediated quantum atmospheric links[J]. Physical Review A, 2019, 99</w:t>
      </w:r>
      <w:r>
        <w:rPr>
          <w:rFonts w:hint="eastAsia"/>
          <w:szCs w:val="21"/>
        </w:rPr>
        <w:t>（</w:t>
      </w:r>
      <w:r>
        <w:rPr>
          <w:rFonts w:hint="eastAsia"/>
          <w:szCs w:val="21"/>
        </w:rPr>
        <w:t>5</w:t>
      </w:r>
      <w:r>
        <w:rPr>
          <w:rFonts w:hint="eastAsia"/>
          <w:szCs w:val="21"/>
        </w:rPr>
        <w:t>）</w:t>
      </w:r>
      <w:r>
        <w:rPr>
          <w:szCs w:val="21"/>
        </w:rPr>
        <w:t>: 053830-1~053830-</w:t>
      </w:r>
      <w:r>
        <w:rPr>
          <w:rFonts w:hint="eastAsia"/>
          <w:szCs w:val="21"/>
        </w:rPr>
        <w:t>30</w:t>
      </w:r>
    </w:p>
    <w:p w14:paraId="748BD084" w14:textId="77777777" w:rsidR="008E062A" w:rsidRDefault="00072D76">
      <w:pPr>
        <w:wordWrap w:val="0"/>
        <w:adjustRightInd w:val="0"/>
        <w:spacing w:line="240" w:lineRule="auto"/>
        <w:rPr>
          <w:szCs w:val="21"/>
        </w:rPr>
      </w:pPr>
      <w:bookmarkStart w:id="27" w:name="_Ref187595194"/>
      <w:r>
        <w:rPr>
          <w:rFonts w:hint="eastAsia"/>
          <w:szCs w:val="21"/>
        </w:rPr>
        <w:t>[15]</w:t>
      </w:r>
      <w:bookmarkStart w:id="28" w:name="_Ref187069454"/>
      <w:bookmarkEnd w:id="26"/>
      <w:bookmarkEnd w:id="27"/>
      <w:r>
        <w:rPr>
          <w:rFonts w:ascii="Arial" w:hAnsi="Arial" w:cs="Arial"/>
          <w:color w:val="222222"/>
          <w:sz w:val="20"/>
          <w:szCs w:val="20"/>
          <w:shd w:val="clear" w:color="auto" w:fill="FFFFFF"/>
        </w:rPr>
        <w:t xml:space="preserve"> </w:t>
      </w:r>
      <w:r>
        <w:rPr>
          <w:caps/>
          <w:szCs w:val="21"/>
        </w:rPr>
        <w:t>Devetak I, Winter A</w:t>
      </w:r>
      <w:r>
        <w:rPr>
          <w:szCs w:val="21"/>
        </w:rPr>
        <w:t>. Distillation of secret key and entanglement from quantum states[J]. Proceedings of the Royal Society A: Mathematical, Physical and engineering sciences, 2005, 461: 207-235.</w:t>
      </w:r>
    </w:p>
    <w:p w14:paraId="6DB15A60" w14:textId="77777777" w:rsidR="008E062A" w:rsidRDefault="00072D76">
      <w:pPr>
        <w:wordWrap w:val="0"/>
        <w:adjustRightInd w:val="0"/>
        <w:spacing w:line="240" w:lineRule="auto"/>
        <w:rPr>
          <w:szCs w:val="21"/>
        </w:rPr>
      </w:pPr>
      <w:bookmarkStart w:id="29" w:name="_Ref187595177"/>
      <w:r>
        <w:rPr>
          <w:rFonts w:hint="eastAsia"/>
          <w:szCs w:val="21"/>
        </w:rPr>
        <w:t xml:space="preserve">[16] </w:t>
      </w:r>
      <w:bookmarkStart w:id="30" w:name="_Ref187595152"/>
      <w:bookmarkStart w:id="31" w:name="_Ref187069511"/>
      <w:bookmarkEnd w:id="29"/>
      <w:r>
        <w:rPr>
          <w:caps/>
          <w:szCs w:val="21"/>
        </w:rPr>
        <w:t>Shin, M., Lee, J. &amp; Jeong, K</w:t>
      </w:r>
      <w:r>
        <w:rPr>
          <w:rFonts w:ascii="Helvetica" w:eastAsia="Helvetica" w:hAnsi="Helvetica" w:cs="Helvetica"/>
          <w:color w:val="222222"/>
          <w:sz w:val="16"/>
          <w:szCs w:val="16"/>
          <w:shd w:val="clear" w:color="auto" w:fill="FFFFFF"/>
        </w:rPr>
        <w:t xml:space="preserve">. </w:t>
      </w:r>
      <w:r>
        <w:rPr>
          <w:szCs w:val="21"/>
        </w:rPr>
        <w:t xml:space="preserve">Estimating quantum mutual information through a quantum neural network. Quantum Inf Process 23, 57 (2024). </w:t>
      </w:r>
      <w:hyperlink r:id="rId146" w:history="1">
        <w:r>
          <w:rPr>
            <w:szCs w:val="21"/>
          </w:rPr>
          <w:t>https://doi.org/10.1007/s11128-023-04253-1</w:t>
        </w:r>
      </w:hyperlink>
    </w:p>
    <w:p w14:paraId="62CE36F9" w14:textId="77777777" w:rsidR="008E062A" w:rsidRDefault="00072D76">
      <w:pPr>
        <w:wordWrap w:val="0"/>
        <w:adjustRightInd w:val="0"/>
        <w:spacing w:line="240" w:lineRule="auto"/>
        <w:rPr>
          <w:szCs w:val="21"/>
        </w:rPr>
      </w:pPr>
      <w:r>
        <w:rPr>
          <w:rFonts w:hint="eastAsia"/>
          <w:szCs w:val="21"/>
        </w:rPr>
        <w:t xml:space="preserve">[17] </w:t>
      </w:r>
      <w:r>
        <w:rPr>
          <w:caps/>
          <w:szCs w:val="21"/>
        </w:rPr>
        <w:t xml:space="preserve">Sidhu J S, Joshi S K, Gündoğan M, </w:t>
      </w:r>
      <w:r>
        <w:rPr>
          <w:szCs w:val="21"/>
        </w:rPr>
        <w:t>et al. Advances in space quantum communications[J]. IET Quantum Communication, 2021, 2</w:t>
      </w:r>
      <w:r>
        <w:rPr>
          <w:rFonts w:hint="eastAsia"/>
          <w:szCs w:val="21"/>
        </w:rPr>
        <w:t>（</w:t>
      </w:r>
      <w:r>
        <w:rPr>
          <w:rFonts w:hint="eastAsia"/>
          <w:szCs w:val="21"/>
        </w:rPr>
        <w:t>4</w:t>
      </w:r>
      <w:r>
        <w:rPr>
          <w:rFonts w:hint="eastAsia"/>
          <w:szCs w:val="21"/>
        </w:rPr>
        <w:t>）</w:t>
      </w:r>
      <w:r>
        <w:rPr>
          <w:szCs w:val="21"/>
        </w:rPr>
        <w:t>:182-217.</w:t>
      </w:r>
      <w:bookmarkEnd w:id="30"/>
    </w:p>
    <w:p w14:paraId="0E584190" w14:textId="77777777" w:rsidR="008E062A" w:rsidRDefault="00072D76">
      <w:pPr>
        <w:wordWrap w:val="0"/>
        <w:adjustRightInd w:val="0"/>
        <w:spacing w:line="240" w:lineRule="auto"/>
        <w:rPr>
          <w:szCs w:val="21"/>
        </w:rPr>
      </w:pPr>
      <w:bookmarkStart w:id="32" w:name="_Ref187594482"/>
      <w:r>
        <w:rPr>
          <w:rFonts w:hint="eastAsia"/>
          <w:szCs w:val="21"/>
        </w:rPr>
        <w:t xml:space="preserve">[18] </w:t>
      </w:r>
      <w:r>
        <w:rPr>
          <w:caps/>
          <w:szCs w:val="21"/>
        </w:rPr>
        <w:t>Kasliwal K, PN J, Jain A,</w:t>
      </w:r>
      <w:r>
        <w:rPr>
          <w:szCs w:val="21"/>
        </w:rPr>
        <w:t xml:space="preserve"> et al. Enhancing satellite‐to‐ground communication using quantum key distribution[J]. IET Quantum Communication, 2023, 4</w:t>
      </w:r>
      <w:r>
        <w:rPr>
          <w:rFonts w:hint="eastAsia"/>
          <w:szCs w:val="21"/>
        </w:rPr>
        <w:t>（</w:t>
      </w:r>
      <w:r>
        <w:rPr>
          <w:rFonts w:hint="eastAsia"/>
          <w:szCs w:val="21"/>
        </w:rPr>
        <w:t>2</w:t>
      </w:r>
      <w:r>
        <w:rPr>
          <w:rFonts w:hint="eastAsia"/>
          <w:szCs w:val="21"/>
        </w:rPr>
        <w:t>）</w:t>
      </w:r>
      <w:r>
        <w:rPr>
          <w:szCs w:val="21"/>
        </w:rPr>
        <w:t>: 57-69.</w:t>
      </w:r>
      <w:bookmarkEnd w:id="32"/>
    </w:p>
    <w:p w14:paraId="61EEFECB" w14:textId="77777777" w:rsidR="008E062A" w:rsidRDefault="00072D76">
      <w:pPr>
        <w:wordWrap w:val="0"/>
        <w:adjustRightInd w:val="0"/>
        <w:spacing w:line="240" w:lineRule="auto"/>
        <w:rPr>
          <w:szCs w:val="21"/>
        </w:rPr>
      </w:pPr>
      <w:bookmarkStart w:id="33" w:name="_Ref187595131"/>
      <w:r>
        <w:rPr>
          <w:rFonts w:hint="eastAsia"/>
          <w:szCs w:val="21"/>
        </w:rPr>
        <w:t>[19]</w:t>
      </w:r>
      <w:bookmarkStart w:id="34" w:name="_Ref187071203"/>
      <w:bookmarkStart w:id="35" w:name="_Ref187070514"/>
      <w:bookmarkEnd w:id="33"/>
      <w:r>
        <w:rPr>
          <w:rFonts w:hint="eastAsia"/>
          <w:szCs w:val="21"/>
        </w:rPr>
        <w:t xml:space="preserve"> Chu, Yen Hsyang . "Beam Broadening Effect on Oblique MST Radar Doppler Spectrum." Journal of Atmospheric and Oceanic Technology 19.12(2002)</w:t>
      </w:r>
      <w:r>
        <w:rPr>
          <w:szCs w:val="21"/>
        </w:rPr>
        <w:t>:</w:t>
      </w:r>
      <w:r>
        <w:rPr>
          <w:rFonts w:hint="eastAsia"/>
          <w:szCs w:val="21"/>
        </w:rPr>
        <w:t>1955-1967.</w:t>
      </w:r>
    </w:p>
    <w:p w14:paraId="5F6EBE7C" w14:textId="77777777" w:rsidR="008E062A" w:rsidRDefault="00072D76">
      <w:pPr>
        <w:wordWrap w:val="0"/>
        <w:adjustRightInd w:val="0"/>
        <w:spacing w:line="240" w:lineRule="auto"/>
        <w:rPr>
          <w:szCs w:val="21"/>
        </w:rPr>
      </w:pPr>
      <w:r>
        <w:rPr>
          <w:rFonts w:hint="eastAsia"/>
          <w:szCs w:val="21"/>
        </w:rPr>
        <w:t xml:space="preserve">[20] </w:t>
      </w:r>
      <w:r>
        <w:rPr>
          <w:rFonts w:hint="eastAsia"/>
          <w:szCs w:val="21"/>
        </w:rPr>
        <w:t>柴庚</w:t>
      </w:r>
      <w:r>
        <w:rPr>
          <w:rFonts w:ascii="宋体" w:hAnsi="宋体"/>
          <w:szCs w:val="21"/>
        </w:rPr>
        <w:t>.</w:t>
      </w:r>
      <w:r>
        <w:rPr>
          <w:rFonts w:hint="eastAsia"/>
          <w:szCs w:val="21"/>
        </w:rPr>
        <w:t>自由空间连续变量量子密钥分发关键技术研究</w:t>
      </w:r>
      <w:r>
        <w:rPr>
          <w:szCs w:val="21"/>
        </w:rPr>
        <w:t>[D]</w:t>
      </w:r>
      <w:r>
        <w:rPr>
          <w:rFonts w:ascii="宋体" w:hAnsi="宋体"/>
          <w:szCs w:val="21"/>
        </w:rPr>
        <w:t>.</w:t>
      </w:r>
      <w:r>
        <w:rPr>
          <w:rFonts w:hint="eastAsia"/>
          <w:szCs w:val="21"/>
        </w:rPr>
        <w:t>西安市</w:t>
      </w:r>
      <w:r>
        <w:rPr>
          <w:rFonts w:ascii="宋体" w:hAnsi="宋体" w:hint="eastAsia"/>
          <w:szCs w:val="21"/>
        </w:rPr>
        <w:t>：</w:t>
      </w:r>
      <w:r>
        <w:rPr>
          <w:rFonts w:hint="eastAsia"/>
          <w:szCs w:val="21"/>
        </w:rPr>
        <w:t>西北大学，</w:t>
      </w:r>
      <w:r>
        <w:rPr>
          <w:szCs w:val="21"/>
        </w:rPr>
        <w:t>2020</w:t>
      </w:r>
      <w:r>
        <w:rPr>
          <w:rFonts w:hint="eastAsia"/>
          <w:szCs w:val="21"/>
        </w:rPr>
        <w:t>：</w:t>
      </w:r>
      <w:r>
        <w:rPr>
          <w:szCs w:val="21"/>
        </w:rPr>
        <w:t>25-28</w:t>
      </w:r>
      <w:r>
        <w:rPr>
          <w:rFonts w:hint="eastAsia"/>
          <w:szCs w:val="21"/>
        </w:rPr>
        <w:t>，</w:t>
      </w:r>
      <w:r>
        <w:rPr>
          <w:szCs w:val="21"/>
        </w:rPr>
        <w:t>41-43.</w:t>
      </w:r>
    </w:p>
    <w:p w14:paraId="316A6800" w14:textId="77777777" w:rsidR="008E062A" w:rsidRDefault="00072D76">
      <w:pPr>
        <w:wordWrap w:val="0"/>
        <w:adjustRightInd w:val="0"/>
        <w:spacing w:line="240" w:lineRule="auto"/>
        <w:rPr>
          <w:szCs w:val="21"/>
        </w:rPr>
      </w:pPr>
      <w:bookmarkStart w:id="36" w:name="_Ref187071222"/>
      <w:bookmarkStart w:id="37" w:name="_Ref187595076"/>
      <w:bookmarkEnd w:id="34"/>
      <w:r>
        <w:rPr>
          <w:rFonts w:hint="eastAsia"/>
          <w:szCs w:val="21"/>
        </w:rPr>
        <w:t>[21]</w:t>
      </w:r>
      <w:r>
        <w:rPr>
          <w:rFonts w:hint="eastAsia"/>
          <w:szCs w:val="21"/>
        </w:rPr>
        <w:t>吴治庚，李明，姚正皓，等</w:t>
      </w:r>
      <w:r>
        <w:rPr>
          <w:rFonts w:ascii="宋体" w:hAnsi="宋体" w:hint="eastAsia"/>
          <w:szCs w:val="21"/>
        </w:rPr>
        <w:t>.</w:t>
      </w:r>
      <w:r>
        <w:rPr>
          <w:rFonts w:hint="eastAsia"/>
          <w:szCs w:val="21"/>
        </w:rPr>
        <w:t>自由空间连续变量量子密钥分发的信道透射率起伏特性仿真研究</w:t>
      </w:r>
      <w:r>
        <w:rPr>
          <w:rFonts w:hint="eastAsia"/>
          <w:szCs w:val="21"/>
        </w:rPr>
        <w:t>[J]</w:t>
      </w:r>
      <w:r>
        <w:rPr>
          <w:rFonts w:ascii="宋体" w:hAnsi="宋体" w:hint="eastAsia"/>
          <w:szCs w:val="21"/>
        </w:rPr>
        <w:t>.</w:t>
      </w:r>
      <w:r>
        <w:rPr>
          <w:rFonts w:hint="eastAsia"/>
          <w:szCs w:val="21"/>
        </w:rPr>
        <w:t>红外与激光工程，</w:t>
      </w:r>
      <w:r>
        <w:rPr>
          <w:rFonts w:hint="eastAsia"/>
          <w:szCs w:val="21"/>
        </w:rPr>
        <w:t>2024</w:t>
      </w:r>
      <w:r>
        <w:rPr>
          <w:rFonts w:hint="eastAsia"/>
          <w:szCs w:val="21"/>
        </w:rPr>
        <w:t>（</w:t>
      </w:r>
      <w:r>
        <w:rPr>
          <w:rFonts w:hint="eastAsia"/>
          <w:szCs w:val="21"/>
        </w:rPr>
        <w:t>8</w:t>
      </w:r>
      <w:r>
        <w:rPr>
          <w:rFonts w:hint="eastAsia"/>
          <w:szCs w:val="21"/>
        </w:rPr>
        <w:t>）</w:t>
      </w:r>
      <w:r>
        <w:rPr>
          <w:rFonts w:ascii="宋体" w:hAnsi="宋体" w:hint="eastAsia"/>
          <w:szCs w:val="21"/>
        </w:rPr>
        <w:t>:</w:t>
      </w:r>
      <w:r>
        <w:rPr>
          <w:rFonts w:hint="eastAsia"/>
          <w:szCs w:val="21"/>
        </w:rPr>
        <w:t>155-163.</w:t>
      </w:r>
    </w:p>
    <w:p w14:paraId="796C7F30" w14:textId="77777777" w:rsidR="008E062A" w:rsidRDefault="00072D76">
      <w:pPr>
        <w:wordWrap w:val="0"/>
        <w:adjustRightInd w:val="0"/>
        <w:spacing w:line="240" w:lineRule="auto"/>
        <w:rPr>
          <w:szCs w:val="21"/>
        </w:rPr>
      </w:pPr>
      <w:bookmarkStart w:id="38" w:name="_Ref187595049"/>
      <w:bookmarkEnd w:id="36"/>
      <w:bookmarkEnd w:id="37"/>
      <w:r>
        <w:rPr>
          <w:rFonts w:hint="eastAsia"/>
          <w:szCs w:val="21"/>
        </w:rPr>
        <w:t>[22]</w:t>
      </w:r>
      <w:r>
        <w:rPr>
          <w:rFonts w:hint="eastAsia"/>
          <w:caps/>
          <w:szCs w:val="21"/>
        </w:rPr>
        <w:t xml:space="preserve"> </w:t>
      </w:r>
      <w:bookmarkEnd w:id="38"/>
      <w:r>
        <w:rPr>
          <w:caps/>
          <w:szCs w:val="21"/>
        </w:rPr>
        <w:t xml:space="preserve">AWAN M S, LEITGEB E, HILLBRAND B, </w:t>
      </w:r>
      <w:r>
        <w:rPr>
          <w:szCs w:val="21"/>
        </w:rPr>
        <w:t>et al</w:t>
      </w:r>
      <w:r>
        <w:rPr>
          <w:caps/>
          <w:szCs w:val="21"/>
        </w:rPr>
        <w:t xml:space="preserve">. </w:t>
      </w:r>
      <w:r>
        <w:rPr>
          <w:szCs w:val="21"/>
        </w:rPr>
        <w:t>Cloud attenuations for free-space optical links[C]//IEEE. Proceedings of 2009 International workshop on satellite and space communications. Siena, Italy: IEEE, 2009: 274-278.</w:t>
      </w:r>
    </w:p>
    <w:p w14:paraId="525849A0" w14:textId="77777777" w:rsidR="008E062A" w:rsidRDefault="00072D76">
      <w:pPr>
        <w:wordWrap w:val="0"/>
        <w:adjustRightInd w:val="0"/>
        <w:spacing w:line="240" w:lineRule="auto"/>
        <w:rPr>
          <w:szCs w:val="21"/>
        </w:rPr>
      </w:pPr>
      <w:bookmarkStart w:id="39" w:name="_Ref187594570"/>
      <w:r>
        <w:rPr>
          <w:rFonts w:hint="eastAsia"/>
          <w:szCs w:val="21"/>
        </w:rPr>
        <w:t>[23]</w:t>
      </w:r>
      <w:r>
        <w:rPr>
          <w:rFonts w:hint="eastAsia"/>
          <w:caps/>
          <w:szCs w:val="21"/>
        </w:rPr>
        <w:t xml:space="preserve"> </w:t>
      </w:r>
      <w:r>
        <w:rPr>
          <w:caps/>
          <w:szCs w:val="21"/>
        </w:rPr>
        <w:t>Alzenad M, Shakir M Z, Yanikomeroglu H,</w:t>
      </w:r>
      <w:r>
        <w:rPr>
          <w:szCs w:val="21"/>
        </w:rPr>
        <w:t xml:space="preserve"> et al. FSO-based vertical backhaul/fronthaul framework for 5G+ wireless networks[J]. IEEE Communications Magazine, </w:t>
      </w:r>
      <w:r>
        <w:rPr>
          <w:szCs w:val="21"/>
        </w:rPr>
        <w:lastRenderedPageBreak/>
        <w:t>2018, 56</w:t>
      </w:r>
      <w:r>
        <w:rPr>
          <w:rFonts w:hint="eastAsia"/>
          <w:szCs w:val="21"/>
        </w:rPr>
        <w:t>（</w:t>
      </w:r>
      <w:r>
        <w:rPr>
          <w:rFonts w:hint="eastAsia"/>
          <w:szCs w:val="21"/>
        </w:rPr>
        <w:t>1</w:t>
      </w:r>
      <w:r>
        <w:rPr>
          <w:rFonts w:hint="eastAsia"/>
          <w:szCs w:val="21"/>
        </w:rPr>
        <w:t>）</w:t>
      </w:r>
      <w:r>
        <w:rPr>
          <w:szCs w:val="21"/>
        </w:rPr>
        <w:t>: 218-224.</w:t>
      </w:r>
      <w:bookmarkEnd w:id="39"/>
    </w:p>
    <w:p w14:paraId="4DF21067" w14:textId="77777777" w:rsidR="008E062A" w:rsidRDefault="00072D76">
      <w:pPr>
        <w:wordWrap w:val="0"/>
        <w:adjustRightInd w:val="0"/>
        <w:spacing w:line="240" w:lineRule="auto"/>
        <w:rPr>
          <w:szCs w:val="21"/>
        </w:rPr>
      </w:pPr>
      <w:bookmarkStart w:id="40" w:name="_Ref187594588"/>
      <w:r>
        <w:rPr>
          <w:rFonts w:hint="eastAsia"/>
          <w:szCs w:val="21"/>
        </w:rPr>
        <w:t xml:space="preserve">[24] </w:t>
      </w:r>
      <w:bookmarkStart w:id="41" w:name="_Ref187594602"/>
      <w:bookmarkEnd w:id="40"/>
      <w:r>
        <w:rPr>
          <w:szCs w:val="21"/>
        </w:rPr>
        <w:t>GULTEPE I, MILBRANDT J A. Microphysical observations and mesoscale model simulation of a warm fog case during FRAM project[J]. Pure and Applied Geophysics, 2007, 164: 1161-1178. DOI: 10.1007/s00024-007-0212-9.</w:t>
      </w:r>
    </w:p>
    <w:p w14:paraId="3B9947B6" w14:textId="77777777" w:rsidR="008E062A" w:rsidRDefault="00072D76">
      <w:pPr>
        <w:wordWrap w:val="0"/>
        <w:adjustRightInd w:val="0"/>
        <w:spacing w:line="240" w:lineRule="auto"/>
        <w:rPr>
          <w:szCs w:val="21"/>
        </w:rPr>
      </w:pPr>
      <w:r>
        <w:rPr>
          <w:rFonts w:hint="eastAsia"/>
          <w:szCs w:val="21"/>
        </w:rPr>
        <w:t>[25]</w:t>
      </w:r>
      <w:bookmarkEnd w:id="41"/>
      <w:r>
        <w:rPr>
          <w:rFonts w:ascii="Arial" w:hAnsi="Arial" w:cs="Arial"/>
          <w:color w:val="222222"/>
          <w:sz w:val="20"/>
          <w:szCs w:val="20"/>
          <w:shd w:val="clear" w:color="auto" w:fill="FFFFFF"/>
        </w:rPr>
        <w:t xml:space="preserve"> </w:t>
      </w:r>
      <w:r>
        <w:rPr>
          <w:szCs w:val="21"/>
        </w:rPr>
        <w:t>ANDREWS L C, PHILLIPS R L. Laser Beam Propagation Through Random Media[M]. 2nd ed. Bellingham, WA: SPIE Press, 2005.</w:t>
      </w:r>
    </w:p>
    <w:p w14:paraId="0985663F" w14:textId="77777777" w:rsidR="008E062A" w:rsidRDefault="00072D76">
      <w:pPr>
        <w:wordWrap w:val="0"/>
        <w:adjustRightInd w:val="0"/>
        <w:spacing w:line="240" w:lineRule="auto"/>
        <w:rPr>
          <w:szCs w:val="21"/>
        </w:rPr>
      </w:pPr>
      <w:bookmarkStart w:id="42" w:name="_Ref187594972"/>
      <w:r>
        <w:rPr>
          <w:rFonts w:hint="eastAsia"/>
          <w:szCs w:val="21"/>
        </w:rPr>
        <w:t xml:space="preserve">[26] </w:t>
      </w:r>
      <w:r>
        <w:rPr>
          <w:rFonts w:ascii="宋体" w:hAnsi="宋体" w:hint="eastAsia"/>
          <w:szCs w:val="21"/>
        </w:rPr>
        <w:t>程天海，顾行发，陈良富，等.卷云多角度偏振特性研究[J].物理学报，</w:t>
      </w:r>
      <w:r>
        <w:rPr>
          <w:rFonts w:hint="eastAsia"/>
          <w:szCs w:val="21"/>
        </w:rPr>
        <w:t>2008</w:t>
      </w:r>
      <w:r>
        <w:rPr>
          <w:rFonts w:hint="eastAsia"/>
          <w:szCs w:val="21"/>
        </w:rPr>
        <w:t>，</w:t>
      </w:r>
      <w:r>
        <w:rPr>
          <w:rFonts w:hint="eastAsia"/>
          <w:szCs w:val="21"/>
        </w:rPr>
        <w:t>57</w:t>
      </w:r>
      <w:r>
        <w:rPr>
          <w:rFonts w:hint="eastAsia"/>
          <w:szCs w:val="21"/>
        </w:rPr>
        <w:t>（</w:t>
      </w:r>
      <w:r>
        <w:rPr>
          <w:rFonts w:hint="eastAsia"/>
          <w:szCs w:val="21"/>
        </w:rPr>
        <w:t>8</w:t>
      </w:r>
      <w:r>
        <w:rPr>
          <w:rFonts w:hint="eastAsia"/>
          <w:szCs w:val="21"/>
        </w:rPr>
        <w:t>）</w:t>
      </w:r>
      <w:r>
        <w:rPr>
          <w:rFonts w:ascii="宋体" w:hAnsi="宋体" w:hint="eastAsia"/>
          <w:szCs w:val="21"/>
        </w:rPr>
        <w:t>:</w:t>
      </w:r>
      <w:r>
        <w:rPr>
          <w:rFonts w:hint="eastAsia"/>
          <w:szCs w:val="21"/>
        </w:rPr>
        <w:t>5323-5332.</w:t>
      </w:r>
    </w:p>
    <w:p w14:paraId="0832BD92" w14:textId="77777777" w:rsidR="008E062A" w:rsidRDefault="00072D76">
      <w:pPr>
        <w:wordWrap w:val="0"/>
        <w:adjustRightInd w:val="0"/>
        <w:spacing w:line="240" w:lineRule="auto"/>
        <w:rPr>
          <w:szCs w:val="21"/>
        </w:rPr>
      </w:pPr>
      <w:bookmarkStart w:id="43" w:name="_Ref187593636"/>
      <w:bookmarkEnd w:id="42"/>
      <w:r>
        <w:rPr>
          <w:rFonts w:hint="eastAsia"/>
          <w:szCs w:val="21"/>
        </w:rPr>
        <w:t xml:space="preserve">[27] </w:t>
      </w:r>
      <w:bookmarkEnd w:id="1"/>
      <w:bookmarkEnd w:id="6"/>
      <w:bookmarkEnd w:id="28"/>
      <w:bookmarkEnd w:id="31"/>
      <w:bookmarkEnd w:id="35"/>
      <w:bookmarkEnd w:id="43"/>
      <w:r>
        <w:rPr>
          <w:szCs w:val="21"/>
        </w:rPr>
        <w:t>Dequal, D., Trigo Vidarte, L., Roman Rodriguez, V. et al. Feasibility of satellite-to-ground continuous-variable quantum key distribution. npj Quantum Inf 7, 3 (2021). https://doi.org/10.1038/s41534-020-00336-4</w:t>
      </w:r>
    </w:p>
    <w:p w14:paraId="7D22310D" w14:textId="77777777" w:rsidR="008E062A" w:rsidRDefault="00072D76">
      <w:pPr>
        <w:rPr>
          <w:rFonts w:ascii="宋体" w:hAnsi="宋体"/>
          <w:color w:val="000000" w:themeColor="text1"/>
          <w:szCs w:val="21"/>
        </w:rPr>
      </w:pPr>
      <w:r>
        <w:rPr>
          <w:rFonts w:ascii="宋体" w:hAnsi="宋体" w:hint="eastAsia"/>
          <w:b/>
          <w:color w:val="000000" w:themeColor="text1"/>
          <w:szCs w:val="21"/>
        </w:rPr>
        <w:t>收</w:t>
      </w:r>
      <w:r>
        <w:rPr>
          <w:rFonts w:ascii="宋体" w:hAnsi="宋体"/>
          <w:b/>
          <w:color w:val="000000" w:themeColor="text1"/>
          <w:szCs w:val="21"/>
        </w:rPr>
        <w:t>稿日期</w:t>
      </w:r>
      <w:r>
        <w:rPr>
          <w:rFonts w:ascii="宋体" w:hAnsi="宋体"/>
          <w:color w:val="000000" w:themeColor="text1"/>
          <w:szCs w:val="21"/>
        </w:rPr>
        <w:t>：</w:t>
      </w:r>
      <w:r>
        <w:rPr>
          <w:rFonts w:ascii="宋体" w:hAnsi="宋体" w:hint="eastAsia"/>
          <w:color w:val="000000" w:themeColor="text1"/>
          <w:szCs w:val="21"/>
        </w:rPr>
        <w:t>2025</w:t>
      </w:r>
      <w:r>
        <w:rPr>
          <w:rFonts w:ascii="宋体" w:hAnsi="宋体"/>
          <w:color w:val="000000" w:themeColor="text1"/>
          <w:szCs w:val="21"/>
        </w:rPr>
        <w:t>-03-24</w:t>
      </w:r>
      <w:r>
        <w:rPr>
          <w:rFonts w:ascii="宋体" w:hAnsi="宋体" w:hint="eastAsia"/>
          <w:color w:val="000000" w:themeColor="text1"/>
          <w:szCs w:val="21"/>
        </w:rPr>
        <w:t>。</w:t>
      </w:r>
    </w:p>
    <w:p w14:paraId="0D97DE49" w14:textId="77777777" w:rsidR="008E062A" w:rsidRDefault="00072D76">
      <w:pPr>
        <w:rPr>
          <w:szCs w:val="21"/>
        </w:rPr>
      </w:pPr>
      <w:r>
        <w:rPr>
          <w:b/>
          <w:szCs w:val="21"/>
        </w:rPr>
        <w:t>基金项目：</w:t>
      </w:r>
      <w:r>
        <w:rPr>
          <w:rFonts w:hint="eastAsia"/>
          <w:bCs/>
          <w:szCs w:val="21"/>
        </w:rPr>
        <w:t>广西重点研发计划（桂科</w:t>
      </w:r>
      <w:r>
        <w:rPr>
          <w:rFonts w:hint="eastAsia"/>
          <w:bCs/>
          <w:szCs w:val="21"/>
        </w:rPr>
        <w:t>AB23075199</w:t>
      </w:r>
      <w:r>
        <w:rPr>
          <w:rFonts w:hint="eastAsia"/>
          <w:bCs/>
          <w:szCs w:val="21"/>
        </w:rPr>
        <w:t>）资助</w:t>
      </w:r>
      <w:r>
        <w:rPr>
          <w:bCs/>
          <w:szCs w:val="21"/>
        </w:rPr>
        <w:t xml:space="preserve"> </w:t>
      </w:r>
    </w:p>
    <w:p w14:paraId="16375084" w14:textId="77777777" w:rsidR="008E062A" w:rsidRDefault="00072D76">
      <w:pPr>
        <w:rPr>
          <w:szCs w:val="21"/>
        </w:rPr>
      </w:pPr>
      <w:r>
        <w:rPr>
          <w:b/>
          <w:szCs w:val="21"/>
        </w:rPr>
        <w:t>作者简介：</w:t>
      </w:r>
      <w:r>
        <w:rPr>
          <w:rFonts w:hint="eastAsia"/>
          <w:szCs w:val="21"/>
        </w:rPr>
        <w:t>禹钧译</w:t>
      </w:r>
      <w:r>
        <w:rPr>
          <w:szCs w:val="21"/>
        </w:rPr>
        <w:t>（</w:t>
      </w:r>
      <w:r>
        <w:rPr>
          <w:rFonts w:hint="eastAsia"/>
          <w:szCs w:val="21"/>
        </w:rPr>
        <w:t>2002</w:t>
      </w:r>
      <w:r>
        <w:rPr>
          <w:szCs w:val="21"/>
        </w:rPr>
        <w:t>—</w:t>
      </w:r>
      <w:r>
        <w:rPr>
          <w:szCs w:val="21"/>
        </w:rPr>
        <w:t>），</w:t>
      </w:r>
      <w:r>
        <w:rPr>
          <w:rFonts w:hint="eastAsia"/>
          <w:szCs w:val="21"/>
        </w:rPr>
        <w:t>男</w:t>
      </w:r>
      <w:r>
        <w:rPr>
          <w:szCs w:val="21"/>
        </w:rPr>
        <w:t>，硕士</w:t>
      </w:r>
      <w:r>
        <w:rPr>
          <w:rFonts w:hint="eastAsia"/>
          <w:szCs w:val="21"/>
        </w:rPr>
        <w:t>研究</w:t>
      </w:r>
      <w:r>
        <w:rPr>
          <w:szCs w:val="21"/>
        </w:rPr>
        <w:t>生，现就读于</w:t>
      </w:r>
      <w:r>
        <w:rPr>
          <w:rFonts w:hint="eastAsia"/>
          <w:szCs w:val="21"/>
        </w:rPr>
        <w:t>广西大学计算机与电子信息</w:t>
      </w:r>
      <w:r>
        <w:rPr>
          <w:szCs w:val="21"/>
        </w:rPr>
        <w:t>学院</w:t>
      </w:r>
      <w:r>
        <w:rPr>
          <w:rFonts w:hint="eastAsia"/>
          <w:szCs w:val="21"/>
        </w:rPr>
        <w:t>计算机技术</w:t>
      </w:r>
      <w:r>
        <w:rPr>
          <w:szCs w:val="21"/>
        </w:rPr>
        <w:t>专业</w:t>
      </w:r>
      <w:r>
        <w:rPr>
          <w:rFonts w:hint="eastAsia"/>
          <w:szCs w:val="21"/>
        </w:rPr>
        <w:t>，</w:t>
      </w:r>
      <w:r>
        <w:rPr>
          <w:szCs w:val="21"/>
        </w:rPr>
        <w:t>主要从事</w:t>
      </w:r>
      <w:r>
        <w:rPr>
          <w:rFonts w:hint="eastAsia"/>
          <w:szCs w:val="21"/>
        </w:rPr>
        <w:t>连续变量量子密钥分发信道分析研究及其</w:t>
      </w:r>
      <w:r>
        <w:rPr>
          <w:szCs w:val="21"/>
        </w:rPr>
        <w:t>仿真</w:t>
      </w:r>
      <w:r>
        <w:rPr>
          <w:rFonts w:hint="eastAsia"/>
          <w:szCs w:val="21"/>
        </w:rPr>
        <w:t>验证</w:t>
      </w:r>
      <w:r>
        <w:rPr>
          <w:szCs w:val="21"/>
        </w:rPr>
        <w:t>。</w:t>
      </w:r>
    </w:p>
    <w:p w14:paraId="1BC7A1F8" w14:textId="77777777" w:rsidR="008E062A" w:rsidRDefault="00072D76">
      <w:pPr>
        <w:rPr>
          <w:szCs w:val="21"/>
        </w:rPr>
      </w:pPr>
      <w:r>
        <w:rPr>
          <w:rFonts w:hint="eastAsia"/>
          <w:noProof/>
          <w:szCs w:val="21"/>
        </w:rPr>
        <w:drawing>
          <wp:inline distT="0" distB="0" distL="0" distR="0">
            <wp:extent cx="719455" cy="1079500"/>
            <wp:effectExtent l="0" t="0" r="4445" b="6350"/>
            <wp:docPr id="581288519" name="图片 6" descr="穿着西装笔挺的男子&#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288519" name="图片 6" descr="穿着西装笔挺的男子&#10;&#10;AI 生成的内容可能不正确。"/>
                    <pic:cNvPicPr>
                      <a:picLocks noChangeAspect="1"/>
                    </pic:cNvPicPr>
                  </pic:nvPicPr>
                  <pic:blipFill>
                    <a:blip r:embed="rId147"/>
                    <a:stretch>
                      <a:fillRect/>
                    </a:stretch>
                  </pic:blipFill>
                  <pic:spPr>
                    <a:xfrm>
                      <a:off x="0" y="0"/>
                      <a:ext cx="720000" cy="1080000"/>
                    </a:xfrm>
                    <a:prstGeom prst="rect">
                      <a:avLst/>
                    </a:prstGeom>
                  </pic:spPr>
                </pic:pic>
              </a:graphicData>
            </a:graphic>
          </wp:inline>
        </w:drawing>
      </w:r>
    </w:p>
    <w:p w14:paraId="6D648CCB" w14:textId="77777777" w:rsidR="008E062A" w:rsidRDefault="00072D76">
      <w:pPr>
        <w:rPr>
          <w:szCs w:val="21"/>
        </w:rPr>
      </w:pPr>
      <w:r>
        <w:rPr>
          <w:rFonts w:hint="eastAsia"/>
          <w:szCs w:val="21"/>
        </w:rPr>
        <w:t>*</w:t>
      </w:r>
      <w:r>
        <w:rPr>
          <w:rFonts w:hint="eastAsia"/>
          <w:b/>
          <w:szCs w:val="21"/>
        </w:rPr>
        <w:t>通信</w:t>
      </w:r>
      <w:r>
        <w:rPr>
          <w:b/>
          <w:szCs w:val="21"/>
        </w:rPr>
        <w:t>作者</w:t>
      </w:r>
      <w:r>
        <w:rPr>
          <w:szCs w:val="21"/>
        </w:rPr>
        <w:t>：</w:t>
      </w:r>
      <w:r>
        <w:rPr>
          <w:rFonts w:hint="eastAsia"/>
          <w:szCs w:val="21"/>
        </w:rPr>
        <w:t>杨林峰（</w:t>
      </w:r>
      <w:r>
        <w:rPr>
          <w:rFonts w:hint="eastAsia"/>
          <w:szCs w:val="21"/>
        </w:rPr>
        <w:t>1979</w:t>
      </w:r>
      <w:r>
        <w:rPr>
          <w:szCs w:val="21"/>
        </w:rPr>
        <w:t>—</w:t>
      </w:r>
      <w:r>
        <w:rPr>
          <w:szCs w:val="21"/>
        </w:rPr>
        <w:t>），</w:t>
      </w:r>
      <w:r>
        <w:rPr>
          <w:rFonts w:hint="eastAsia"/>
          <w:szCs w:val="21"/>
        </w:rPr>
        <w:t>男</w:t>
      </w:r>
      <w:r>
        <w:rPr>
          <w:szCs w:val="21"/>
        </w:rPr>
        <w:t>，博士，教授，主要从事</w:t>
      </w:r>
      <w:r>
        <w:rPr>
          <w:rFonts w:hint="eastAsia"/>
          <w:szCs w:val="21"/>
        </w:rPr>
        <w:t>最优化算法、机器学习理论与算法</w:t>
      </w:r>
      <w:r>
        <w:rPr>
          <w:szCs w:val="21"/>
        </w:rPr>
        <w:t>方面的研究。</w:t>
      </w:r>
      <w:r>
        <w:rPr>
          <w:rFonts w:hint="eastAsia"/>
          <w:szCs w:val="21"/>
        </w:rPr>
        <w:t xml:space="preserve"> </w:t>
      </w:r>
    </w:p>
    <w:sectPr w:rsidR="008E062A">
      <w:footerReference w:type="default" r:id="rId148"/>
      <w:headerReference w:type="first" r:id="rId149"/>
      <w:pgSz w:w="11906" w:h="16838"/>
      <w:pgMar w:top="1440" w:right="1800" w:bottom="1440" w:left="1800"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BB7F5F" w14:textId="77777777" w:rsidR="00072D76" w:rsidRDefault="00072D76">
      <w:pPr>
        <w:spacing w:line="240" w:lineRule="auto"/>
      </w:pPr>
      <w:r>
        <w:separator/>
      </w:r>
    </w:p>
  </w:endnote>
  <w:endnote w:type="continuationSeparator" w:id="0">
    <w:p w14:paraId="52C19CC5" w14:textId="77777777" w:rsidR="00072D76" w:rsidRDefault="00072D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A00002EF" w:usb1="420020EB"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FF807" w14:textId="77777777" w:rsidR="008E062A" w:rsidRDefault="008E062A">
    <w:pPr>
      <w:pStyle w:val="a7"/>
    </w:pPr>
  </w:p>
  <w:p w14:paraId="74790B7C" w14:textId="77777777" w:rsidR="008E062A" w:rsidRDefault="00072D76">
    <w:pPr>
      <w:pStyle w:val="a7"/>
      <w:tabs>
        <w:tab w:val="clear" w:pos="4153"/>
        <w:tab w:val="clear" w:pos="8306"/>
        <w:tab w:val="left" w:pos="1457"/>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C60294" w14:textId="77777777" w:rsidR="00072D76" w:rsidRDefault="00072D76">
      <w:r>
        <w:separator/>
      </w:r>
    </w:p>
  </w:footnote>
  <w:footnote w:type="continuationSeparator" w:id="0">
    <w:p w14:paraId="7A63A54D" w14:textId="77777777" w:rsidR="00072D76" w:rsidRDefault="00072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3B978" w14:textId="77777777" w:rsidR="008E062A" w:rsidRDefault="00072D76">
    <w:pPr>
      <w:ind w:firstLineChars="1600" w:firstLine="4498"/>
      <w:rPr>
        <w:rFonts w:ascii="微软雅黑" w:eastAsia="微软雅黑" w:hAnsi="微软雅黑"/>
        <w:b/>
        <w:bCs/>
        <w:color w:val="0070C0"/>
        <w:sz w:val="24"/>
        <w:szCs w:val="24"/>
        <w:shd w:val="clear" w:color="auto" w:fill="FFFFFF"/>
      </w:rPr>
    </w:pPr>
    <w:r>
      <w:rPr>
        <w:rFonts w:ascii="宋体" w:hAnsi="宋体" w:hint="eastAsia"/>
        <w:b/>
        <w:color w:val="000000" w:themeColor="text1"/>
        <w:sz w:val="28"/>
        <w:szCs w:val="28"/>
      </w:rPr>
      <w:t>投稿</w:t>
    </w:r>
    <w:r>
      <w:rPr>
        <w:rFonts w:ascii="宋体" w:hAnsi="宋体"/>
        <w:b/>
        <w:color w:val="000000" w:themeColor="text1"/>
        <w:sz w:val="28"/>
        <w:szCs w:val="28"/>
      </w:rPr>
      <w:t>栏目：</w:t>
    </w:r>
    <w:r>
      <w:rPr>
        <w:rStyle w:val="af1"/>
        <w:rFonts w:ascii="微软雅黑" w:eastAsia="微软雅黑" w:hAnsi="微软雅黑" w:hint="eastAsia"/>
        <w:color w:val="0070C0"/>
        <w:sz w:val="24"/>
        <w:szCs w:val="24"/>
        <w:shd w:val="clear" w:color="auto" w:fill="FFFFFF"/>
      </w:rPr>
      <w:t>量子通信、空间光通信</w:t>
    </w:r>
  </w:p>
  <w:p w14:paraId="399F4584" w14:textId="77777777" w:rsidR="008E062A" w:rsidRDefault="008E062A">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B958D3"/>
    <w:multiLevelType w:val="multilevel"/>
    <w:tmpl w:val="25B958D3"/>
    <w:lvl w:ilvl="0">
      <w:start w:val="1"/>
      <w:numFmt w:val="lowerLetter"/>
      <w:lvlText w:val="(%1)"/>
      <w:lvlJc w:val="left"/>
      <w:pPr>
        <w:ind w:left="450" w:hanging="360"/>
      </w:pPr>
      <w:rPr>
        <w:rFonts w:hint="default"/>
      </w:rPr>
    </w:lvl>
    <w:lvl w:ilvl="1">
      <w:start w:val="1"/>
      <w:numFmt w:val="lowerLetter"/>
      <w:lvlText w:val="%2)"/>
      <w:lvlJc w:val="left"/>
      <w:pPr>
        <w:ind w:left="930" w:hanging="420"/>
      </w:pPr>
    </w:lvl>
    <w:lvl w:ilvl="2">
      <w:start w:val="1"/>
      <w:numFmt w:val="lowerRoman"/>
      <w:lvlText w:val="%3."/>
      <w:lvlJc w:val="right"/>
      <w:pPr>
        <w:ind w:left="1350" w:hanging="420"/>
      </w:pPr>
    </w:lvl>
    <w:lvl w:ilvl="3">
      <w:start w:val="1"/>
      <w:numFmt w:val="decimal"/>
      <w:lvlText w:val="%4."/>
      <w:lvlJc w:val="left"/>
      <w:pPr>
        <w:ind w:left="1770" w:hanging="420"/>
      </w:pPr>
    </w:lvl>
    <w:lvl w:ilvl="4">
      <w:start w:val="1"/>
      <w:numFmt w:val="lowerLetter"/>
      <w:lvlText w:val="%5)"/>
      <w:lvlJc w:val="left"/>
      <w:pPr>
        <w:ind w:left="2190" w:hanging="420"/>
      </w:pPr>
    </w:lvl>
    <w:lvl w:ilvl="5">
      <w:start w:val="1"/>
      <w:numFmt w:val="lowerRoman"/>
      <w:lvlText w:val="%6."/>
      <w:lvlJc w:val="right"/>
      <w:pPr>
        <w:ind w:left="2610" w:hanging="420"/>
      </w:pPr>
    </w:lvl>
    <w:lvl w:ilvl="6">
      <w:start w:val="1"/>
      <w:numFmt w:val="decimal"/>
      <w:lvlText w:val="%7."/>
      <w:lvlJc w:val="left"/>
      <w:pPr>
        <w:ind w:left="3030" w:hanging="420"/>
      </w:pPr>
    </w:lvl>
    <w:lvl w:ilvl="7">
      <w:start w:val="1"/>
      <w:numFmt w:val="lowerLetter"/>
      <w:lvlText w:val="%8)"/>
      <w:lvlJc w:val="left"/>
      <w:pPr>
        <w:ind w:left="3450" w:hanging="420"/>
      </w:pPr>
    </w:lvl>
    <w:lvl w:ilvl="8">
      <w:start w:val="1"/>
      <w:numFmt w:val="lowerRoman"/>
      <w:lvlText w:val="%9."/>
      <w:lvlJc w:val="right"/>
      <w:pPr>
        <w:ind w:left="3870" w:hanging="420"/>
      </w:pPr>
    </w:lvl>
  </w:abstractNum>
  <w:abstractNum w:abstractNumId="1" w15:restartNumberingAfterBreak="0">
    <w:nsid w:val="40485037"/>
    <w:multiLevelType w:val="multilevel"/>
    <w:tmpl w:val="40485037"/>
    <w:lvl w:ilvl="0">
      <w:start w:val="1"/>
      <w:numFmt w:val="lowerLetter"/>
      <w:lvlText w:val="(%1)"/>
      <w:lvlJc w:val="left"/>
      <w:pPr>
        <w:ind w:left="450" w:hanging="360"/>
      </w:pPr>
      <w:rPr>
        <w:rFonts w:hint="default"/>
      </w:rPr>
    </w:lvl>
    <w:lvl w:ilvl="1">
      <w:start w:val="1"/>
      <w:numFmt w:val="lowerLetter"/>
      <w:lvlText w:val="%2)"/>
      <w:lvlJc w:val="left"/>
      <w:pPr>
        <w:ind w:left="930" w:hanging="420"/>
      </w:pPr>
    </w:lvl>
    <w:lvl w:ilvl="2">
      <w:start w:val="1"/>
      <w:numFmt w:val="lowerRoman"/>
      <w:lvlText w:val="%3."/>
      <w:lvlJc w:val="right"/>
      <w:pPr>
        <w:ind w:left="1350" w:hanging="420"/>
      </w:pPr>
    </w:lvl>
    <w:lvl w:ilvl="3">
      <w:start w:val="1"/>
      <w:numFmt w:val="decimal"/>
      <w:lvlText w:val="%4."/>
      <w:lvlJc w:val="left"/>
      <w:pPr>
        <w:ind w:left="1770" w:hanging="420"/>
      </w:pPr>
    </w:lvl>
    <w:lvl w:ilvl="4">
      <w:start w:val="1"/>
      <w:numFmt w:val="lowerLetter"/>
      <w:lvlText w:val="%5)"/>
      <w:lvlJc w:val="left"/>
      <w:pPr>
        <w:ind w:left="2190" w:hanging="420"/>
      </w:pPr>
    </w:lvl>
    <w:lvl w:ilvl="5">
      <w:start w:val="1"/>
      <w:numFmt w:val="lowerRoman"/>
      <w:lvlText w:val="%6."/>
      <w:lvlJc w:val="right"/>
      <w:pPr>
        <w:ind w:left="2610" w:hanging="420"/>
      </w:pPr>
    </w:lvl>
    <w:lvl w:ilvl="6">
      <w:start w:val="1"/>
      <w:numFmt w:val="decimal"/>
      <w:lvlText w:val="%7."/>
      <w:lvlJc w:val="left"/>
      <w:pPr>
        <w:ind w:left="3030" w:hanging="420"/>
      </w:pPr>
    </w:lvl>
    <w:lvl w:ilvl="7">
      <w:start w:val="1"/>
      <w:numFmt w:val="lowerLetter"/>
      <w:lvlText w:val="%8)"/>
      <w:lvlJc w:val="left"/>
      <w:pPr>
        <w:ind w:left="3450" w:hanging="420"/>
      </w:pPr>
    </w:lvl>
    <w:lvl w:ilvl="8">
      <w:start w:val="1"/>
      <w:numFmt w:val="lowerRoman"/>
      <w:lvlText w:val="%9."/>
      <w:lvlJc w:val="right"/>
      <w:pPr>
        <w:ind w:left="3870" w:hanging="420"/>
      </w:pPr>
    </w:lvl>
  </w:abstractNum>
  <w:abstractNum w:abstractNumId="2" w15:restartNumberingAfterBreak="0">
    <w:nsid w:val="571C2828"/>
    <w:multiLevelType w:val="multilevel"/>
    <w:tmpl w:val="571C2828"/>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65CA50DF"/>
    <w:multiLevelType w:val="multilevel"/>
    <w:tmpl w:val="65CA50DF"/>
    <w:lvl w:ilvl="0">
      <w:start w:val="1"/>
      <w:numFmt w:val="decimal"/>
      <w:lvlText w:val="（%1."/>
      <w:lvlJc w:val="left"/>
      <w:pPr>
        <w:ind w:left="360" w:hanging="360"/>
      </w:pPr>
      <w:rPr>
        <w:rFonts w:cs="Times New Roman"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15:restartNumberingAfterBreak="0">
    <w:nsid w:val="6A1B5082"/>
    <w:multiLevelType w:val="multilevel"/>
    <w:tmpl w:val="6A1B5082"/>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7DCF361E"/>
    <w:multiLevelType w:val="multilevel"/>
    <w:tmpl w:val="7DCF361E"/>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1"/>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StyleCount" w:val="5"/>
  </w:docVars>
  <w:rsids>
    <w:rsidRoot w:val="00993429"/>
    <w:rsid w:val="000043AA"/>
    <w:rsid w:val="00004DF2"/>
    <w:rsid w:val="00010D8E"/>
    <w:rsid w:val="0001476A"/>
    <w:rsid w:val="000154DD"/>
    <w:rsid w:val="00015736"/>
    <w:rsid w:val="0001628A"/>
    <w:rsid w:val="00020031"/>
    <w:rsid w:val="00020AD7"/>
    <w:rsid w:val="00021D2D"/>
    <w:rsid w:val="00026E0D"/>
    <w:rsid w:val="000330BD"/>
    <w:rsid w:val="00033399"/>
    <w:rsid w:val="000333C3"/>
    <w:rsid w:val="00034032"/>
    <w:rsid w:val="00034732"/>
    <w:rsid w:val="00035C2D"/>
    <w:rsid w:val="00035EA8"/>
    <w:rsid w:val="00037CCA"/>
    <w:rsid w:val="00044E6E"/>
    <w:rsid w:val="00046A81"/>
    <w:rsid w:val="00046CEF"/>
    <w:rsid w:val="00061F62"/>
    <w:rsid w:val="000625CA"/>
    <w:rsid w:val="00065D9B"/>
    <w:rsid w:val="00066936"/>
    <w:rsid w:val="00072D76"/>
    <w:rsid w:val="00074344"/>
    <w:rsid w:val="00083B7B"/>
    <w:rsid w:val="000853B9"/>
    <w:rsid w:val="000901B9"/>
    <w:rsid w:val="000920CD"/>
    <w:rsid w:val="00097100"/>
    <w:rsid w:val="000A2310"/>
    <w:rsid w:val="000A29EB"/>
    <w:rsid w:val="000A2E09"/>
    <w:rsid w:val="000A5FF0"/>
    <w:rsid w:val="000B223A"/>
    <w:rsid w:val="000B562D"/>
    <w:rsid w:val="000C257F"/>
    <w:rsid w:val="000C7860"/>
    <w:rsid w:val="000D0CC7"/>
    <w:rsid w:val="000D375F"/>
    <w:rsid w:val="000E00ED"/>
    <w:rsid w:val="000E6C72"/>
    <w:rsid w:val="000E7A8C"/>
    <w:rsid w:val="000F034A"/>
    <w:rsid w:val="000F1C8A"/>
    <w:rsid w:val="000F713A"/>
    <w:rsid w:val="00101662"/>
    <w:rsid w:val="00103876"/>
    <w:rsid w:val="00110676"/>
    <w:rsid w:val="001151F8"/>
    <w:rsid w:val="00120057"/>
    <w:rsid w:val="001220E3"/>
    <w:rsid w:val="001235E0"/>
    <w:rsid w:val="001255FF"/>
    <w:rsid w:val="00125804"/>
    <w:rsid w:val="00134621"/>
    <w:rsid w:val="00142DDB"/>
    <w:rsid w:val="00143465"/>
    <w:rsid w:val="001449AE"/>
    <w:rsid w:val="00146E8E"/>
    <w:rsid w:val="00153AF0"/>
    <w:rsid w:val="0015623E"/>
    <w:rsid w:val="001575C1"/>
    <w:rsid w:val="00160A40"/>
    <w:rsid w:val="00163635"/>
    <w:rsid w:val="00166C02"/>
    <w:rsid w:val="0016734A"/>
    <w:rsid w:val="001731E8"/>
    <w:rsid w:val="001738A8"/>
    <w:rsid w:val="00174F1B"/>
    <w:rsid w:val="0018157B"/>
    <w:rsid w:val="001832C1"/>
    <w:rsid w:val="00185BFD"/>
    <w:rsid w:val="001935B7"/>
    <w:rsid w:val="001971DB"/>
    <w:rsid w:val="001976E8"/>
    <w:rsid w:val="001A3FD6"/>
    <w:rsid w:val="001A576B"/>
    <w:rsid w:val="001B1167"/>
    <w:rsid w:val="001B1CEB"/>
    <w:rsid w:val="001B5496"/>
    <w:rsid w:val="001B6522"/>
    <w:rsid w:val="001C3BFA"/>
    <w:rsid w:val="001C3C58"/>
    <w:rsid w:val="001D209B"/>
    <w:rsid w:val="001D7299"/>
    <w:rsid w:val="001E22DA"/>
    <w:rsid w:val="001E6A93"/>
    <w:rsid w:val="001E71B4"/>
    <w:rsid w:val="001F272B"/>
    <w:rsid w:val="001F3596"/>
    <w:rsid w:val="00200A51"/>
    <w:rsid w:val="00200C98"/>
    <w:rsid w:val="0021300C"/>
    <w:rsid w:val="002137F9"/>
    <w:rsid w:val="00221D66"/>
    <w:rsid w:val="0022587E"/>
    <w:rsid w:val="002343FC"/>
    <w:rsid w:val="00235121"/>
    <w:rsid w:val="00235B3F"/>
    <w:rsid w:val="002367E4"/>
    <w:rsid w:val="0024103B"/>
    <w:rsid w:val="0024240F"/>
    <w:rsid w:val="00244A87"/>
    <w:rsid w:val="00251096"/>
    <w:rsid w:val="00253BD5"/>
    <w:rsid w:val="00254874"/>
    <w:rsid w:val="002558E5"/>
    <w:rsid w:val="00264726"/>
    <w:rsid w:val="002669B2"/>
    <w:rsid w:val="00267D5A"/>
    <w:rsid w:val="00270AEE"/>
    <w:rsid w:val="0027537B"/>
    <w:rsid w:val="00277C8D"/>
    <w:rsid w:val="00283BB8"/>
    <w:rsid w:val="002872FB"/>
    <w:rsid w:val="00287A55"/>
    <w:rsid w:val="002B4047"/>
    <w:rsid w:val="002B41D8"/>
    <w:rsid w:val="002B6B24"/>
    <w:rsid w:val="002B7B12"/>
    <w:rsid w:val="002C2A03"/>
    <w:rsid w:val="002C390C"/>
    <w:rsid w:val="002D3560"/>
    <w:rsid w:val="002E1E4D"/>
    <w:rsid w:val="002E2916"/>
    <w:rsid w:val="002E6FE9"/>
    <w:rsid w:val="002F08A1"/>
    <w:rsid w:val="002F3368"/>
    <w:rsid w:val="002F4BE4"/>
    <w:rsid w:val="002F6C5A"/>
    <w:rsid w:val="003011E1"/>
    <w:rsid w:val="00302BD0"/>
    <w:rsid w:val="00304C42"/>
    <w:rsid w:val="00305D8E"/>
    <w:rsid w:val="0031031C"/>
    <w:rsid w:val="00311EBC"/>
    <w:rsid w:val="0031509E"/>
    <w:rsid w:val="003151B0"/>
    <w:rsid w:val="00315770"/>
    <w:rsid w:val="003157A7"/>
    <w:rsid w:val="003229A8"/>
    <w:rsid w:val="003262D6"/>
    <w:rsid w:val="00332799"/>
    <w:rsid w:val="003346DD"/>
    <w:rsid w:val="003354BD"/>
    <w:rsid w:val="003354EA"/>
    <w:rsid w:val="0034783C"/>
    <w:rsid w:val="00353A8A"/>
    <w:rsid w:val="00361983"/>
    <w:rsid w:val="0036547E"/>
    <w:rsid w:val="00367392"/>
    <w:rsid w:val="00370646"/>
    <w:rsid w:val="00370ECD"/>
    <w:rsid w:val="003721A7"/>
    <w:rsid w:val="003738A3"/>
    <w:rsid w:val="00373D5C"/>
    <w:rsid w:val="00375077"/>
    <w:rsid w:val="00387B11"/>
    <w:rsid w:val="0039257D"/>
    <w:rsid w:val="00392A48"/>
    <w:rsid w:val="00397759"/>
    <w:rsid w:val="003A304A"/>
    <w:rsid w:val="003A30AF"/>
    <w:rsid w:val="003B5570"/>
    <w:rsid w:val="003C285B"/>
    <w:rsid w:val="003C2CB5"/>
    <w:rsid w:val="003C35D0"/>
    <w:rsid w:val="003D2041"/>
    <w:rsid w:val="003D2044"/>
    <w:rsid w:val="003D4D04"/>
    <w:rsid w:val="003D77FE"/>
    <w:rsid w:val="003E172A"/>
    <w:rsid w:val="003E7688"/>
    <w:rsid w:val="003E7854"/>
    <w:rsid w:val="003E7DD8"/>
    <w:rsid w:val="003F1606"/>
    <w:rsid w:val="003F2BAB"/>
    <w:rsid w:val="003F2F12"/>
    <w:rsid w:val="003F2FD0"/>
    <w:rsid w:val="003F7815"/>
    <w:rsid w:val="003F7937"/>
    <w:rsid w:val="004003EF"/>
    <w:rsid w:val="00403CBD"/>
    <w:rsid w:val="00404114"/>
    <w:rsid w:val="0040535C"/>
    <w:rsid w:val="00411F8D"/>
    <w:rsid w:val="00415B9E"/>
    <w:rsid w:val="004170A5"/>
    <w:rsid w:val="0042039D"/>
    <w:rsid w:val="0042138B"/>
    <w:rsid w:val="0042174A"/>
    <w:rsid w:val="00423D3F"/>
    <w:rsid w:val="00425188"/>
    <w:rsid w:val="0043134B"/>
    <w:rsid w:val="00432CC8"/>
    <w:rsid w:val="00434C9D"/>
    <w:rsid w:val="004372F1"/>
    <w:rsid w:val="0045023D"/>
    <w:rsid w:val="00454165"/>
    <w:rsid w:val="00454AFB"/>
    <w:rsid w:val="00457764"/>
    <w:rsid w:val="00462AAC"/>
    <w:rsid w:val="0047026B"/>
    <w:rsid w:val="00472797"/>
    <w:rsid w:val="0047499C"/>
    <w:rsid w:val="004760FD"/>
    <w:rsid w:val="00477503"/>
    <w:rsid w:val="00477927"/>
    <w:rsid w:val="004853C3"/>
    <w:rsid w:val="004942A6"/>
    <w:rsid w:val="00496DC6"/>
    <w:rsid w:val="004971C9"/>
    <w:rsid w:val="004A409E"/>
    <w:rsid w:val="004B489A"/>
    <w:rsid w:val="004C6315"/>
    <w:rsid w:val="004C7726"/>
    <w:rsid w:val="004D637C"/>
    <w:rsid w:val="004E4EBF"/>
    <w:rsid w:val="004E4F25"/>
    <w:rsid w:val="004E4F92"/>
    <w:rsid w:val="004E5B5E"/>
    <w:rsid w:val="004E737A"/>
    <w:rsid w:val="004E77B4"/>
    <w:rsid w:val="004F1828"/>
    <w:rsid w:val="00507D15"/>
    <w:rsid w:val="00510229"/>
    <w:rsid w:val="005110A1"/>
    <w:rsid w:val="0051154B"/>
    <w:rsid w:val="005139BB"/>
    <w:rsid w:val="00516B8F"/>
    <w:rsid w:val="00521294"/>
    <w:rsid w:val="005243F0"/>
    <w:rsid w:val="00526DAC"/>
    <w:rsid w:val="00532688"/>
    <w:rsid w:val="0053498D"/>
    <w:rsid w:val="00535162"/>
    <w:rsid w:val="0053592C"/>
    <w:rsid w:val="00545862"/>
    <w:rsid w:val="00550159"/>
    <w:rsid w:val="00551403"/>
    <w:rsid w:val="0055221C"/>
    <w:rsid w:val="005529F4"/>
    <w:rsid w:val="00563AFF"/>
    <w:rsid w:val="005653F6"/>
    <w:rsid w:val="005667A0"/>
    <w:rsid w:val="00574F0A"/>
    <w:rsid w:val="005754E6"/>
    <w:rsid w:val="0057695D"/>
    <w:rsid w:val="0057788F"/>
    <w:rsid w:val="00587040"/>
    <w:rsid w:val="00587672"/>
    <w:rsid w:val="0059149E"/>
    <w:rsid w:val="005965AF"/>
    <w:rsid w:val="005A169D"/>
    <w:rsid w:val="005A3E8D"/>
    <w:rsid w:val="005A4471"/>
    <w:rsid w:val="005B176F"/>
    <w:rsid w:val="005B283A"/>
    <w:rsid w:val="005C1A28"/>
    <w:rsid w:val="005C1A51"/>
    <w:rsid w:val="005C4BA3"/>
    <w:rsid w:val="005C5D09"/>
    <w:rsid w:val="005D0A5D"/>
    <w:rsid w:val="005D18EB"/>
    <w:rsid w:val="005D5213"/>
    <w:rsid w:val="005D76B8"/>
    <w:rsid w:val="005E5A0F"/>
    <w:rsid w:val="005F02E1"/>
    <w:rsid w:val="005F02F7"/>
    <w:rsid w:val="005F5766"/>
    <w:rsid w:val="005F6614"/>
    <w:rsid w:val="00604D0B"/>
    <w:rsid w:val="0060523D"/>
    <w:rsid w:val="00605B69"/>
    <w:rsid w:val="00606F92"/>
    <w:rsid w:val="0061543C"/>
    <w:rsid w:val="006178F6"/>
    <w:rsid w:val="00627F2A"/>
    <w:rsid w:val="006343F1"/>
    <w:rsid w:val="006415AB"/>
    <w:rsid w:val="00642566"/>
    <w:rsid w:val="006432DB"/>
    <w:rsid w:val="00645EAC"/>
    <w:rsid w:val="006463D1"/>
    <w:rsid w:val="006463DF"/>
    <w:rsid w:val="00653326"/>
    <w:rsid w:val="006534BD"/>
    <w:rsid w:val="0065350E"/>
    <w:rsid w:val="0066134E"/>
    <w:rsid w:val="00662580"/>
    <w:rsid w:val="00667999"/>
    <w:rsid w:val="00670236"/>
    <w:rsid w:val="00670EEB"/>
    <w:rsid w:val="00671784"/>
    <w:rsid w:val="0067517F"/>
    <w:rsid w:val="006774F8"/>
    <w:rsid w:val="00680976"/>
    <w:rsid w:val="00683DF6"/>
    <w:rsid w:val="0068736A"/>
    <w:rsid w:val="00687378"/>
    <w:rsid w:val="00687A42"/>
    <w:rsid w:val="006927E5"/>
    <w:rsid w:val="00696096"/>
    <w:rsid w:val="00697779"/>
    <w:rsid w:val="006A24E9"/>
    <w:rsid w:val="006C6595"/>
    <w:rsid w:val="006D4DFE"/>
    <w:rsid w:val="006D7EDD"/>
    <w:rsid w:val="006E19D7"/>
    <w:rsid w:val="006E6B15"/>
    <w:rsid w:val="00700722"/>
    <w:rsid w:val="00703D6B"/>
    <w:rsid w:val="007050A9"/>
    <w:rsid w:val="00711838"/>
    <w:rsid w:val="007156D2"/>
    <w:rsid w:val="007160A2"/>
    <w:rsid w:val="00716A4E"/>
    <w:rsid w:val="007214B8"/>
    <w:rsid w:val="0072150E"/>
    <w:rsid w:val="00727AB1"/>
    <w:rsid w:val="00727DD5"/>
    <w:rsid w:val="0073007C"/>
    <w:rsid w:val="0073359E"/>
    <w:rsid w:val="00737469"/>
    <w:rsid w:val="00741A75"/>
    <w:rsid w:val="00742946"/>
    <w:rsid w:val="00743E8B"/>
    <w:rsid w:val="00750768"/>
    <w:rsid w:val="00752923"/>
    <w:rsid w:val="00754874"/>
    <w:rsid w:val="007617F6"/>
    <w:rsid w:val="00762869"/>
    <w:rsid w:val="00765D7D"/>
    <w:rsid w:val="00775F1E"/>
    <w:rsid w:val="0077714F"/>
    <w:rsid w:val="007775F4"/>
    <w:rsid w:val="00777E7E"/>
    <w:rsid w:val="00781F7D"/>
    <w:rsid w:val="007900DA"/>
    <w:rsid w:val="007A1472"/>
    <w:rsid w:val="007A4CED"/>
    <w:rsid w:val="007A51B2"/>
    <w:rsid w:val="007A5B6A"/>
    <w:rsid w:val="007A7681"/>
    <w:rsid w:val="007C235A"/>
    <w:rsid w:val="007C694D"/>
    <w:rsid w:val="007D090B"/>
    <w:rsid w:val="007D76DB"/>
    <w:rsid w:val="007E18A1"/>
    <w:rsid w:val="007E3C27"/>
    <w:rsid w:val="007F0965"/>
    <w:rsid w:val="007F1A1E"/>
    <w:rsid w:val="007F328E"/>
    <w:rsid w:val="008015FC"/>
    <w:rsid w:val="0080638A"/>
    <w:rsid w:val="008109F2"/>
    <w:rsid w:val="00810C6D"/>
    <w:rsid w:val="0081374E"/>
    <w:rsid w:val="00815F16"/>
    <w:rsid w:val="008208BF"/>
    <w:rsid w:val="008226EB"/>
    <w:rsid w:val="008248DA"/>
    <w:rsid w:val="00825CD8"/>
    <w:rsid w:val="0083460A"/>
    <w:rsid w:val="0084338B"/>
    <w:rsid w:val="00846472"/>
    <w:rsid w:val="00847571"/>
    <w:rsid w:val="0085738A"/>
    <w:rsid w:val="008579AC"/>
    <w:rsid w:val="008604FD"/>
    <w:rsid w:val="00863D8F"/>
    <w:rsid w:val="00864AED"/>
    <w:rsid w:val="008721F0"/>
    <w:rsid w:val="00873115"/>
    <w:rsid w:val="00874DD9"/>
    <w:rsid w:val="00875C67"/>
    <w:rsid w:val="00875FBF"/>
    <w:rsid w:val="00883D75"/>
    <w:rsid w:val="008870F7"/>
    <w:rsid w:val="00892157"/>
    <w:rsid w:val="00893D5D"/>
    <w:rsid w:val="008A2344"/>
    <w:rsid w:val="008A30C6"/>
    <w:rsid w:val="008A3C39"/>
    <w:rsid w:val="008B0AA6"/>
    <w:rsid w:val="008B4F59"/>
    <w:rsid w:val="008B5BA1"/>
    <w:rsid w:val="008C0400"/>
    <w:rsid w:val="008C2252"/>
    <w:rsid w:val="008C2764"/>
    <w:rsid w:val="008C5909"/>
    <w:rsid w:val="008D031A"/>
    <w:rsid w:val="008D1582"/>
    <w:rsid w:val="008D2DB2"/>
    <w:rsid w:val="008D3B21"/>
    <w:rsid w:val="008D73F4"/>
    <w:rsid w:val="008E062A"/>
    <w:rsid w:val="008E78D0"/>
    <w:rsid w:val="008F1B5C"/>
    <w:rsid w:val="008F42CC"/>
    <w:rsid w:val="008F43AC"/>
    <w:rsid w:val="00903CC0"/>
    <w:rsid w:val="00905BFC"/>
    <w:rsid w:val="00910B9F"/>
    <w:rsid w:val="00912514"/>
    <w:rsid w:val="009143BF"/>
    <w:rsid w:val="00917030"/>
    <w:rsid w:val="00922F21"/>
    <w:rsid w:val="00925128"/>
    <w:rsid w:val="00925B0A"/>
    <w:rsid w:val="0092798D"/>
    <w:rsid w:val="00930EE2"/>
    <w:rsid w:val="00931CE0"/>
    <w:rsid w:val="009434E6"/>
    <w:rsid w:val="00946D32"/>
    <w:rsid w:val="00952884"/>
    <w:rsid w:val="00953614"/>
    <w:rsid w:val="00965DEB"/>
    <w:rsid w:val="00970B47"/>
    <w:rsid w:val="009714B8"/>
    <w:rsid w:val="009720BB"/>
    <w:rsid w:val="0097379C"/>
    <w:rsid w:val="00973CB8"/>
    <w:rsid w:val="00975B95"/>
    <w:rsid w:val="0098451B"/>
    <w:rsid w:val="00985A56"/>
    <w:rsid w:val="00990488"/>
    <w:rsid w:val="0099069A"/>
    <w:rsid w:val="00993429"/>
    <w:rsid w:val="009963BE"/>
    <w:rsid w:val="009A48C0"/>
    <w:rsid w:val="009A51AF"/>
    <w:rsid w:val="009A7EF5"/>
    <w:rsid w:val="009B0981"/>
    <w:rsid w:val="009B0FBA"/>
    <w:rsid w:val="009B119F"/>
    <w:rsid w:val="009B1C6A"/>
    <w:rsid w:val="009B4242"/>
    <w:rsid w:val="009B524E"/>
    <w:rsid w:val="009B60F9"/>
    <w:rsid w:val="009C1B6F"/>
    <w:rsid w:val="009C2B83"/>
    <w:rsid w:val="009C36F4"/>
    <w:rsid w:val="009D4A46"/>
    <w:rsid w:val="009D4EF4"/>
    <w:rsid w:val="009E0E42"/>
    <w:rsid w:val="009E176C"/>
    <w:rsid w:val="009E641B"/>
    <w:rsid w:val="009E701F"/>
    <w:rsid w:val="009F2C04"/>
    <w:rsid w:val="00A00C0F"/>
    <w:rsid w:val="00A06FAC"/>
    <w:rsid w:val="00A12271"/>
    <w:rsid w:val="00A1348E"/>
    <w:rsid w:val="00A235FE"/>
    <w:rsid w:val="00A2462E"/>
    <w:rsid w:val="00A24A2B"/>
    <w:rsid w:val="00A24B67"/>
    <w:rsid w:val="00A253B8"/>
    <w:rsid w:val="00A260C0"/>
    <w:rsid w:val="00A26F93"/>
    <w:rsid w:val="00A27AF1"/>
    <w:rsid w:val="00A33271"/>
    <w:rsid w:val="00A433B4"/>
    <w:rsid w:val="00A4519A"/>
    <w:rsid w:val="00A50CC0"/>
    <w:rsid w:val="00A51CB7"/>
    <w:rsid w:val="00A55F58"/>
    <w:rsid w:val="00A62398"/>
    <w:rsid w:val="00A75A53"/>
    <w:rsid w:val="00A761CB"/>
    <w:rsid w:val="00A82627"/>
    <w:rsid w:val="00A847B0"/>
    <w:rsid w:val="00A90C2D"/>
    <w:rsid w:val="00A956DC"/>
    <w:rsid w:val="00A96CB3"/>
    <w:rsid w:val="00A97CF1"/>
    <w:rsid w:val="00AA1C5C"/>
    <w:rsid w:val="00AA6168"/>
    <w:rsid w:val="00AC0273"/>
    <w:rsid w:val="00AD06C6"/>
    <w:rsid w:val="00AD0E4C"/>
    <w:rsid w:val="00AE1997"/>
    <w:rsid w:val="00AE5F91"/>
    <w:rsid w:val="00AF1334"/>
    <w:rsid w:val="00AF2712"/>
    <w:rsid w:val="00AF3DBF"/>
    <w:rsid w:val="00AF5AAB"/>
    <w:rsid w:val="00AF6A10"/>
    <w:rsid w:val="00B0002F"/>
    <w:rsid w:val="00B02CD6"/>
    <w:rsid w:val="00B05A4A"/>
    <w:rsid w:val="00B05A50"/>
    <w:rsid w:val="00B06AAB"/>
    <w:rsid w:val="00B0739D"/>
    <w:rsid w:val="00B138F9"/>
    <w:rsid w:val="00B14D21"/>
    <w:rsid w:val="00B1668A"/>
    <w:rsid w:val="00B23780"/>
    <w:rsid w:val="00B331A6"/>
    <w:rsid w:val="00B428E1"/>
    <w:rsid w:val="00B44B37"/>
    <w:rsid w:val="00B455E8"/>
    <w:rsid w:val="00B46D13"/>
    <w:rsid w:val="00B479E9"/>
    <w:rsid w:val="00B5095C"/>
    <w:rsid w:val="00B50EE7"/>
    <w:rsid w:val="00B56ACB"/>
    <w:rsid w:val="00B60611"/>
    <w:rsid w:val="00B635CF"/>
    <w:rsid w:val="00B71C11"/>
    <w:rsid w:val="00B757BC"/>
    <w:rsid w:val="00B77B91"/>
    <w:rsid w:val="00B8049B"/>
    <w:rsid w:val="00B80E1A"/>
    <w:rsid w:val="00B81943"/>
    <w:rsid w:val="00B8399D"/>
    <w:rsid w:val="00B911CD"/>
    <w:rsid w:val="00B92F4B"/>
    <w:rsid w:val="00B949A6"/>
    <w:rsid w:val="00B96145"/>
    <w:rsid w:val="00B97057"/>
    <w:rsid w:val="00BA21E0"/>
    <w:rsid w:val="00BA4BB2"/>
    <w:rsid w:val="00BA4F01"/>
    <w:rsid w:val="00BA50CD"/>
    <w:rsid w:val="00BA5BF0"/>
    <w:rsid w:val="00BB0D4F"/>
    <w:rsid w:val="00BB1A2B"/>
    <w:rsid w:val="00BB1E84"/>
    <w:rsid w:val="00BB686F"/>
    <w:rsid w:val="00BC48EF"/>
    <w:rsid w:val="00BC5469"/>
    <w:rsid w:val="00BC7220"/>
    <w:rsid w:val="00BD0C6C"/>
    <w:rsid w:val="00BD5701"/>
    <w:rsid w:val="00BD5A78"/>
    <w:rsid w:val="00BD715C"/>
    <w:rsid w:val="00BD782B"/>
    <w:rsid w:val="00BE0102"/>
    <w:rsid w:val="00BE38F0"/>
    <w:rsid w:val="00BE7C47"/>
    <w:rsid w:val="00BF1B90"/>
    <w:rsid w:val="00BF1DC0"/>
    <w:rsid w:val="00BF1E91"/>
    <w:rsid w:val="00BF4D23"/>
    <w:rsid w:val="00C014B8"/>
    <w:rsid w:val="00C037CD"/>
    <w:rsid w:val="00C0517F"/>
    <w:rsid w:val="00C05725"/>
    <w:rsid w:val="00C115E2"/>
    <w:rsid w:val="00C17117"/>
    <w:rsid w:val="00C21BA1"/>
    <w:rsid w:val="00C22768"/>
    <w:rsid w:val="00C27754"/>
    <w:rsid w:val="00C27922"/>
    <w:rsid w:val="00C30A06"/>
    <w:rsid w:val="00C3121D"/>
    <w:rsid w:val="00C33CDF"/>
    <w:rsid w:val="00C3676E"/>
    <w:rsid w:val="00C42F3E"/>
    <w:rsid w:val="00C43F3A"/>
    <w:rsid w:val="00C44A18"/>
    <w:rsid w:val="00C45EE5"/>
    <w:rsid w:val="00C47695"/>
    <w:rsid w:val="00C634DD"/>
    <w:rsid w:val="00C6719B"/>
    <w:rsid w:val="00C719CC"/>
    <w:rsid w:val="00C7282C"/>
    <w:rsid w:val="00C72FB2"/>
    <w:rsid w:val="00C74684"/>
    <w:rsid w:val="00C81A2C"/>
    <w:rsid w:val="00C8254D"/>
    <w:rsid w:val="00C85216"/>
    <w:rsid w:val="00C85854"/>
    <w:rsid w:val="00C90515"/>
    <w:rsid w:val="00C921D5"/>
    <w:rsid w:val="00C936B6"/>
    <w:rsid w:val="00C951A6"/>
    <w:rsid w:val="00CA492A"/>
    <w:rsid w:val="00CA6BAB"/>
    <w:rsid w:val="00CB1CA7"/>
    <w:rsid w:val="00CB2AB1"/>
    <w:rsid w:val="00CB6DEC"/>
    <w:rsid w:val="00CC11BC"/>
    <w:rsid w:val="00CC3B4C"/>
    <w:rsid w:val="00CC62C1"/>
    <w:rsid w:val="00CC76BD"/>
    <w:rsid w:val="00CD0C61"/>
    <w:rsid w:val="00CD5ED1"/>
    <w:rsid w:val="00CE3664"/>
    <w:rsid w:val="00CE3E1D"/>
    <w:rsid w:val="00CE7454"/>
    <w:rsid w:val="00CE7657"/>
    <w:rsid w:val="00CF35E8"/>
    <w:rsid w:val="00CF45A3"/>
    <w:rsid w:val="00CF5C9B"/>
    <w:rsid w:val="00D00B01"/>
    <w:rsid w:val="00D151E4"/>
    <w:rsid w:val="00D156FD"/>
    <w:rsid w:val="00D16721"/>
    <w:rsid w:val="00D2039B"/>
    <w:rsid w:val="00D23011"/>
    <w:rsid w:val="00D23E23"/>
    <w:rsid w:val="00D24F50"/>
    <w:rsid w:val="00D30E82"/>
    <w:rsid w:val="00D34C82"/>
    <w:rsid w:val="00D40B05"/>
    <w:rsid w:val="00D43583"/>
    <w:rsid w:val="00D43803"/>
    <w:rsid w:val="00D525D2"/>
    <w:rsid w:val="00D6047B"/>
    <w:rsid w:val="00D6134C"/>
    <w:rsid w:val="00D6259A"/>
    <w:rsid w:val="00D63921"/>
    <w:rsid w:val="00D64F5A"/>
    <w:rsid w:val="00D67EFE"/>
    <w:rsid w:val="00D7102C"/>
    <w:rsid w:val="00D72AA8"/>
    <w:rsid w:val="00D7472C"/>
    <w:rsid w:val="00D74871"/>
    <w:rsid w:val="00D7609A"/>
    <w:rsid w:val="00D84DE8"/>
    <w:rsid w:val="00D84F4C"/>
    <w:rsid w:val="00D85B48"/>
    <w:rsid w:val="00D85E39"/>
    <w:rsid w:val="00D85FC3"/>
    <w:rsid w:val="00D86D1A"/>
    <w:rsid w:val="00D878B7"/>
    <w:rsid w:val="00D93970"/>
    <w:rsid w:val="00DA18FE"/>
    <w:rsid w:val="00DA46F0"/>
    <w:rsid w:val="00DA556C"/>
    <w:rsid w:val="00DB0583"/>
    <w:rsid w:val="00DB0E68"/>
    <w:rsid w:val="00DB5161"/>
    <w:rsid w:val="00DC2D44"/>
    <w:rsid w:val="00DC2F15"/>
    <w:rsid w:val="00DC3F77"/>
    <w:rsid w:val="00DD0D46"/>
    <w:rsid w:val="00DD3D3B"/>
    <w:rsid w:val="00DE5461"/>
    <w:rsid w:val="00DF031C"/>
    <w:rsid w:val="00E038F2"/>
    <w:rsid w:val="00E135E6"/>
    <w:rsid w:val="00E1527A"/>
    <w:rsid w:val="00E24B19"/>
    <w:rsid w:val="00E259EE"/>
    <w:rsid w:val="00E2664D"/>
    <w:rsid w:val="00E26762"/>
    <w:rsid w:val="00E313E6"/>
    <w:rsid w:val="00E322FC"/>
    <w:rsid w:val="00E32C02"/>
    <w:rsid w:val="00E32D1E"/>
    <w:rsid w:val="00E33197"/>
    <w:rsid w:val="00E337CA"/>
    <w:rsid w:val="00E426C5"/>
    <w:rsid w:val="00E44472"/>
    <w:rsid w:val="00E52026"/>
    <w:rsid w:val="00E5350B"/>
    <w:rsid w:val="00E54C68"/>
    <w:rsid w:val="00E577B1"/>
    <w:rsid w:val="00E60034"/>
    <w:rsid w:val="00E62134"/>
    <w:rsid w:val="00E63802"/>
    <w:rsid w:val="00E64EC0"/>
    <w:rsid w:val="00E67DB3"/>
    <w:rsid w:val="00E70AA9"/>
    <w:rsid w:val="00E74AE8"/>
    <w:rsid w:val="00E75FFB"/>
    <w:rsid w:val="00E777BA"/>
    <w:rsid w:val="00E82771"/>
    <w:rsid w:val="00E85955"/>
    <w:rsid w:val="00E9008F"/>
    <w:rsid w:val="00E96717"/>
    <w:rsid w:val="00E96CD5"/>
    <w:rsid w:val="00EA08B6"/>
    <w:rsid w:val="00EA0D3A"/>
    <w:rsid w:val="00EA0D9E"/>
    <w:rsid w:val="00EA1544"/>
    <w:rsid w:val="00EA4540"/>
    <w:rsid w:val="00EB0110"/>
    <w:rsid w:val="00EB1328"/>
    <w:rsid w:val="00EB1C57"/>
    <w:rsid w:val="00EB2CF1"/>
    <w:rsid w:val="00EB4E91"/>
    <w:rsid w:val="00ED3180"/>
    <w:rsid w:val="00ED4673"/>
    <w:rsid w:val="00ED5ADD"/>
    <w:rsid w:val="00ED726D"/>
    <w:rsid w:val="00EE0477"/>
    <w:rsid w:val="00EE37B2"/>
    <w:rsid w:val="00EE4603"/>
    <w:rsid w:val="00EF1974"/>
    <w:rsid w:val="00EF2887"/>
    <w:rsid w:val="00F000EC"/>
    <w:rsid w:val="00F00812"/>
    <w:rsid w:val="00F05501"/>
    <w:rsid w:val="00F06240"/>
    <w:rsid w:val="00F10E8B"/>
    <w:rsid w:val="00F12581"/>
    <w:rsid w:val="00F216FE"/>
    <w:rsid w:val="00F2220B"/>
    <w:rsid w:val="00F24AD5"/>
    <w:rsid w:val="00F27434"/>
    <w:rsid w:val="00F30438"/>
    <w:rsid w:val="00F4156F"/>
    <w:rsid w:val="00F44DCD"/>
    <w:rsid w:val="00F473EC"/>
    <w:rsid w:val="00F473FE"/>
    <w:rsid w:val="00F50986"/>
    <w:rsid w:val="00F54705"/>
    <w:rsid w:val="00F568B4"/>
    <w:rsid w:val="00F617C1"/>
    <w:rsid w:val="00F65382"/>
    <w:rsid w:val="00F65762"/>
    <w:rsid w:val="00F703D6"/>
    <w:rsid w:val="00F709A6"/>
    <w:rsid w:val="00F75479"/>
    <w:rsid w:val="00F7569B"/>
    <w:rsid w:val="00F80AC0"/>
    <w:rsid w:val="00F81E03"/>
    <w:rsid w:val="00F82D72"/>
    <w:rsid w:val="00F84C34"/>
    <w:rsid w:val="00F905F3"/>
    <w:rsid w:val="00F9069E"/>
    <w:rsid w:val="00F90EA1"/>
    <w:rsid w:val="00F96225"/>
    <w:rsid w:val="00F963FB"/>
    <w:rsid w:val="00F96964"/>
    <w:rsid w:val="00FA13BE"/>
    <w:rsid w:val="00FA1C09"/>
    <w:rsid w:val="00FA7BCE"/>
    <w:rsid w:val="00FB0AA6"/>
    <w:rsid w:val="00FB0D79"/>
    <w:rsid w:val="00FB16FD"/>
    <w:rsid w:val="00FB22C8"/>
    <w:rsid w:val="00FB2EC5"/>
    <w:rsid w:val="00FB34FE"/>
    <w:rsid w:val="00FB7F44"/>
    <w:rsid w:val="00FC03B5"/>
    <w:rsid w:val="00FC1960"/>
    <w:rsid w:val="00FC1F26"/>
    <w:rsid w:val="00FC4299"/>
    <w:rsid w:val="00FC5CD8"/>
    <w:rsid w:val="00FC61A1"/>
    <w:rsid w:val="00FD6791"/>
    <w:rsid w:val="00FD72FF"/>
    <w:rsid w:val="00FD761A"/>
    <w:rsid w:val="00FE0B47"/>
    <w:rsid w:val="00FE5C7B"/>
    <w:rsid w:val="00FF07D4"/>
    <w:rsid w:val="00FF1E41"/>
    <w:rsid w:val="00FF77EB"/>
    <w:rsid w:val="050129E0"/>
    <w:rsid w:val="0DEB5944"/>
    <w:rsid w:val="10B14C22"/>
    <w:rsid w:val="1BA07D6D"/>
    <w:rsid w:val="29CB06AB"/>
    <w:rsid w:val="325D6A47"/>
    <w:rsid w:val="37976071"/>
    <w:rsid w:val="493A2D00"/>
    <w:rsid w:val="4AB30CAB"/>
    <w:rsid w:val="4CAF18FB"/>
    <w:rsid w:val="57F61E3A"/>
    <w:rsid w:val="5BF822F5"/>
    <w:rsid w:val="5FEA5F98"/>
    <w:rsid w:val="61DD748F"/>
    <w:rsid w:val="66231895"/>
    <w:rsid w:val="69FC1BE0"/>
    <w:rsid w:val="6F8C3791"/>
    <w:rsid w:val="70E44275"/>
    <w:rsid w:val="73AB2551"/>
    <w:rsid w:val="7693567A"/>
    <w:rsid w:val="78B874E6"/>
    <w:rsid w:val="7A281384"/>
    <w:rsid w:val="7AC2652D"/>
    <w:rsid w:val="7B536E41"/>
    <w:rsid w:val="7DD751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90"/>
    <o:shapelayout v:ext="edit">
      <o:idmap v:ext="edit" data="1"/>
    </o:shapelayout>
  </w:shapeDefaults>
  <w:decimalSymbol w:val="."/>
  <w:listSeparator w:val=","/>
  <w14:defaultImageDpi w14:val="32767"/>
  <w15:docId w15:val="{E377FA48-F15A-4250-9F11-F52E7416B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360" w:lineRule="auto"/>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pPr>
      <w:spacing w:line="240" w:lineRule="auto"/>
    </w:pPr>
    <w:rPr>
      <w:sz w:val="18"/>
      <w:szCs w:val="18"/>
    </w:rPr>
  </w:style>
  <w:style w:type="paragraph" w:styleId="a7">
    <w:name w:val="footer"/>
    <w:basedOn w:val="a"/>
    <w:link w:val="a8"/>
    <w:uiPriority w:val="99"/>
    <w:unhideWhenUsed/>
    <w:qFormat/>
    <w:pPr>
      <w:tabs>
        <w:tab w:val="center" w:pos="4153"/>
        <w:tab w:val="right" w:pos="8306"/>
      </w:tabs>
      <w:snapToGrid w:val="0"/>
      <w:spacing w:line="240" w:lineRule="auto"/>
      <w:jc w:val="left"/>
    </w:pPr>
    <w:rPr>
      <w:sz w:val="18"/>
      <w:szCs w:val="18"/>
    </w:rPr>
  </w:style>
  <w:style w:type="paragraph" w:styleId="a9">
    <w:name w:val="header"/>
    <w:basedOn w:val="a"/>
    <w:link w:val="aa"/>
    <w:uiPriority w:val="99"/>
    <w:unhideWhenUsed/>
    <w:qFormat/>
    <w:pPr>
      <w:tabs>
        <w:tab w:val="center" w:pos="4153"/>
        <w:tab w:val="right" w:pos="8306"/>
      </w:tabs>
      <w:snapToGrid w:val="0"/>
      <w:spacing w:line="240" w:lineRule="auto"/>
      <w:jc w:val="center"/>
    </w:pPr>
    <w:rPr>
      <w:sz w:val="18"/>
      <w:szCs w:val="18"/>
    </w:rPr>
  </w:style>
  <w:style w:type="paragraph" w:styleId="ab">
    <w:name w:val="footnote text"/>
    <w:basedOn w:val="a"/>
    <w:link w:val="ac"/>
    <w:semiHidden/>
    <w:unhideWhenUsed/>
    <w:qFormat/>
    <w:pPr>
      <w:snapToGrid w:val="0"/>
      <w:jc w:val="left"/>
    </w:pPr>
    <w:rPr>
      <w:sz w:val="18"/>
      <w:szCs w:val="18"/>
    </w:rPr>
  </w:style>
  <w:style w:type="paragraph" w:styleId="ad">
    <w:name w:val="Normal (Web)"/>
    <w:basedOn w:val="a"/>
    <w:uiPriority w:val="99"/>
    <w:semiHidden/>
    <w:unhideWhenUsed/>
    <w:qFormat/>
    <w:rPr>
      <w:szCs w:val="24"/>
    </w:rPr>
  </w:style>
  <w:style w:type="paragraph" w:styleId="ae">
    <w:name w:val="annotation subject"/>
    <w:basedOn w:val="a3"/>
    <w:next w:val="a3"/>
    <w:link w:val="af"/>
    <w:uiPriority w:val="99"/>
    <w:semiHidden/>
    <w:unhideWhenUsed/>
    <w:qFormat/>
    <w:rPr>
      <w:b/>
      <w:bCs/>
    </w:rPr>
  </w:style>
  <w:style w:type="table" w:styleId="af0">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uiPriority w:val="22"/>
    <w:qFormat/>
    <w:rPr>
      <w:b/>
      <w:bCs/>
    </w:rPr>
  </w:style>
  <w:style w:type="character" w:styleId="af2">
    <w:name w:val="Emphasis"/>
    <w:basedOn w:val="a0"/>
    <w:uiPriority w:val="20"/>
    <w:qFormat/>
    <w:rPr>
      <w:i/>
    </w:rPr>
  </w:style>
  <w:style w:type="character" w:styleId="af3">
    <w:name w:val="Hyperlink"/>
    <w:basedOn w:val="a0"/>
    <w:uiPriority w:val="99"/>
    <w:unhideWhenUsed/>
    <w:qFormat/>
    <w:rPr>
      <w:color w:val="467886" w:themeColor="hyperlink"/>
      <w:u w:val="single"/>
    </w:rPr>
  </w:style>
  <w:style w:type="character" w:styleId="af4">
    <w:name w:val="annotation reference"/>
    <w:basedOn w:val="a0"/>
    <w:uiPriority w:val="99"/>
    <w:semiHidden/>
    <w:unhideWhenUsed/>
    <w:qFormat/>
    <w:rPr>
      <w:sz w:val="21"/>
      <w:szCs w:val="21"/>
    </w:rPr>
  </w:style>
  <w:style w:type="character" w:styleId="af5">
    <w:name w:val="footnote reference"/>
    <w:basedOn w:val="a0"/>
    <w:uiPriority w:val="99"/>
    <w:semiHidden/>
    <w:unhideWhenUsed/>
    <w:qFormat/>
    <w:rPr>
      <w:vertAlign w:val="superscript"/>
    </w:rPr>
  </w:style>
  <w:style w:type="paragraph" w:styleId="af6">
    <w:name w:val="List Paragraph"/>
    <w:basedOn w:val="a"/>
    <w:uiPriority w:val="34"/>
    <w:qFormat/>
    <w:pPr>
      <w:ind w:firstLineChars="200" w:firstLine="420"/>
    </w:pPr>
  </w:style>
  <w:style w:type="character" w:styleId="af7">
    <w:name w:val="Placeholder Text"/>
    <w:basedOn w:val="a0"/>
    <w:uiPriority w:val="99"/>
    <w:semiHidden/>
    <w:qFormat/>
    <w:rPr>
      <w:color w:val="666666"/>
    </w:rPr>
  </w:style>
  <w:style w:type="paragraph" w:customStyle="1" w:styleId="af8">
    <w:name w:val="公式"/>
    <w:basedOn w:val="a"/>
    <w:link w:val="af9"/>
    <w:qFormat/>
    <w:pPr>
      <w:tabs>
        <w:tab w:val="center" w:pos="4150"/>
        <w:tab w:val="right" w:pos="8301"/>
      </w:tabs>
      <w:ind w:firstLineChars="200" w:firstLine="200"/>
      <w:jc w:val="center"/>
      <w:textAlignment w:val="center"/>
    </w:pPr>
  </w:style>
  <w:style w:type="character" w:customStyle="1" w:styleId="af9">
    <w:name w:val="公式 字符"/>
    <w:basedOn w:val="a0"/>
    <w:link w:val="af8"/>
    <w:qFormat/>
    <w:rPr>
      <w:rFonts w:ascii="Times New Roman" w:eastAsia="宋体" w:hAnsi="Times New Roman" w:cs="Times New Roman"/>
    </w:rPr>
  </w:style>
  <w:style w:type="table" w:customStyle="1" w:styleId="11">
    <w:name w:val="网格表 1 浅色1"/>
    <w:basedOn w:val="a1"/>
    <w:uiPriority w:val="46"/>
    <w:qFormat/>
    <w:pPr>
      <w:jc w:val="center"/>
    </w:pPr>
    <w:rPr>
      <w:rFonts w:eastAsia="Times New Roman"/>
      <w:sz w:val="18"/>
    </w:rPr>
    <w:tblPr>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
    <w:trPr>
      <w:jc w:val="center"/>
    </w:trPr>
    <w:tcPr>
      <w:vAlign w:val="center"/>
    </w:tc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2">
    <w:name w:val="网格表 1 浅色2"/>
    <w:basedOn w:val="a1"/>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TConvertedEquation">
    <w:name w:val="MTConvertedEquation"/>
    <w:basedOn w:val="a0"/>
    <w:qFormat/>
    <w:rPr>
      <w:rFonts w:ascii="Cambria Math" w:eastAsia="等线" w:hAnsi="Cambria Math"/>
      <w:i/>
      <w:iCs/>
      <w:sz w:val="28"/>
    </w:rPr>
  </w:style>
  <w:style w:type="character" w:customStyle="1" w:styleId="aa">
    <w:name w:val="页眉 字符"/>
    <w:basedOn w:val="a0"/>
    <w:link w:val="a9"/>
    <w:uiPriority w:val="99"/>
    <w:qFormat/>
    <w:rPr>
      <w:kern w:val="2"/>
      <w:sz w:val="18"/>
      <w:szCs w:val="18"/>
    </w:rPr>
  </w:style>
  <w:style w:type="character" w:customStyle="1" w:styleId="a8">
    <w:name w:val="页脚 字符"/>
    <w:basedOn w:val="a0"/>
    <w:link w:val="a7"/>
    <w:uiPriority w:val="99"/>
    <w:qFormat/>
    <w:rPr>
      <w:kern w:val="2"/>
      <w:sz w:val="18"/>
      <w:szCs w:val="18"/>
    </w:rPr>
  </w:style>
  <w:style w:type="character" w:customStyle="1" w:styleId="1">
    <w:name w:val="未处理的提及1"/>
    <w:basedOn w:val="a0"/>
    <w:uiPriority w:val="99"/>
    <w:semiHidden/>
    <w:unhideWhenUsed/>
    <w:qFormat/>
    <w:rPr>
      <w:color w:val="605E5C"/>
      <w:shd w:val="clear" w:color="auto" w:fill="E1DFDD"/>
    </w:rPr>
  </w:style>
  <w:style w:type="paragraph" w:customStyle="1" w:styleId="10">
    <w:name w:val="修订1"/>
    <w:hidden/>
    <w:uiPriority w:val="99"/>
    <w:unhideWhenUsed/>
    <w:qFormat/>
    <w:rPr>
      <w:kern w:val="2"/>
      <w:sz w:val="24"/>
      <w:szCs w:val="22"/>
    </w:rPr>
  </w:style>
  <w:style w:type="character" w:customStyle="1" w:styleId="a4">
    <w:name w:val="批注文字 字符"/>
    <w:basedOn w:val="a0"/>
    <w:link w:val="a3"/>
    <w:uiPriority w:val="99"/>
    <w:semiHidden/>
    <w:qFormat/>
    <w:rPr>
      <w:kern w:val="2"/>
      <w:sz w:val="24"/>
      <w:szCs w:val="22"/>
    </w:rPr>
  </w:style>
  <w:style w:type="character" w:customStyle="1" w:styleId="af">
    <w:name w:val="批注主题 字符"/>
    <w:basedOn w:val="a4"/>
    <w:link w:val="ae"/>
    <w:uiPriority w:val="99"/>
    <w:semiHidden/>
    <w:qFormat/>
    <w:rPr>
      <w:b/>
      <w:bCs/>
      <w:kern w:val="2"/>
      <w:sz w:val="24"/>
      <w:szCs w:val="22"/>
    </w:rPr>
  </w:style>
  <w:style w:type="character" w:customStyle="1" w:styleId="ac">
    <w:name w:val="脚注文本 字符"/>
    <w:basedOn w:val="a0"/>
    <w:link w:val="ab"/>
    <w:uiPriority w:val="99"/>
    <w:semiHidden/>
    <w:qFormat/>
    <w:rPr>
      <w:kern w:val="2"/>
      <w:sz w:val="18"/>
      <w:szCs w:val="18"/>
    </w:rPr>
  </w:style>
  <w:style w:type="character" w:customStyle="1" w:styleId="2">
    <w:name w:val="未处理的提及2"/>
    <w:basedOn w:val="a0"/>
    <w:uiPriority w:val="99"/>
    <w:semiHidden/>
    <w:unhideWhenUsed/>
    <w:qFormat/>
    <w:rPr>
      <w:color w:val="605E5C"/>
      <w:shd w:val="clear" w:color="auto" w:fill="E1DFDD"/>
    </w:rPr>
  </w:style>
  <w:style w:type="character" w:customStyle="1" w:styleId="13">
    <w:name w:val="脚注文本 字符1"/>
    <w:semiHidden/>
    <w:qFormat/>
    <w:rPr>
      <w:rFonts w:ascii="Times New Roman" w:eastAsia="宋体" w:hAnsi="Times New Roman" w:cs="Times New Roman"/>
      <w:kern w:val="0"/>
      <w:sz w:val="18"/>
      <w:szCs w:val="18"/>
      <w:lang w:val="zh-CN" w:eastAsia="zh-CN"/>
      <w14:ligatures w14:val="none"/>
    </w:rPr>
  </w:style>
  <w:style w:type="character" w:customStyle="1" w:styleId="3">
    <w:name w:val="未处理的提及3"/>
    <w:basedOn w:val="a0"/>
    <w:uiPriority w:val="99"/>
    <w:semiHidden/>
    <w:unhideWhenUsed/>
    <w:qFormat/>
    <w:rPr>
      <w:color w:val="605E5C"/>
      <w:shd w:val="clear" w:color="auto" w:fill="E1DFDD"/>
    </w:rPr>
  </w:style>
  <w:style w:type="character" w:customStyle="1" w:styleId="a6">
    <w:name w:val="批注框文本 字符"/>
    <w:basedOn w:val="a0"/>
    <w:link w:val="a5"/>
    <w:uiPriority w:val="99"/>
    <w:semiHidden/>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1" Type="http://schemas.openxmlformats.org/officeDocument/2006/relationships/image" Target="media/image7.jpg"/><Relationship Id="rId42" Type="http://schemas.openxmlformats.org/officeDocument/2006/relationships/oleObject" Target="embeddings/oleObject18.bin"/><Relationship Id="rId63" Type="http://schemas.openxmlformats.org/officeDocument/2006/relationships/image" Target="media/image28.wmf"/><Relationship Id="rId84" Type="http://schemas.openxmlformats.org/officeDocument/2006/relationships/oleObject" Target="embeddings/oleObject39.bin"/><Relationship Id="rId138" Type="http://schemas.openxmlformats.org/officeDocument/2006/relationships/image" Target="media/image67.jpg"/><Relationship Id="rId107" Type="http://schemas.openxmlformats.org/officeDocument/2006/relationships/image" Target="media/image50.wmf"/><Relationship Id="rId11" Type="http://schemas.openxmlformats.org/officeDocument/2006/relationships/oleObject" Target="embeddings/oleObject2.bin"/><Relationship Id="rId32" Type="http://schemas.openxmlformats.org/officeDocument/2006/relationships/oleObject" Target="embeddings/oleObject13.bin"/><Relationship Id="rId53" Type="http://schemas.openxmlformats.org/officeDocument/2006/relationships/image" Target="media/image23.wmf"/><Relationship Id="rId74" Type="http://schemas.openxmlformats.org/officeDocument/2006/relationships/oleObject" Target="embeddings/oleObject34.bin"/><Relationship Id="rId128" Type="http://schemas.openxmlformats.org/officeDocument/2006/relationships/oleObject" Target="embeddings/oleObject61.bin"/><Relationship Id="rId149" Type="http://schemas.openxmlformats.org/officeDocument/2006/relationships/header" Target="header1.xml"/><Relationship Id="rId5" Type="http://schemas.openxmlformats.org/officeDocument/2006/relationships/webSettings" Target="webSettings.xml"/><Relationship Id="rId95" Type="http://schemas.openxmlformats.org/officeDocument/2006/relationships/image" Target="media/image44.wmf"/><Relationship Id="rId22" Type="http://schemas.openxmlformats.org/officeDocument/2006/relationships/image" Target="media/image8.wmf"/><Relationship Id="rId27" Type="http://schemas.openxmlformats.org/officeDocument/2006/relationships/oleObject" Target="embeddings/oleObject10.bin"/><Relationship Id="rId43" Type="http://schemas.openxmlformats.org/officeDocument/2006/relationships/image" Target="media/image18.wmf"/><Relationship Id="rId48" Type="http://schemas.openxmlformats.org/officeDocument/2006/relationships/oleObject" Target="embeddings/oleObject21.bin"/><Relationship Id="rId64" Type="http://schemas.openxmlformats.org/officeDocument/2006/relationships/oleObject" Target="embeddings/oleObject29.bin"/><Relationship Id="rId69" Type="http://schemas.openxmlformats.org/officeDocument/2006/relationships/image" Target="media/image31.wmf"/><Relationship Id="rId113" Type="http://schemas.openxmlformats.org/officeDocument/2006/relationships/image" Target="media/image53.wmf"/><Relationship Id="rId118" Type="http://schemas.openxmlformats.org/officeDocument/2006/relationships/oleObject" Target="embeddings/oleObject56.bin"/><Relationship Id="rId134" Type="http://schemas.openxmlformats.org/officeDocument/2006/relationships/oleObject" Target="embeddings/oleObject64.bin"/><Relationship Id="rId139" Type="http://schemas.openxmlformats.org/officeDocument/2006/relationships/image" Target="media/image68.jpg"/><Relationship Id="rId80" Type="http://schemas.openxmlformats.org/officeDocument/2006/relationships/oleObject" Target="embeddings/oleObject37.bin"/><Relationship Id="rId85" Type="http://schemas.openxmlformats.org/officeDocument/2006/relationships/image" Target="media/image39.wmf"/><Relationship Id="rId150" Type="http://schemas.openxmlformats.org/officeDocument/2006/relationships/fontTable" Target="fontTable.xml"/><Relationship Id="rId12" Type="http://schemas.openxmlformats.org/officeDocument/2006/relationships/image" Target="media/image3.wmf"/><Relationship Id="rId17" Type="http://schemas.openxmlformats.org/officeDocument/2006/relationships/image" Target="media/image5.wmf"/><Relationship Id="rId33" Type="http://schemas.openxmlformats.org/officeDocument/2006/relationships/image" Target="media/image13.wmf"/><Relationship Id="rId38" Type="http://schemas.openxmlformats.org/officeDocument/2006/relationships/oleObject" Target="embeddings/oleObject16.bin"/><Relationship Id="rId59" Type="http://schemas.openxmlformats.org/officeDocument/2006/relationships/image" Target="media/image26.wmf"/><Relationship Id="rId103" Type="http://schemas.openxmlformats.org/officeDocument/2006/relationships/image" Target="media/image48.wmf"/><Relationship Id="rId108" Type="http://schemas.openxmlformats.org/officeDocument/2006/relationships/oleObject" Target="embeddings/oleObject51.bin"/><Relationship Id="rId124" Type="http://schemas.openxmlformats.org/officeDocument/2006/relationships/oleObject" Target="embeddings/oleObject59.bin"/><Relationship Id="rId129" Type="http://schemas.openxmlformats.org/officeDocument/2006/relationships/image" Target="media/image61.wmf"/><Relationship Id="rId54" Type="http://schemas.openxmlformats.org/officeDocument/2006/relationships/oleObject" Target="embeddings/oleObject24.bin"/><Relationship Id="rId70" Type="http://schemas.openxmlformats.org/officeDocument/2006/relationships/oleObject" Target="embeddings/oleObject32.bin"/><Relationship Id="rId75" Type="http://schemas.openxmlformats.org/officeDocument/2006/relationships/image" Target="media/image34.wmf"/><Relationship Id="rId91" Type="http://schemas.openxmlformats.org/officeDocument/2006/relationships/image" Target="media/image42.wmf"/><Relationship Id="rId96" Type="http://schemas.openxmlformats.org/officeDocument/2006/relationships/oleObject" Target="embeddings/oleObject45.bin"/><Relationship Id="rId140" Type="http://schemas.openxmlformats.org/officeDocument/2006/relationships/image" Target="media/image69.jpg"/><Relationship Id="rId145" Type="http://schemas.openxmlformats.org/officeDocument/2006/relationships/image" Target="media/image74.jp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8.bin"/><Relationship Id="rId28" Type="http://schemas.openxmlformats.org/officeDocument/2006/relationships/image" Target="media/image11.wmf"/><Relationship Id="rId49" Type="http://schemas.openxmlformats.org/officeDocument/2006/relationships/image" Target="media/image21.wmf"/><Relationship Id="rId114" Type="http://schemas.openxmlformats.org/officeDocument/2006/relationships/oleObject" Target="embeddings/oleObject54.bin"/><Relationship Id="rId119" Type="http://schemas.openxmlformats.org/officeDocument/2006/relationships/image" Target="media/image56.wmf"/><Relationship Id="rId44" Type="http://schemas.openxmlformats.org/officeDocument/2006/relationships/oleObject" Target="embeddings/oleObject19.bin"/><Relationship Id="rId60" Type="http://schemas.openxmlformats.org/officeDocument/2006/relationships/oleObject" Target="embeddings/oleObject27.bin"/><Relationship Id="rId65" Type="http://schemas.openxmlformats.org/officeDocument/2006/relationships/image" Target="media/image29.wmf"/><Relationship Id="rId81" Type="http://schemas.openxmlformats.org/officeDocument/2006/relationships/image" Target="media/image37.wmf"/><Relationship Id="rId86" Type="http://schemas.openxmlformats.org/officeDocument/2006/relationships/oleObject" Target="embeddings/oleObject40.bin"/><Relationship Id="rId130" Type="http://schemas.openxmlformats.org/officeDocument/2006/relationships/oleObject" Target="embeddings/oleObject62.bin"/><Relationship Id="rId135" Type="http://schemas.openxmlformats.org/officeDocument/2006/relationships/image" Target="media/image64.jpg"/><Relationship Id="rId151" Type="http://schemas.openxmlformats.org/officeDocument/2006/relationships/theme" Target="theme/theme1.xml"/><Relationship Id="rId13" Type="http://schemas.openxmlformats.org/officeDocument/2006/relationships/oleObject" Target="embeddings/oleObject3.bin"/><Relationship Id="rId18" Type="http://schemas.openxmlformats.org/officeDocument/2006/relationships/oleObject" Target="embeddings/oleObject6.bin"/><Relationship Id="rId39" Type="http://schemas.openxmlformats.org/officeDocument/2006/relationships/image" Target="media/image16.wmf"/><Relationship Id="rId109" Type="http://schemas.openxmlformats.org/officeDocument/2006/relationships/image" Target="media/image51.wmf"/><Relationship Id="rId34" Type="http://schemas.openxmlformats.org/officeDocument/2006/relationships/oleObject" Target="embeddings/oleObject14.bin"/><Relationship Id="rId50" Type="http://schemas.openxmlformats.org/officeDocument/2006/relationships/oleObject" Target="embeddings/oleObject22.bin"/><Relationship Id="rId55" Type="http://schemas.openxmlformats.org/officeDocument/2006/relationships/image" Target="media/image24.wmf"/><Relationship Id="rId76" Type="http://schemas.openxmlformats.org/officeDocument/2006/relationships/oleObject" Target="embeddings/oleObject35.bin"/><Relationship Id="rId97" Type="http://schemas.openxmlformats.org/officeDocument/2006/relationships/image" Target="media/image45.wmf"/><Relationship Id="rId104" Type="http://schemas.openxmlformats.org/officeDocument/2006/relationships/oleObject" Target="embeddings/oleObject49.bin"/><Relationship Id="rId120" Type="http://schemas.openxmlformats.org/officeDocument/2006/relationships/oleObject" Target="embeddings/oleObject57.bin"/><Relationship Id="rId125" Type="http://schemas.openxmlformats.org/officeDocument/2006/relationships/image" Target="media/image59.wmf"/><Relationship Id="rId141" Type="http://schemas.openxmlformats.org/officeDocument/2006/relationships/image" Target="media/image70.jpg"/><Relationship Id="rId146" Type="http://schemas.openxmlformats.org/officeDocument/2006/relationships/hyperlink" Target="https://doi.org/10.1007/s11128-023-04253-1" TargetMode="External"/><Relationship Id="rId7" Type="http://schemas.openxmlformats.org/officeDocument/2006/relationships/endnotes" Target="endnotes.xml"/><Relationship Id="rId71" Type="http://schemas.openxmlformats.org/officeDocument/2006/relationships/image" Target="media/image32.wmf"/><Relationship Id="rId92" Type="http://schemas.openxmlformats.org/officeDocument/2006/relationships/oleObject" Target="embeddings/oleObject43.bin"/><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oleObject" Target="embeddings/oleObject17.bin"/><Relationship Id="rId45" Type="http://schemas.openxmlformats.org/officeDocument/2006/relationships/image" Target="media/image19.wmf"/><Relationship Id="rId66" Type="http://schemas.openxmlformats.org/officeDocument/2006/relationships/oleObject" Target="embeddings/oleObject30.bin"/><Relationship Id="rId87" Type="http://schemas.openxmlformats.org/officeDocument/2006/relationships/image" Target="media/image40.wmf"/><Relationship Id="rId110" Type="http://schemas.openxmlformats.org/officeDocument/2006/relationships/oleObject" Target="embeddings/oleObject52.bin"/><Relationship Id="rId115" Type="http://schemas.openxmlformats.org/officeDocument/2006/relationships/image" Target="media/image54.wmf"/><Relationship Id="rId131" Type="http://schemas.openxmlformats.org/officeDocument/2006/relationships/image" Target="media/image62.wmf"/><Relationship Id="rId136" Type="http://schemas.openxmlformats.org/officeDocument/2006/relationships/image" Target="media/image65.jpg"/><Relationship Id="rId61" Type="http://schemas.openxmlformats.org/officeDocument/2006/relationships/image" Target="media/image27.wmf"/><Relationship Id="rId82" Type="http://schemas.openxmlformats.org/officeDocument/2006/relationships/oleObject" Target="embeddings/oleObject38.bin"/><Relationship Id="rId19" Type="http://schemas.openxmlformats.org/officeDocument/2006/relationships/image" Target="media/image6.wmf"/><Relationship Id="rId14" Type="http://schemas.openxmlformats.org/officeDocument/2006/relationships/oleObject" Target="embeddings/oleObject4.bin"/><Relationship Id="rId30" Type="http://schemas.openxmlformats.org/officeDocument/2006/relationships/oleObject" Target="embeddings/oleObject12.bin"/><Relationship Id="rId35" Type="http://schemas.openxmlformats.org/officeDocument/2006/relationships/image" Target="media/image14.wmf"/><Relationship Id="rId56" Type="http://schemas.openxmlformats.org/officeDocument/2006/relationships/oleObject" Target="embeddings/oleObject25.bin"/><Relationship Id="rId77" Type="http://schemas.openxmlformats.org/officeDocument/2006/relationships/image" Target="media/image35.wmf"/><Relationship Id="rId100" Type="http://schemas.openxmlformats.org/officeDocument/2006/relationships/oleObject" Target="embeddings/oleObject47.bin"/><Relationship Id="rId105" Type="http://schemas.openxmlformats.org/officeDocument/2006/relationships/image" Target="media/image49.wmf"/><Relationship Id="rId126" Type="http://schemas.openxmlformats.org/officeDocument/2006/relationships/oleObject" Target="embeddings/oleObject60.bin"/><Relationship Id="rId147" Type="http://schemas.openxmlformats.org/officeDocument/2006/relationships/image" Target="media/image75.jpeg"/><Relationship Id="rId8" Type="http://schemas.openxmlformats.org/officeDocument/2006/relationships/image" Target="media/image1.wmf"/><Relationship Id="rId51" Type="http://schemas.openxmlformats.org/officeDocument/2006/relationships/image" Target="media/image22.wmf"/><Relationship Id="rId72" Type="http://schemas.openxmlformats.org/officeDocument/2006/relationships/oleObject" Target="embeddings/oleObject33.bin"/><Relationship Id="rId93" Type="http://schemas.openxmlformats.org/officeDocument/2006/relationships/image" Target="media/image43.wmf"/><Relationship Id="rId98" Type="http://schemas.openxmlformats.org/officeDocument/2006/relationships/oleObject" Target="embeddings/oleObject46.bin"/><Relationship Id="rId121" Type="http://schemas.openxmlformats.org/officeDocument/2006/relationships/image" Target="media/image57.wmf"/><Relationship Id="rId142" Type="http://schemas.openxmlformats.org/officeDocument/2006/relationships/image" Target="media/image71.jpg"/><Relationship Id="rId3" Type="http://schemas.openxmlformats.org/officeDocument/2006/relationships/styles" Target="styles.xml"/><Relationship Id="rId25" Type="http://schemas.openxmlformats.org/officeDocument/2006/relationships/oleObject" Target="embeddings/oleObject9.bin"/><Relationship Id="rId46" Type="http://schemas.openxmlformats.org/officeDocument/2006/relationships/oleObject" Target="embeddings/oleObject20.bin"/><Relationship Id="rId67" Type="http://schemas.openxmlformats.org/officeDocument/2006/relationships/image" Target="media/image30.wmf"/><Relationship Id="rId116" Type="http://schemas.openxmlformats.org/officeDocument/2006/relationships/oleObject" Target="embeddings/oleObject55.bin"/><Relationship Id="rId137" Type="http://schemas.openxmlformats.org/officeDocument/2006/relationships/image" Target="media/image66.jpg"/><Relationship Id="rId20" Type="http://schemas.openxmlformats.org/officeDocument/2006/relationships/oleObject" Target="embeddings/oleObject7.bin"/><Relationship Id="rId41" Type="http://schemas.openxmlformats.org/officeDocument/2006/relationships/image" Target="media/image17.wmf"/><Relationship Id="rId62" Type="http://schemas.openxmlformats.org/officeDocument/2006/relationships/oleObject" Target="embeddings/oleObject28.bin"/><Relationship Id="rId83" Type="http://schemas.openxmlformats.org/officeDocument/2006/relationships/image" Target="media/image38.wmf"/><Relationship Id="rId88" Type="http://schemas.openxmlformats.org/officeDocument/2006/relationships/oleObject" Target="embeddings/oleObject41.bin"/><Relationship Id="rId111" Type="http://schemas.openxmlformats.org/officeDocument/2006/relationships/image" Target="media/image52.wmf"/><Relationship Id="rId132" Type="http://schemas.openxmlformats.org/officeDocument/2006/relationships/oleObject" Target="embeddings/oleObject63.bin"/><Relationship Id="rId15" Type="http://schemas.openxmlformats.org/officeDocument/2006/relationships/image" Target="media/image4.wmf"/><Relationship Id="rId36" Type="http://schemas.openxmlformats.org/officeDocument/2006/relationships/oleObject" Target="embeddings/oleObject15.bin"/><Relationship Id="rId57" Type="http://schemas.openxmlformats.org/officeDocument/2006/relationships/image" Target="media/image25.wmf"/><Relationship Id="rId106" Type="http://schemas.openxmlformats.org/officeDocument/2006/relationships/oleObject" Target="embeddings/oleObject50.bin"/><Relationship Id="rId127" Type="http://schemas.openxmlformats.org/officeDocument/2006/relationships/image" Target="media/image60.wmf"/><Relationship Id="rId10" Type="http://schemas.openxmlformats.org/officeDocument/2006/relationships/image" Target="media/image2.wmf"/><Relationship Id="rId31" Type="http://schemas.openxmlformats.org/officeDocument/2006/relationships/image" Target="media/image12.wmf"/><Relationship Id="rId52" Type="http://schemas.openxmlformats.org/officeDocument/2006/relationships/oleObject" Target="embeddings/oleObject23.bin"/><Relationship Id="rId73" Type="http://schemas.openxmlformats.org/officeDocument/2006/relationships/image" Target="media/image33.wmf"/><Relationship Id="rId78" Type="http://schemas.openxmlformats.org/officeDocument/2006/relationships/oleObject" Target="embeddings/oleObject36.bin"/><Relationship Id="rId94" Type="http://schemas.openxmlformats.org/officeDocument/2006/relationships/oleObject" Target="embeddings/oleObject44.bin"/><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oleObject" Target="embeddings/oleObject58.bin"/><Relationship Id="rId143" Type="http://schemas.openxmlformats.org/officeDocument/2006/relationships/image" Target="media/image72.jpg"/><Relationship Id="rId14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26" Type="http://schemas.openxmlformats.org/officeDocument/2006/relationships/image" Target="media/image10.wmf"/><Relationship Id="rId47" Type="http://schemas.openxmlformats.org/officeDocument/2006/relationships/image" Target="media/image20.wmf"/><Relationship Id="rId68" Type="http://schemas.openxmlformats.org/officeDocument/2006/relationships/oleObject" Target="embeddings/oleObject31.bin"/><Relationship Id="rId89" Type="http://schemas.openxmlformats.org/officeDocument/2006/relationships/image" Target="media/image41.wmf"/><Relationship Id="rId112" Type="http://schemas.openxmlformats.org/officeDocument/2006/relationships/oleObject" Target="embeddings/oleObject53.bin"/><Relationship Id="rId133" Type="http://schemas.openxmlformats.org/officeDocument/2006/relationships/image" Target="media/image63.wmf"/><Relationship Id="rId16" Type="http://schemas.openxmlformats.org/officeDocument/2006/relationships/oleObject" Target="embeddings/oleObject5.bin"/><Relationship Id="rId37" Type="http://schemas.openxmlformats.org/officeDocument/2006/relationships/image" Target="media/image15.wmf"/><Relationship Id="rId58" Type="http://schemas.openxmlformats.org/officeDocument/2006/relationships/oleObject" Target="embeddings/oleObject26.bin"/><Relationship Id="rId79" Type="http://schemas.openxmlformats.org/officeDocument/2006/relationships/image" Target="media/image36.wmf"/><Relationship Id="rId102" Type="http://schemas.openxmlformats.org/officeDocument/2006/relationships/oleObject" Target="embeddings/oleObject48.bin"/><Relationship Id="rId123" Type="http://schemas.openxmlformats.org/officeDocument/2006/relationships/image" Target="media/image58.wmf"/><Relationship Id="rId144" Type="http://schemas.openxmlformats.org/officeDocument/2006/relationships/image" Target="media/image73.jpg"/><Relationship Id="rId90" Type="http://schemas.openxmlformats.org/officeDocument/2006/relationships/oleObject" Target="embeddings/oleObject42.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36FB5-1AB0-4EA7-840E-AEDD2E829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12</Pages>
  <Words>6447</Words>
  <Characters>7002</Characters>
  <Application>Microsoft Office Word</Application>
  <DocSecurity>0</DocSecurity>
  <Lines>58</Lines>
  <Paragraphs>26</Paragraphs>
  <ScaleCrop>false</ScaleCrop>
  <Company>微软中国</Company>
  <LinksUpToDate>false</LinksUpToDate>
  <CharactersWithSpaces>13423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钧译 禹</dc:creator>
  <cp:lastModifiedBy>微软用户</cp:lastModifiedBy>
  <cp:revision>59</cp:revision>
  <cp:lastPrinted>2025-12-17T00:51:00Z</cp:lastPrinted>
  <dcterms:created xsi:type="dcterms:W3CDTF">2025-05-06T06:04:00Z</dcterms:created>
  <dcterms:modified xsi:type="dcterms:W3CDTF">2026-02-13T05:07:00Z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2A08088DF237467F847F9DA587817CC0_13</vt:lpwstr>
  </property>
  <property fmtid="{D5CDD505-2E9C-101B-9397-08002B2CF9AE}" pid="4" name="KSOTemplateDocerSaveRecord">
    <vt:lpwstr>eyJoZGlkIjoiNzI0YTUxOTcyOTI1YjE2YjFjYzYyMTc5YjFjYjI3YjUiLCJ1c2VySWQiOiIyMTUyNTU1MzIifQ==</vt:lpwstr>
  </property>
  <property fmtid="{D5CDD505-2E9C-101B-9397-08002B2CF9AE}" pid="5" name="MTWinEqns">
    <vt:bool>true</vt:bool>
  </property>
</Properties>
</file>