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000C0B" w14:textId="65D41089" w:rsidR="00CE19CC" w:rsidRPr="00AE4347" w:rsidRDefault="002747DB" w:rsidP="00CA6445">
      <w:pPr>
        <w:spacing w:afterLines="50" w:after="156"/>
        <w:rPr>
          <w:rFonts w:ascii="Times New Roman" w:eastAsiaTheme="minorHAnsi" w:hAnsi="Times New Roman" w:cs="Times New Roman"/>
          <w:b/>
          <w:bCs/>
          <w:color w:val="000000" w:themeColor="text1"/>
          <w:sz w:val="32"/>
          <w:szCs w:val="32"/>
        </w:rPr>
      </w:pPr>
      <w:bookmarkStart w:id="0" w:name="_Hlk230357060"/>
      <w:bookmarkStart w:id="1" w:name="OLE_LINK5"/>
      <w:bookmarkStart w:id="2" w:name="OLE_LINK6"/>
      <w:bookmarkStart w:id="3" w:name="OLE_LINK1"/>
      <w:bookmarkStart w:id="4" w:name="OLE_LINK2"/>
      <w:r w:rsidRPr="00AE4347">
        <w:rPr>
          <w:rFonts w:ascii="Times New Roman" w:eastAsiaTheme="minorHAnsi" w:hAnsi="Times New Roman" w:cs="Times New Roman" w:hint="eastAsia"/>
          <w:b/>
          <w:bCs/>
          <w:color w:val="000000" w:themeColor="text1"/>
          <w:sz w:val="32"/>
          <w:szCs w:val="32"/>
        </w:rPr>
        <w:t>基于</w:t>
      </w:r>
      <w:bookmarkStart w:id="5" w:name="_Hlk230357077"/>
      <w:r w:rsidRPr="00AE4347">
        <w:rPr>
          <w:rFonts w:ascii="Times New Roman" w:eastAsiaTheme="minorHAnsi" w:hAnsi="Times New Roman" w:cs="Times New Roman" w:hint="eastAsia"/>
          <w:b/>
          <w:bCs/>
          <w:color w:val="000000" w:themeColor="text1"/>
          <w:sz w:val="32"/>
          <w:szCs w:val="32"/>
        </w:rPr>
        <w:t>光谱</w:t>
      </w:r>
      <w:bookmarkEnd w:id="5"/>
      <w:r w:rsidR="00705EA5">
        <w:rPr>
          <w:rFonts w:ascii="Times New Roman" w:eastAsiaTheme="minorHAnsi" w:hAnsi="Times New Roman" w:cs="Times New Roman" w:hint="eastAsia"/>
          <w:b/>
          <w:bCs/>
          <w:color w:val="000000" w:themeColor="text1"/>
          <w:sz w:val="32"/>
          <w:szCs w:val="32"/>
        </w:rPr>
        <w:t>特征</w:t>
      </w:r>
      <w:r>
        <w:rPr>
          <w:rFonts w:ascii="Times New Roman" w:eastAsiaTheme="minorHAnsi" w:hAnsi="Times New Roman" w:cs="Times New Roman" w:hint="eastAsia"/>
          <w:b/>
          <w:bCs/>
          <w:color w:val="000000" w:themeColor="text1"/>
          <w:sz w:val="32"/>
          <w:szCs w:val="32"/>
        </w:rPr>
        <w:t>分析的</w:t>
      </w:r>
      <w:r w:rsidR="00AE4347" w:rsidRPr="00AE4347">
        <w:rPr>
          <w:rFonts w:ascii="Times New Roman" w:eastAsiaTheme="minorHAnsi" w:hAnsi="Times New Roman" w:cs="Times New Roman" w:hint="eastAsia"/>
          <w:b/>
          <w:bCs/>
          <w:color w:val="000000" w:themeColor="text1"/>
          <w:sz w:val="32"/>
          <w:szCs w:val="32"/>
        </w:rPr>
        <w:t>数字孪生光网络</w:t>
      </w:r>
      <w:bookmarkEnd w:id="0"/>
      <w:r>
        <w:rPr>
          <w:rFonts w:ascii="Times New Roman" w:eastAsiaTheme="minorHAnsi" w:hAnsi="Times New Roman" w:cs="Times New Roman" w:hint="eastAsia"/>
          <w:b/>
          <w:bCs/>
          <w:color w:val="000000" w:themeColor="text1"/>
          <w:sz w:val="32"/>
          <w:szCs w:val="32"/>
        </w:rPr>
        <w:t>智能</w:t>
      </w:r>
      <w:r w:rsidR="00AE4347" w:rsidRPr="00AE4347">
        <w:rPr>
          <w:rFonts w:ascii="Times New Roman" w:eastAsiaTheme="minorHAnsi" w:hAnsi="Times New Roman" w:cs="Times New Roman" w:hint="eastAsia"/>
          <w:b/>
          <w:bCs/>
          <w:color w:val="000000" w:themeColor="text1"/>
          <w:sz w:val="32"/>
          <w:szCs w:val="32"/>
        </w:rPr>
        <w:t>安全运维技术</w:t>
      </w:r>
      <w:bookmarkEnd w:id="1"/>
      <w:bookmarkEnd w:id="2"/>
    </w:p>
    <w:p w14:paraId="2EDAD4F1" w14:textId="49FA3FEA" w:rsidR="00CE19CC" w:rsidRPr="007F298F" w:rsidRDefault="00796049" w:rsidP="00CA6445">
      <w:pPr>
        <w:spacing w:afterLines="50" w:after="156"/>
        <w:rPr>
          <w:rFonts w:ascii="Times New Roman" w:eastAsia="楷体" w:hAnsi="Times New Roman" w:cs="Times New Roman"/>
          <w:color w:val="000000" w:themeColor="text1"/>
          <w:szCs w:val="21"/>
          <w:vertAlign w:val="superscript"/>
        </w:rPr>
      </w:pPr>
      <w:r>
        <w:rPr>
          <w:rFonts w:ascii="Times New Roman" w:eastAsia="楷体" w:hAnsi="Times New Roman" w:cs="Times New Roman" w:hint="eastAsia"/>
          <w:color w:val="000000" w:themeColor="text1"/>
          <w:szCs w:val="21"/>
        </w:rPr>
        <w:t>郑小平</w:t>
      </w:r>
      <w:r w:rsidR="00D13482" w:rsidRPr="007F298F">
        <w:rPr>
          <w:rFonts w:ascii="Times New Roman" w:eastAsia="楷体" w:hAnsi="Times New Roman" w:cs="Times New Roman"/>
          <w:color w:val="000000" w:themeColor="text1"/>
          <w:szCs w:val="21"/>
          <w:vertAlign w:val="superscript"/>
        </w:rPr>
        <w:t>1,2</w:t>
      </w:r>
      <w:r w:rsidR="00D13482" w:rsidRPr="007F298F">
        <w:rPr>
          <w:rFonts w:ascii="Times New Roman" w:eastAsia="楷体" w:hAnsi="Times New Roman" w:cs="Times New Roman"/>
          <w:color w:val="000000" w:themeColor="text1"/>
          <w:szCs w:val="21"/>
        </w:rPr>
        <w:t>，</w:t>
      </w:r>
      <w:r>
        <w:rPr>
          <w:rFonts w:ascii="Times New Roman" w:eastAsia="楷体" w:hAnsi="Times New Roman" w:cs="Times New Roman" w:hint="eastAsia"/>
          <w:color w:val="000000" w:themeColor="text1"/>
          <w:szCs w:val="21"/>
        </w:rPr>
        <w:t>华楠</w:t>
      </w:r>
      <w:r w:rsidR="00D13482" w:rsidRPr="007F298F">
        <w:rPr>
          <w:rFonts w:ascii="Times New Roman" w:eastAsia="楷体" w:hAnsi="Times New Roman" w:cs="Times New Roman"/>
          <w:color w:val="000000" w:themeColor="text1"/>
          <w:szCs w:val="21"/>
          <w:vertAlign w:val="superscript"/>
        </w:rPr>
        <w:t>1,2</w:t>
      </w:r>
    </w:p>
    <w:p w14:paraId="1C27FE51" w14:textId="5D1CBCC5" w:rsidR="00CE19CC" w:rsidRPr="007F298F" w:rsidRDefault="00D13482" w:rsidP="00CA6445">
      <w:pPr>
        <w:spacing w:afterLines="50" w:after="156"/>
        <w:rPr>
          <w:rFonts w:ascii="Times New Roman" w:eastAsia="楷体" w:hAnsi="Times New Roman" w:cs="Times New Roman"/>
          <w:color w:val="000000" w:themeColor="text1"/>
          <w:szCs w:val="21"/>
        </w:rPr>
      </w:pPr>
      <w:r w:rsidRPr="007F298F">
        <w:rPr>
          <w:rFonts w:ascii="Times New Roman" w:eastAsia="楷体" w:hAnsi="Times New Roman" w:cs="Times New Roman"/>
          <w:color w:val="000000" w:themeColor="text1"/>
          <w:szCs w:val="21"/>
        </w:rPr>
        <w:t>（</w:t>
      </w:r>
      <w:r w:rsidRPr="007F298F">
        <w:rPr>
          <w:rFonts w:ascii="Times New Roman" w:eastAsia="楷体" w:hAnsi="Times New Roman" w:cs="Times New Roman"/>
          <w:color w:val="000000" w:themeColor="text1"/>
          <w:szCs w:val="21"/>
        </w:rPr>
        <w:t>1.</w:t>
      </w:r>
      <w:r w:rsidR="00796049" w:rsidRPr="00796049">
        <w:rPr>
          <w:rFonts w:hint="eastAsia"/>
        </w:rPr>
        <w:t xml:space="preserve"> </w:t>
      </w:r>
      <w:r w:rsidR="00796049" w:rsidRPr="00796049">
        <w:rPr>
          <w:rFonts w:ascii="Times New Roman" w:eastAsia="楷体" w:hAnsi="Times New Roman" w:cs="Times New Roman" w:hint="eastAsia"/>
          <w:color w:val="000000" w:themeColor="text1"/>
          <w:szCs w:val="21"/>
        </w:rPr>
        <w:t>北京信息科学与技术国家研究中心</w:t>
      </w:r>
      <w:r w:rsidR="00796049" w:rsidRPr="007F298F">
        <w:rPr>
          <w:rFonts w:ascii="Times New Roman" w:eastAsia="楷体" w:hAnsi="Times New Roman" w:cs="Times New Roman"/>
          <w:color w:val="000000" w:themeColor="text1"/>
          <w:szCs w:val="21"/>
        </w:rPr>
        <w:t>，</w:t>
      </w:r>
      <w:r w:rsidR="00796049">
        <w:rPr>
          <w:rFonts w:ascii="Times New Roman" w:eastAsia="楷体" w:hAnsi="Times New Roman" w:cs="Times New Roman" w:hint="eastAsia"/>
          <w:color w:val="000000" w:themeColor="text1"/>
          <w:szCs w:val="21"/>
        </w:rPr>
        <w:t>北京</w:t>
      </w:r>
      <w:r w:rsidR="00796049">
        <w:rPr>
          <w:rFonts w:ascii="Times New Roman" w:eastAsia="楷体" w:hAnsi="Times New Roman" w:cs="Times New Roman" w:hint="eastAsia"/>
          <w:color w:val="000000" w:themeColor="text1"/>
          <w:szCs w:val="21"/>
        </w:rPr>
        <w:t xml:space="preserve"> </w:t>
      </w:r>
      <w:r w:rsidR="00796049">
        <w:rPr>
          <w:rFonts w:ascii="Times New Roman" w:eastAsia="楷体" w:hAnsi="Times New Roman" w:cs="Times New Roman"/>
          <w:color w:val="000000" w:themeColor="text1"/>
          <w:szCs w:val="21"/>
        </w:rPr>
        <w:t>100084</w:t>
      </w:r>
      <w:r w:rsidRPr="007F298F">
        <w:rPr>
          <w:rFonts w:ascii="Times New Roman" w:eastAsia="楷体" w:hAnsi="Times New Roman" w:cs="Times New Roman"/>
          <w:color w:val="000000" w:themeColor="text1"/>
          <w:szCs w:val="21"/>
        </w:rPr>
        <w:t>；</w:t>
      </w:r>
    </w:p>
    <w:p w14:paraId="455417F5" w14:textId="5BCDF13E" w:rsidR="00CE19CC" w:rsidRPr="007F298F" w:rsidRDefault="00D13482" w:rsidP="00CA6445">
      <w:pPr>
        <w:spacing w:afterLines="50" w:after="156"/>
        <w:rPr>
          <w:rFonts w:ascii="Times New Roman" w:eastAsia="楷体" w:hAnsi="Times New Roman" w:cs="Times New Roman"/>
          <w:color w:val="000000" w:themeColor="text1"/>
          <w:szCs w:val="21"/>
        </w:rPr>
      </w:pPr>
      <w:r w:rsidRPr="007F298F">
        <w:rPr>
          <w:rFonts w:ascii="Times New Roman" w:eastAsia="楷体" w:hAnsi="Times New Roman" w:cs="Times New Roman"/>
          <w:color w:val="000000" w:themeColor="text1"/>
          <w:szCs w:val="21"/>
        </w:rPr>
        <w:t>2.</w:t>
      </w:r>
      <w:r w:rsidR="00796049" w:rsidRPr="00796049">
        <w:rPr>
          <w:rFonts w:ascii="Times New Roman" w:eastAsia="楷体" w:hAnsi="Times New Roman" w:cs="Times New Roman" w:hint="eastAsia"/>
          <w:color w:val="000000" w:themeColor="text1"/>
          <w:szCs w:val="21"/>
        </w:rPr>
        <w:t xml:space="preserve"> </w:t>
      </w:r>
      <w:r w:rsidR="00796049" w:rsidRPr="00796049">
        <w:rPr>
          <w:rFonts w:ascii="Times New Roman" w:eastAsia="楷体" w:hAnsi="Times New Roman" w:cs="Times New Roman" w:hint="eastAsia"/>
          <w:color w:val="000000" w:themeColor="text1"/>
          <w:szCs w:val="21"/>
        </w:rPr>
        <w:t>清华大学电子工程系</w:t>
      </w:r>
      <w:r w:rsidR="00796049" w:rsidRPr="007F298F">
        <w:rPr>
          <w:rFonts w:ascii="Times New Roman" w:eastAsia="楷体" w:hAnsi="Times New Roman" w:cs="Times New Roman"/>
          <w:color w:val="000000" w:themeColor="text1"/>
          <w:szCs w:val="21"/>
        </w:rPr>
        <w:t>，</w:t>
      </w:r>
      <w:r w:rsidR="00796049">
        <w:rPr>
          <w:rFonts w:ascii="Times New Roman" w:eastAsia="楷体" w:hAnsi="Times New Roman" w:cs="Times New Roman" w:hint="eastAsia"/>
          <w:color w:val="000000" w:themeColor="text1"/>
          <w:szCs w:val="21"/>
        </w:rPr>
        <w:t>北京</w:t>
      </w:r>
      <w:r w:rsidR="00796049">
        <w:rPr>
          <w:rFonts w:ascii="Times New Roman" w:eastAsia="楷体" w:hAnsi="Times New Roman" w:cs="Times New Roman" w:hint="eastAsia"/>
          <w:color w:val="000000" w:themeColor="text1"/>
          <w:szCs w:val="21"/>
        </w:rPr>
        <w:t xml:space="preserve"> </w:t>
      </w:r>
      <w:r w:rsidR="00796049">
        <w:rPr>
          <w:rFonts w:ascii="Times New Roman" w:eastAsia="楷体" w:hAnsi="Times New Roman" w:cs="Times New Roman"/>
          <w:color w:val="000000" w:themeColor="text1"/>
          <w:szCs w:val="21"/>
        </w:rPr>
        <w:t>100084</w:t>
      </w:r>
      <w:r w:rsidR="00704AA3">
        <w:rPr>
          <w:rFonts w:ascii="Times New Roman" w:eastAsia="楷体" w:hAnsi="Times New Roman" w:cs="Times New Roman"/>
          <w:color w:val="000000" w:themeColor="text1"/>
          <w:szCs w:val="21"/>
        </w:rPr>
        <w:t>）</w:t>
      </w:r>
    </w:p>
    <w:p w14:paraId="4627E420" w14:textId="77777777" w:rsidR="00CE19CC" w:rsidRPr="007F298F" w:rsidRDefault="00CE19CC" w:rsidP="00CA6445">
      <w:pPr>
        <w:spacing w:afterLines="50" w:after="156"/>
        <w:rPr>
          <w:rFonts w:ascii="Times New Roman" w:eastAsia="楷体" w:hAnsi="Times New Roman" w:cs="Times New Roman"/>
          <w:color w:val="000000" w:themeColor="text1"/>
          <w:szCs w:val="21"/>
        </w:rPr>
      </w:pPr>
    </w:p>
    <w:p w14:paraId="03677C77" w14:textId="6AFFB2C2" w:rsidR="00CE19CC" w:rsidRPr="007F298F" w:rsidRDefault="00D13482" w:rsidP="00CA6445">
      <w:pPr>
        <w:spacing w:afterLines="50" w:after="156"/>
        <w:rPr>
          <w:rFonts w:ascii="Times New Roman" w:eastAsia="楷体" w:hAnsi="Times New Roman" w:cs="Times New Roman"/>
          <w:color w:val="000000" w:themeColor="text1"/>
          <w:szCs w:val="21"/>
        </w:rPr>
      </w:pPr>
      <w:r w:rsidRPr="007F298F">
        <w:rPr>
          <w:rFonts w:ascii="Times New Roman" w:eastAsia="楷体" w:hAnsi="Times New Roman" w:cs="Times New Roman"/>
          <w:b/>
          <w:bCs/>
          <w:color w:val="000000" w:themeColor="text1"/>
          <w:szCs w:val="21"/>
        </w:rPr>
        <w:t>摘要：</w:t>
      </w:r>
      <w:r w:rsidR="00AE4347" w:rsidRPr="00AE4347">
        <w:rPr>
          <w:rFonts w:ascii="Times New Roman" w:eastAsia="楷体" w:hAnsi="Times New Roman" w:cs="Times New Roman" w:hint="eastAsia"/>
          <w:color w:val="000000" w:themeColor="text1"/>
          <w:szCs w:val="21"/>
        </w:rPr>
        <w:t>随着第五代</w:t>
      </w:r>
      <w:bookmarkStart w:id="6" w:name="OLE_LINK3"/>
      <w:bookmarkStart w:id="7" w:name="OLE_LINK4"/>
      <w:r w:rsidR="00AE4347" w:rsidRPr="00AE4347">
        <w:rPr>
          <w:rFonts w:ascii="Times New Roman" w:eastAsia="楷体" w:hAnsi="Times New Roman" w:cs="Times New Roman" w:hint="eastAsia"/>
          <w:color w:val="000000" w:themeColor="text1"/>
          <w:szCs w:val="21"/>
        </w:rPr>
        <w:t>（</w:t>
      </w:r>
      <w:r w:rsidR="00AE4347" w:rsidRPr="00AE4347">
        <w:rPr>
          <w:rFonts w:ascii="Times New Roman" w:eastAsia="楷体" w:hAnsi="Times New Roman" w:cs="Times New Roman"/>
          <w:color w:val="000000" w:themeColor="text1"/>
          <w:szCs w:val="21"/>
        </w:rPr>
        <w:t>5G</w:t>
      </w:r>
      <w:r w:rsidR="00AE4347" w:rsidRPr="00AE4347">
        <w:rPr>
          <w:rFonts w:ascii="Times New Roman" w:eastAsia="楷体" w:hAnsi="Times New Roman" w:cs="Times New Roman"/>
          <w:color w:val="000000" w:themeColor="text1"/>
          <w:szCs w:val="21"/>
        </w:rPr>
        <w:t>）</w:t>
      </w:r>
      <w:bookmarkEnd w:id="6"/>
      <w:bookmarkEnd w:id="7"/>
      <w:r w:rsidR="00AE4347" w:rsidRPr="00AE4347">
        <w:rPr>
          <w:rFonts w:ascii="Times New Roman" w:eastAsia="楷体" w:hAnsi="Times New Roman" w:cs="Times New Roman"/>
          <w:color w:val="000000" w:themeColor="text1"/>
          <w:szCs w:val="21"/>
        </w:rPr>
        <w:t>及超五代</w:t>
      </w:r>
      <w:r w:rsidR="00C530D8" w:rsidRPr="00AE4347">
        <w:rPr>
          <w:rFonts w:ascii="Times New Roman" w:eastAsia="楷体" w:hAnsi="Times New Roman" w:cs="Times New Roman" w:hint="eastAsia"/>
          <w:color w:val="000000" w:themeColor="text1"/>
          <w:szCs w:val="21"/>
        </w:rPr>
        <w:t>（</w:t>
      </w:r>
      <w:r w:rsidR="00C530D8">
        <w:rPr>
          <w:rFonts w:ascii="Times New Roman" w:eastAsia="楷体" w:hAnsi="Times New Roman" w:cs="Times New Roman" w:hint="eastAsia"/>
          <w:color w:val="000000" w:themeColor="text1"/>
          <w:szCs w:val="21"/>
        </w:rPr>
        <w:t>B</w:t>
      </w:r>
      <w:r w:rsidR="00C530D8" w:rsidRPr="00AE4347">
        <w:rPr>
          <w:rFonts w:ascii="Times New Roman" w:eastAsia="楷体" w:hAnsi="Times New Roman" w:cs="Times New Roman"/>
          <w:color w:val="000000" w:themeColor="text1"/>
          <w:szCs w:val="21"/>
        </w:rPr>
        <w:t>5G</w:t>
      </w:r>
      <w:r w:rsidR="00C530D8" w:rsidRPr="00AE4347">
        <w:rPr>
          <w:rFonts w:ascii="Times New Roman" w:eastAsia="楷体" w:hAnsi="Times New Roman" w:cs="Times New Roman"/>
          <w:color w:val="000000" w:themeColor="text1"/>
          <w:szCs w:val="21"/>
        </w:rPr>
        <w:t>）</w:t>
      </w:r>
      <w:r w:rsidR="00AE4347" w:rsidRPr="00AE4347">
        <w:rPr>
          <w:rFonts w:ascii="Times New Roman" w:eastAsia="楷体" w:hAnsi="Times New Roman" w:cs="Times New Roman"/>
          <w:color w:val="000000" w:themeColor="text1"/>
          <w:szCs w:val="21"/>
        </w:rPr>
        <w:t>移动通信、超高清流媒体以及算力网络的快速发展，全光通信网络正向超高速率、海量维度以及开放互联架构演进。光通信在物理层面上高度依赖波长路由和全透明传输，这种物理透明性在提升组网灵活性的同时，也为全网的状态监测与精细化运维带来了新的挑战。传统物理层监控手段多依赖强度、偏振、信噪比等低维参量，加之高层深度包检测技术存在机制性局限，难以满足现代光网络对复杂信号的精准识别、异常特征提取与路由溯源的需求。近年来，数字孪生光网络（</w:t>
      </w:r>
      <w:r w:rsidR="00AE4347" w:rsidRPr="00AE4347">
        <w:rPr>
          <w:rFonts w:ascii="Times New Roman" w:eastAsia="楷体" w:hAnsi="Times New Roman" w:cs="Times New Roman"/>
          <w:color w:val="000000" w:themeColor="text1"/>
          <w:szCs w:val="21"/>
        </w:rPr>
        <w:t>DTON</w:t>
      </w:r>
      <w:r w:rsidR="00AE4347" w:rsidRPr="00AE4347">
        <w:rPr>
          <w:rFonts w:ascii="Times New Roman" w:eastAsia="楷体" w:hAnsi="Times New Roman" w:cs="Times New Roman"/>
          <w:color w:val="000000" w:themeColor="text1"/>
          <w:szCs w:val="21"/>
        </w:rPr>
        <w:t>）概念的提出，为高维度光网络的自治管理提供了理论框架。在</w:t>
      </w:r>
      <w:r w:rsidR="00AE4347" w:rsidRPr="00AE4347">
        <w:rPr>
          <w:rFonts w:ascii="Times New Roman" w:eastAsia="楷体" w:hAnsi="Times New Roman" w:cs="Times New Roman"/>
          <w:color w:val="000000" w:themeColor="text1"/>
          <w:szCs w:val="21"/>
        </w:rPr>
        <w:t>DTON</w:t>
      </w:r>
      <w:r w:rsidR="00AE4347" w:rsidRPr="00AE4347">
        <w:rPr>
          <w:rFonts w:ascii="Times New Roman" w:eastAsia="楷体" w:hAnsi="Times New Roman" w:cs="Times New Roman"/>
          <w:color w:val="000000" w:themeColor="text1"/>
          <w:szCs w:val="21"/>
        </w:rPr>
        <w:t>架构中，光谱感知利用频域的高维物理信息，除了具备评估链路状态的监控能力，还可结合分布式监测实现对光信号真实路由、经过节点等信息的全周期精准溯源。本文系统综述了面向</w:t>
      </w:r>
      <w:r w:rsidR="00AE4347" w:rsidRPr="00AE4347">
        <w:rPr>
          <w:rFonts w:ascii="Times New Roman" w:eastAsia="楷体" w:hAnsi="Times New Roman" w:cs="Times New Roman"/>
          <w:color w:val="000000" w:themeColor="text1"/>
          <w:szCs w:val="21"/>
        </w:rPr>
        <w:t>DTON</w:t>
      </w:r>
      <w:r w:rsidR="00AE4347" w:rsidRPr="00AE4347">
        <w:rPr>
          <w:rFonts w:ascii="Times New Roman" w:eastAsia="楷体" w:hAnsi="Times New Roman" w:cs="Times New Roman"/>
          <w:color w:val="000000" w:themeColor="text1"/>
          <w:szCs w:val="21"/>
        </w:rPr>
        <w:t>的光谱感知智能运维技术。文章分析了光信号</w:t>
      </w:r>
      <w:r w:rsidR="00AE4347" w:rsidRPr="00AE4347">
        <w:rPr>
          <w:rFonts w:ascii="Times New Roman" w:eastAsia="楷体" w:hAnsi="Times New Roman" w:cs="Times New Roman"/>
          <w:color w:val="000000" w:themeColor="text1"/>
          <w:szCs w:val="21"/>
        </w:rPr>
        <w:t>“</w:t>
      </w:r>
      <w:r w:rsidR="00AE4347" w:rsidRPr="00AE4347">
        <w:rPr>
          <w:rFonts w:ascii="Times New Roman" w:eastAsia="楷体" w:hAnsi="Times New Roman" w:cs="Times New Roman"/>
          <w:color w:val="000000" w:themeColor="text1"/>
          <w:szCs w:val="21"/>
        </w:rPr>
        <w:t>物理指纹</w:t>
      </w:r>
      <w:r w:rsidR="00AE4347" w:rsidRPr="00AE4347">
        <w:rPr>
          <w:rFonts w:ascii="Times New Roman" w:eastAsia="楷体" w:hAnsi="Times New Roman" w:cs="Times New Roman"/>
          <w:color w:val="000000" w:themeColor="text1"/>
          <w:szCs w:val="21"/>
        </w:rPr>
        <w:t>”</w:t>
      </w:r>
      <w:r w:rsidR="00AE4347" w:rsidRPr="00AE4347">
        <w:rPr>
          <w:rFonts w:ascii="Times New Roman" w:eastAsia="楷体" w:hAnsi="Times New Roman" w:cs="Times New Roman"/>
          <w:color w:val="000000" w:themeColor="text1"/>
          <w:szCs w:val="21"/>
        </w:rPr>
        <w:t>形成的演化机理，梳理了涵盖数据采集、环境参量解耦、高维特征降维以及深度神经网络分类识别的算法流程；并针对现网规模部署时面临的多厂商设备特征异构、边缘传感器分辨率受限以及光谱特征长周期演化等工程挑战，探讨了基于元学习、时空交织协同以及数字孪生光网络光谱特征动态演化追踪与小样本识别等人工</w:t>
      </w:r>
      <w:r w:rsidR="00AE4347" w:rsidRPr="00AE4347">
        <w:rPr>
          <w:rFonts w:ascii="Times New Roman" w:eastAsia="楷体" w:hAnsi="Times New Roman" w:cs="Times New Roman" w:hint="eastAsia"/>
          <w:color w:val="000000" w:themeColor="text1"/>
          <w:szCs w:val="21"/>
        </w:rPr>
        <w:t>智能算法的解决方案，旨在为构建高度自治与安全的下一代智能全光网络提供理论参考。</w:t>
      </w:r>
    </w:p>
    <w:p w14:paraId="341E96BB" w14:textId="75896B6E" w:rsidR="00CE19CC" w:rsidRPr="007F298F" w:rsidRDefault="00D13482" w:rsidP="00CA6445">
      <w:pPr>
        <w:spacing w:afterLines="50" w:after="156"/>
        <w:rPr>
          <w:rFonts w:ascii="Times New Roman" w:eastAsia="楷体" w:hAnsi="Times New Roman" w:cs="Times New Roman"/>
          <w:color w:val="000000" w:themeColor="text1"/>
          <w:szCs w:val="21"/>
        </w:rPr>
      </w:pPr>
      <w:r w:rsidRPr="007F298F">
        <w:rPr>
          <w:rFonts w:ascii="Times New Roman" w:eastAsia="楷体" w:hAnsi="Times New Roman" w:cs="Times New Roman"/>
          <w:b/>
          <w:bCs/>
          <w:color w:val="000000" w:themeColor="text1"/>
          <w:szCs w:val="21"/>
        </w:rPr>
        <w:t>关键词：</w:t>
      </w:r>
      <w:r w:rsidR="00796049" w:rsidRPr="00AE4347">
        <w:rPr>
          <w:rFonts w:ascii="Times New Roman" w:eastAsia="楷体" w:hAnsi="Times New Roman" w:cs="Times New Roman"/>
          <w:color w:val="000000" w:themeColor="text1"/>
          <w:szCs w:val="21"/>
        </w:rPr>
        <w:t>全光通信网络</w:t>
      </w:r>
      <w:r w:rsidRPr="007F298F">
        <w:rPr>
          <w:rFonts w:ascii="Times New Roman" w:eastAsia="楷体" w:hAnsi="Times New Roman" w:cs="Times New Roman"/>
          <w:color w:val="000000" w:themeColor="text1"/>
          <w:szCs w:val="21"/>
        </w:rPr>
        <w:t>；</w:t>
      </w:r>
      <w:r w:rsidR="00796049" w:rsidRPr="00796049">
        <w:rPr>
          <w:rFonts w:ascii="Times New Roman" w:eastAsia="楷体" w:hAnsi="Times New Roman" w:cs="Times New Roman" w:hint="eastAsia"/>
          <w:color w:val="000000" w:themeColor="text1"/>
          <w:szCs w:val="21"/>
        </w:rPr>
        <w:t>数字孪生光网络</w:t>
      </w:r>
      <w:r w:rsidRPr="007F298F">
        <w:rPr>
          <w:rFonts w:ascii="Times New Roman" w:eastAsia="楷体" w:hAnsi="Times New Roman" w:cs="Times New Roman"/>
          <w:color w:val="000000" w:themeColor="text1"/>
          <w:szCs w:val="21"/>
        </w:rPr>
        <w:t>；</w:t>
      </w:r>
      <w:r w:rsidR="00796049">
        <w:rPr>
          <w:rFonts w:ascii="Times New Roman" w:eastAsia="楷体" w:hAnsi="Times New Roman" w:cs="Times New Roman" w:hint="eastAsia"/>
          <w:color w:val="000000" w:themeColor="text1"/>
          <w:szCs w:val="21"/>
        </w:rPr>
        <w:t>网络安全</w:t>
      </w:r>
      <w:r w:rsidRPr="007F298F">
        <w:rPr>
          <w:rFonts w:ascii="Times New Roman" w:eastAsia="楷体" w:hAnsi="Times New Roman" w:cs="Times New Roman"/>
          <w:color w:val="000000" w:themeColor="text1"/>
          <w:szCs w:val="21"/>
        </w:rPr>
        <w:t>；</w:t>
      </w:r>
      <w:r w:rsidR="00796049" w:rsidRPr="00796049">
        <w:rPr>
          <w:rFonts w:ascii="Times New Roman" w:eastAsia="楷体" w:hAnsi="Times New Roman" w:cs="Times New Roman" w:hint="eastAsia"/>
          <w:color w:val="000000" w:themeColor="text1"/>
          <w:szCs w:val="21"/>
        </w:rPr>
        <w:t>光谱</w:t>
      </w:r>
      <w:r w:rsidR="00705EA5">
        <w:rPr>
          <w:rFonts w:ascii="Times New Roman" w:eastAsia="楷体" w:hAnsi="Times New Roman" w:cs="Times New Roman" w:hint="eastAsia"/>
          <w:color w:val="000000" w:themeColor="text1"/>
          <w:szCs w:val="21"/>
        </w:rPr>
        <w:t>特征</w:t>
      </w:r>
      <w:r w:rsidR="00011B5A">
        <w:rPr>
          <w:rFonts w:ascii="Times New Roman" w:eastAsia="楷体" w:hAnsi="Times New Roman" w:cs="Times New Roman" w:hint="eastAsia"/>
          <w:color w:val="000000" w:themeColor="text1"/>
          <w:szCs w:val="21"/>
        </w:rPr>
        <w:t>分析</w:t>
      </w:r>
    </w:p>
    <w:bookmarkEnd w:id="3"/>
    <w:bookmarkEnd w:id="4"/>
    <w:p w14:paraId="148951F0" w14:textId="77777777" w:rsidR="00CE19CC" w:rsidRPr="00A91A58" w:rsidRDefault="00CE19CC" w:rsidP="00CA6445">
      <w:pPr>
        <w:spacing w:afterLines="50" w:after="156"/>
        <w:ind w:firstLine="420"/>
        <w:rPr>
          <w:rFonts w:ascii="Times New Roman" w:eastAsia="楷体" w:hAnsi="Times New Roman" w:cs="Times New Roman"/>
          <w:color w:val="000000" w:themeColor="text1"/>
          <w:szCs w:val="21"/>
        </w:rPr>
      </w:pPr>
    </w:p>
    <w:p w14:paraId="73191B08" w14:textId="3B160F70" w:rsidR="00CE19CC" w:rsidRPr="007F298F" w:rsidRDefault="00705EA5" w:rsidP="00CA6445">
      <w:pPr>
        <w:spacing w:afterLines="50" w:after="156"/>
        <w:rPr>
          <w:rFonts w:ascii="Times New Roman" w:eastAsia="黑体" w:hAnsi="Times New Roman" w:cs="Times New Roman"/>
          <w:color w:val="000000" w:themeColor="text1"/>
          <w:sz w:val="32"/>
          <w:szCs w:val="32"/>
        </w:rPr>
      </w:pPr>
      <w:r w:rsidRPr="00705EA5">
        <w:rPr>
          <w:rFonts w:ascii="Times New Roman" w:eastAsia="黑体" w:hAnsi="Times New Roman" w:cs="Times New Roman"/>
          <w:color w:val="000000" w:themeColor="text1"/>
          <w:sz w:val="32"/>
          <w:szCs w:val="32"/>
        </w:rPr>
        <w:lastRenderedPageBreak/>
        <w:t>Intelligent Security Operation and Maintenance Technology for Digital Twin Optical Networks Based on Spectral Feature Analysis</w:t>
      </w:r>
    </w:p>
    <w:p w14:paraId="17374082" w14:textId="4FB871B2" w:rsidR="00CE19CC" w:rsidRPr="007F298F" w:rsidRDefault="004C2109" w:rsidP="00CA6445">
      <w:pPr>
        <w:spacing w:afterLines="50" w:after="156"/>
        <w:rPr>
          <w:rFonts w:ascii="Times New Roman" w:eastAsia="黑体" w:hAnsi="Times New Roman" w:cs="Times New Roman"/>
          <w:color w:val="000000" w:themeColor="text1"/>
          <w:szCs w:val="21"/>
        </w:rPr>
      </w:pPr>
      <w:r>
        <w:rPr>
          <w:rFonts w:ascii="Times New Roman" w:eastAsia="黑体" w:hAnsi="Times New Roman" w:cs="Times New Roman"/>
          <w:color w:val="000000" w:themeColor="text1"/>
          <w:szCs w:val="21"/>
        </w:rPr>
        <w:t>ZHENG Xiaoping</w:t>
      </w:r>
      <w:r w:rsidR="00D13482" w:rsidRPr="007F298F">
        <w:rPr>
          <w:rFonts w:ascii="Times New Roman" w:eastAsia="楷体" w:hAnsi="Times New Roman" w:cs="Times New Roman"/>
          <w:color w:val="000000" w:themeColor="text1"/>
          <w:szCs w:val="21"/>
          <w:vertAlign w:val="superscript"/>
        </w:rPr>
        <w:t>1,2</w:t>
      </w:r>
      <w:r w:rsidR="00D13482" w:rsidRPr="007F298F">
        <w:rPr>
          <w:rFonts w:ascii="Times New Roman" w:eastAsia="黑体" w:hAnsi="Times New Roman" w:cs="Times New Roman"/>
          <w:color w:val="000000" w:themeColor="text1"/>
          <w:szCs w:val="21"/>
        </w:rPr>
        <w:t xml:space="preserve">, </w:t>
      </w:r>
      <w:r>
        <w:rPr>
          <w:rFonts w:ascii="Times New Roman" w:eastAsia="黑体" w:hAnsi="Times New Roman" w:cs="Times New Roman"/>
          <w:color w:val="000000" w:themeColor="text1"/>
          <w:szCs w:val="21"/>
        </w:rPr>
        <w:t>HUA Nan</w:t>
      </w:r>
      <w:r w:rsidR="00D13482" w:rsidRPr="007F298F">
        <w:rPr>
          <w:rFonts w:ascii="Times New Roman" w:eastAsia="楷体" w:hAnsi="Times New Roman" w:cs="Times New Roman"/>
          <w:color w:val="000000" w:themeColor="text1"/>
          <w:szCs w:val="21"/>
          <w:vertAlign w:val="superscript"/>
        </w:rPr>
        <w:t>1,2</w:t>
      </w:r>
    </w:p>
    <w:p w14:paraId="3DB27AEB" w14:textId="7E714191" w:rsidR="00CE19CC" w:rsidRPr="007F298F" w:rsidRDefault="00D13482" w:rsidP="00CA6445">
      <w:pPr>
        <w:spacing w:afterLines="50" w:after="156"/>
        <w:rPr>
          <w:rFonts w:ascii="Times New Roman" w:eastAsia="黑体" w:hAnsi="Times New Roman" w:cs="Times New Roman"/>
          <w:color w:val="000000" w:themeColor="text1"/>
          <w:szCs w:val="21"/>
        </w:rPr>
      </w:pPr>
      <w:r w:rsidRPr="007F298F">
        <w:rPr>
          <w:rFonts w:ascii="Times New Roman" w:eastAsia="黑体" w:hAnsi="Times New Roman" w:cs="Times New Roman"/>
          <w:color w:val="000000" w:themeColor="text1"/>
          <w:szCs w:val="21"/>
        </w:rPr>
        <w:t>（</w:t>
      </w:r>
      <w:r w:rsidR="004C2109" w:rsidRPr="004C2109">
        <w:rPr>
          <w:rFonts w:ascii="Times New Roman" w:eastAsia="黑体" w:hAnsi="Times New Roman" w:cs="Times New Roman"/>
          <w:color w:val="000000" w:themeColor="text1"/>
          <w:szCs w:val="21"/>
        </w:rPr>
        <w:t>1</w:t>
      </w:r>
      <w:r w:rsidR="004C2109">
        <w:rPr>
          <w:rFonts w:ascii="Times New Roman" w:eastAsia="黑体" w:hAnsi="Times New Roman" w:cs="Times New Roman"/>
          <w:color w:val="000000" w:themeColor="text1"/>
          <w:szCs w:val="21"/>
        </w:rPr>
        <w:t xml:space="preserve">. </w:t>
      </w:r>
      <w:r w:rsidR="004C2109" w:rsidRPr="004C2109">
        <w:rPr>
          <w:rFonts w:ascii="Times New Roman" w:eastAsia="黑体" w:hAnsi="Times New Roman" w:cs="Times New Roman"/>
          <w:color w:val="000000" w:themeColor="text1"/>
          <w:szCs w:val="21"/>
        </w:rPr>
        <w:t>Beijing National Research Center for Information Science and Technology, Beijing 100084, China</w:t>
      </w:r>
      <w:r w:rsidR="004C2109">
        <w:rPr>
          <w:rFonts w:ascii="Times New Roman" w:eastAsia="黑体" w:hAnsi="Times New Roman" w:cs="Times New Roman"/>
          <w:color w:val="000000" w:themeColor="text1"/>
          <w:szCs w:val="21"/>
        </w:rPr>
        <w:t xml:space="preserve">; </w:t>
      </w:r>
      <w:r w:rsidR="004C2109" w:rsidRPr="004C2109">
        <w:rPr>
          <w:rFonts w:ascii="Times New Roman" w:eastAsia="黑体" w:hAnsi="Times New Roman" w:cs="Times New Roman"/>
          <w:color w:val="000000" w:themeColor="text1"/>
          <w:szCs w:val="21"/>
        </w:rPr>
        <w:t>2</w:t>
      </w:r>
      <w:r w:rsidR="004C2109">
        <w:rPr>
          <w:rFonts w:ascii="Times New Roman" w:eastAsia="黑体" w:hAnsi="Times New Roman" w:cs="Times New Roman"/>
          <w:color w:val="000000" w:themeColor="text1"/>
          <w:szCs w:val="21"/>
        </w:rPr>
        <w:t xml:space="preserve">. </w:t>
      </w:r>
      <w:r w:rsidR="004C2109" w:rsidRPr="004C2109">
        <w:rPr>
          <w:rFonts w:ascii="Times New Roman" w:eastAsia="黑体" w:hAnsi="Times New Roman" w:cs="Times New Roman"/>
          <w:color w:val="000000" w:themeColor="text1"/>
          <w:szCs w:val="21"/>
        </w:rPr>
        <w:t>Department of Electronic Engineering Tsinghua University, Beijing 100084, China</w:t>
      </w:r>
      <w:r w:rsidRPr="007F298F">
        <w:rPr>
          <w:rFonts w:ascii="Times New Roman" w:eastAsia="黑体" w:hAnsi="Times New Roman" w:cs="Times New Roman"/>
          <w:color w:val="000000" w:themeColor="text1"/>
          <w:szCs w:val="21"/>
        </w:rPr>
        <w:t>）</w:t>
      </w:r>
    </w:p>
    <w:p w14:paraId="03224BFD" w14:textId="77777777" w:rsidR="00CE19CC" w:rsidRPr="007F298F" w:rsidRDefault="00CE19CC" w:rsidP="00CA6445">
      <w:pPr>
        <w:spacing w:afterLines="50" w:after="156"/>
        <w:rPr>
          <w:rFonts w:ascii="Times New Roman" w:eastAsia="黑体" w:hAnsi="Times New Roman" w:cs="Times New Roman"/>
          <w:color w:val="000000" w:themeColor="text1"/>
          <w:szCs w:val="21"/>
        </w:rPr>
      </w:pPr>
    </w:p>
    <w:p w14:paraId="55C9C861" w14:textId="597D53FC" w:rsidR="00DF2BD0" w:rsidRPr="004C2109" w:rsidRDefault="00D13482" w:rsidP="00CA6445">
      <w:pPr>
        <w:spacing w:afterLines="50" w:after="156"/>
        <w:rPr>
          <w:rFonts w:ascii="Times New Roman" w:eastAsia="黑体" w:hAnsi="Times New Roman" w:cs="Times New Roman"/>
          <w:bCs/>
          <w:color w:val="000000" w:themeColor="text1"/>
          <w:szCs w:val="21"/>
        </w:rPr>
      </w:pPr>
      <w:r w:rsidRPr="007F298F">
        <w:rPr>
          <w:rFonts w:ascii="Times New Roman" w:eastAsia="黑体" w:hAnsi="Times New Roman" w:cs="Times New Roman"/>
          <w:b/>
          <w:bCs/>
          <w:color w:val="000000" w:themeColor="text1"/>
          <w:szCs w:val="21"/>
        </w:rPr>
        <w:t>Abstract</w:t>
      </w:r>
      <w:r w:rsidRPr="007F298F">
        <w:rPr>
          <w:rFonts w:ascii="Times New Roman" w:eastAsia="黑体" w:hAnsi="Times New Roman" w:cs="Times New Roman"/>
          <w:b/>
          <w:bCs/>
          <w:color w:val="000000" w:themeColor="text1"/>
          <w:szCs w:val="21"/>
        </w:rPr>
        <w:t>：</w:t>
      </w:r>
      <w:r w:rsidR="004C2109" w:rsidRPr="004C2109">
        <w:rPr>
          <w:rFonts w:ascii="Times New Roman" w:eastAsia="黑体" w:hAnsi="Times New Roman" w:cs="Times New Roman"/>
          <w:bCs/>
          <w:color w:val="000000" w:themeColor="text1"/>
          <w:szCs w:val="21"/>
        </w:rPr>
        <w:t xml:space="preserve">With the rapid development of fifth-generation (5G) and beyond 5G </w:t>
      </w:r>
      <w:r w:rsidR="00C530D8">
        <w:rPr>
          <w:rFonts w:ascii="Times New Roman" w:eastAsia="黑体" w:hAnsi="Times New Roman" w:cs="Times New Roman" w:hint="eastAsia"/>
          <w:bCs/>
          <w:color w:val="000000" w:themeColor="text1"/>
          <w:szCs w:val="21"/>
        </w:rPr>
        <w:t>(</w:t>
      </w:r>
      <w:r w:rsidR="00C530D8">
        <w:rPr>
          <w:rFonts w:ascii="Times New Roman" w:eastAsia="楷体" w:hAnsi="Times New Roman" w:cs="Times New Roman" w:hint="eastAsia"/>
          <w:color w:val="000000" w:themeColor="text1"/>
          <w:szCs w:val="21"/>
        </w:rPr>
        <w:t>B</w:t>
      </w:r>
      <w:r w:rsidR="00C530D8" w:rsidRPr="00AE4347">
        <w:rPr>
          <w:rFonts w:ascii="Times New Roman" w:eastAsia="楷体" w:hAnsi="Times New Roman" w:cs="Times New Roman"/>
          <w:color w:val="000000" w:themeColor="text1"/>
          <w:szCs w:val="21"/>
        </w:rPr>
        <w:t>5G</w:t>
      </w:r>
      <w:r w:rsidR="00C530D8">
        <w:rPr>
          <w:rFonts w:ascii="Times New Roman" w:eastAsia="楷体" w:hAnsi="Times New Roman" w:cs="Times New Roman" w:hint="eastAsia"/>
          <w:color w:val="000000" w:themeColor="text1"/>
          <w:szCs w:val="21"/>
        </w:rPr>
        <w:t>)</w:t>
      </w:r>
      <w:r w:rsidR="00C530D8">
        <w:rPr>
          <w:rFonts w:ascii="Times New Roman" w:eastAsia="楷体" w:hAnsi="Times New Roman" w:cs="Times New Roman"/>
          <w:color w:val="000000" w:themeColor="text1"/>
          <w:szCs w:val="21"/>
        </w:rPr>
        <w:t xml:space="preserve"> </w:t>
      </w:r>
      <w:r w:rsidR="004C2109" w:rsidRPr="004C2109">
        <w:rPr>
          <w:rFonts w:ascii="Times New Roman" w:eastAsia="黑体" w:hAnsi="Times New Roman" w:cs="Times New Roman"/>
          <w:bCs/>
          <w:color w:val="000000" w:themeColor="text1"/>
          <w:szCs w:val="21"/>
        </w:rPr>
        <w:t>mobile communications, ultra-high-definition streaming media, and computing power networks, all-optical communication networks are evolving toward ultra-high data rates, massive dimensions, and open interconnected architectures. At the physical layer, optical communications rely heavily on wavelength routing and fully transparent transmission. While this physical transparency enhances networking flexibility, it also poses new challenges for network-wide state monitoring and fine-grained operations and maintenance. Traditional physical-layer monitoring approaches mostly rely on low-dimensional parameters such as intensity, polarization, and signal-to-noise ratio. Coupled with the structural limitations of high-layer deep packet inspection techniques, these methods struggle to meet the demands of modern optical networks for precise signal recognition, anomalous feature extraction, and routing traceability of complex signals.</w:t>
      </w:r>
      <w:r w:rsidR="004C2109" w:rsidRPr="004C2109">
        <w:rPr>
          <w:rFonts w:ascii="Times New Roman" w:eastAsia="黑体" w:hAnsi="Times New Roman" w:cs="Times New Roman" w:hint="eastAsia"/>
          <w:bCs/>
          <w:color w:val="000000" w:themeColor="text1"/>
          <w:szCs w:val="21"/>
        </w:rPr>
        <w:t xml:space="preserve"> </w:t>
      </w:r>
      <w:r w:rsidR="004C2109" w:rsidRPr="004C2109">
        <w:rPr>
          <w:rFonts w:ascii="Times New Roman" w:eastAsia="黑体" w:hAnsi="Times New Roman" w:cs="Times New Roman"/>
          <w:bCs/>
          <w:color w:val="000000" w:themeColor="text1"/>
          <w:szCs w:val="21"/>
        </w:rPr>
        <w:t>In recent years, the concept of the Digital Twin Optical Network (DTON) has emerged, providing a theoretical framework for the autonomous management of high-dimensional optical networks. Within the DTON architecture, spectrum sensing leverages high-dimensional physical information in the frequency domain. Beyond its monitoring capability to evaluate link states, it can be combined with distributed monitoring to achieve full-lifecycle, precise traceability of information such as the actual routing and traversed nodes of optical signals. This paper systematically reviews spectrum-sensing intelligent O&amp;M technologies tailored for DTON. We analyze the evolutionary mechanism behind the formation of optical signals' "physical fingerprints" and outline the algorithmic workflow encompassing data collection, environmental parameter decoupling, high-dimensional feature reduction, and deep neural network classification and recognition. Furthermore, engineering challenges in large-scale field deployment, such as heterogeneous equipment characteristics across multiple vendors, limited resolution of edge sensors, and long-term evolution of spectral features are addressed. We discuss artificial intelligence solutions based on meta-learning, spatial-temporal collaborative interleaving, and dynamic evolutionary tracking of spectral features alongside few-shot recognition in DTON. This work aims to provide a theoretical reference for constructing highly autonomous and secure next-generation intelligent all-optical networks</w:t>
      </w:r>
      <w:r w:rsidRPr="004C2109">
        <w:rPr>
          <w:rFonts w:ascii="Times New Roman" w:eastAsia="黑体" w:hAnsi="Times New Roman" w:cs="Times New Roman"/>
          <w:color w:val="000000" w:themeColor="text1"/>
          <w:szCs w:val="21"/>
        </w:rPr>
        <w:t>.</w:t>
      </w:r>
    </w:p>
    <w:p w14:paraId="3919162B" w14:textId="0F4EDA30" w:rsidR="00843723" w:rsidRPr="007F298F" w:rsidRDefault="00D13482" w:rsidP="00CA6445">
      <w:pPr>
        <w:spacing w:afterLines="50" w:after="156"/>
        <w:rPr>
          <w:rFonts w:ascii="Times New Roman" w:eastAsia="黑体" w:hAnsi="Times New Roman" w:cs="Times New Roman"/>
          <w:color w:val="000000" w:themeColor="text1"/>
          <w:szCs w:val="21"/>
        </w:rPr>
      </w:pPr>
      <w:r w:rsidRPr="007F298F">
        <w:rPr>
          <w:rFonts w:ascii="Times New Roman" w:eastAsia="黑体" w:hAnsi="Times New Roman" w:cs="Times New Roman"/>
          <w:color w:val="000000" w:themeColor="text1"/>
          <w:szCs w:val="21"/>
        </w:rPr>
        <w:t xml:space="preserve">Key words: </w:t>
      </w:r>
      <w:r w:rsidR="00011B5A" w:rsidRPr="00011B5A">
        <w:rPr>
          <w:rFonts w:ascii="Times New Roman" w:eastAsia="黑体" w:hAnsi="Times New Roman" w:cs="Times New Roman"/>
          <w:color w:val="000000" w:themeColor="text1"/>
          <w:szCs w:val="21"/>
        </w:rPr>
        <w:t>All-optical communication networks; Digital twin optical network (DTON); Network security; Spectrum</w:t>
      </w:r>
      <w:r w:rsidR="00705EA5">
        <w:rPr>
          <w:rFonts w:ascii="Times New Roman" w:eastAsia="黑体" w:hAnsi="Times New Roman" w:cs="Times New Roman"/>
          <w:color w:val="000000" w:themeColor="text1"/>
          <w:szCs w:val="21"/>
        </w:rPr>
        <w:t xml:space="preserve"> </w:t>
      </w:r>
      <w:r w:rsidR="00705EA5">
        <w:rPr>
          <w:rFonts w:ascii="Times New Roman" w:eastAsia="黑体" w:hAnsi="Times New Roman" w:cs="Times New Roman" w:hint="eastAsia"/>
          <w:color w:val="000000" w:themeColor="text1"/>
          <w:szCs w:val="21"/>
        </w:rPr>
        <w:t>feature</w:t>
      </w:r>
      <w:r w:rsidR="00011B5A" w:rsidRPr="00011B5A">
        <w:rPr>
          <w:rFonts w:ascii="Times New Roman" w:eastAsia="黑体" w:hAnsi="Times New Roman" w:cs="Times New Roman"/>
          <w:color w:val="000000" w:themeColor="text1"/>
          <w:szCs w:val="21"/>
        </w:rPr>
        <w:t xml:space="preserve"> </w:t>
      </w:r>
      <w:r w:rsidR="00011B5A">
        <w:rPr>
          <w:rFonts w:ascii="Times New Roman" w:eastAsia="黑体" w:hAnsi="Times New Roman" w:cs="Times New Roman" w:hint="eastAsia"/>
          <w:color w:val="000000" w:themeColor="text1"/>
          <w:szCs w:val="21"/>
        </w:rPr>
        <w:t>analysis</w:t>
      </w:r>
    </w:p>
    <w:p w14:paraId="127453CE" w14:textId="77777777" w:rsidR="0030319E" w:rsidRPr="007F298F" w:rsidRDefault="0030319E" w:rsidP="00CA6445">
      <w:pPr>
        <w:spacing w:afterLines="50" w:after="156"/>
        <w:rPr>
          <w:rFonts w:ascii="Times New Roman" w:eastAsia="黑体" w:hAnsi="Times New Roman" w:cs="Times New Roman"/>
          <w:color w:val="000000" w:themeColor="text1"/>
          <w:szCs w:val="21"/>
        </w:rPr>
      </w:pPr>
    </w:p>
    <w:p w14:paraId="13BFB3B2" w14:textId="77777777" w:rsidR="00A01FE4" w:rsidRPr="00933AAD" w:rsidRDefault="00A01FE4" w:rsidP="00CA6445">
      <w:pPr>
        <w:spacing w:afterLines="50" w:after="156"/>
        <w:outlineLvl w:val="0"/>
        <w:rPr>
          <w:rFonts w:ascii="Times New Roman" w:eastAsia="黑体" w:hAnsi="Times New Roman" w:cs="Times New Roman"/>
          <w:color w:val="000000" w:themeColor="text1"/>
          <w:sz w:val="24"/>
          <w:szCs w:val="24"/>
        </w:rPr>
        <w:sectPr w:rsidR="00A01FE4" w:rsidRPr="00933AAD" w:rsidSect="0096047C">
          <w:pgSz w:w="11906" w:h="16838"/>
          <w:pgMar w:top="1440" w:right="1800" w:bottom="1440" w:left="1800" w:header="851" w:footer="992" w:gutter="0"/>
          <w:cols w:space="425"/>
          <w:titlePg/>
          <w:docGrid w:type="lines" w:linePitch="312"/>
        </w:sectPr>
      </w:pPr>
    </w:p>
    <w:p w14:paraId="3C5D6D6F" w14:textId="587CF4FC" w:rsidR="00CE19CC" w:rsidRPr="007F298F" w:rsidRDefault="00C4455E" w:rsidP="00CA6445">
      <w:pPr>
        <w:spacing w:afterLines="50" w:after="156"/>
        <w:outlineLvl w:val="0"/>
        <w:rPr>
          <w:rFonts w:ascii="Times New Roman" w:eastAsia="黑体" w:hAnsi="Times New Roman" w:cs="Times New Roman"/>
          <w:color w:val="000000" w:themeColor="text1"/>
          <w:sz w:val="24"/>
          <w:szCs w:val="24"/>
        </w:rPr>
      </w:pPr>
      <w:r>
        <w:rPr>
          <w:rFonts w:ascii="Times New Roman" w:eastAsia="黑体" w:hAnsi="Times New Roman" w:cs="Times New Roman"/>
          <w:color w:val="000000" w:themeColor="text1"/>
          <w:sz w:val="24"/>
          <w:szCs w:val="24"/>
        </w:rPr>
        <w:lastRenderedPageBreak/>
        <w:t>1</w:t>
      </w:r>
      <w:r w:rsidR="00D13482" w:rsidRPr="007F298F">
        <w:rPr>
          <w:rFonts w:ascii="Times New Roman" w:eastAsia="黑体" w:hAnsi="Times New Roman" w:cs="Times New Roman"/>
          <w:color w:val="000000" w:themeColor="text1"/>
          <w:sz w:val="24"/>
          <w:szCs w:val="24"/>
        </w:rPr>
        <w:t xml:space="preserve"> </w:t>
      </w:r>
      <w:r w:rsidRPr="00C4455E">
        <w:rPr>
          <w:rFonts w:ascii="Times New Roman" w:eastAsia="黑体" w:hAnsi="Times New Roman" w:cs="Times New Roman" w:hint="eastAsia"/>
          <w:color w:val="000000" w:themeColor="text1"/>
          <w:sz w:val="24"/>
          <w:szCs w:val="24"/>
        </w:rPr>
        <w:t>引言与数字孪生光网络背景</w:t>
      </w:r>
    </w:p>
    <w:p w14:paraId="1E8EBB86" w14:textId="77777777" w:rsidR="00C4455E" w:rsidRPr="00C4455E" w:rsidRDefault="00C4455E" w:rsidP="00CA6445">
      <w:pPr>
        <w:pStyle w:val="4"/>
        <w:spacing w:before="0" w:afterLines="50" w:after="156" w:line="240" w:lineRule="auto"/>
        <w:rPr>
          <w:rFonts w:ascii="宋体" w:eastAsia="宋体" w:hAnsi="宋体"/>
          <w:color w:val="1F1F1F"/>
          <w:sz w:val="21"/>
          <w:szCs w:val="21"/>
        </w:rPr>
      </w:pPr>
      <w:r w:rsidRPr="00C4455E">
        <w:rPr>
          <w:rFonts w:ascii="宋体" w:eastAsia="宋体" w:hAnsi="宋体"/>
          <w:color w:val="1F1F1F"/>
          <w:sz w:val="21"/>
          <w:szCs w:val="21"/>
        </w:rPr>
        <w:t>1.1 物理层透明化带来的运维挑战与传统监控的局限</w:t>
      </w:r>
    </w:p>
    <w:p w14:paraId="64BCD19A" w14:textId="16DB3EDA" w:rsidR="00C4455E" w:rsidRPr="00C4455E" w:rsidRDefault="00C4455E" w:rsidP="00CA6445">
      <w:pPr>
        <w:pStyle w:val="ac"/>
        <w:spacing w:before="0" w:beforeAutospacing="0" w:afterLines="50" w:after="156" w:afterAutospacing="0"/>
        <w:ind w:firstLine="420"/>
        <w:jc w:val="both"/>
        <w:rPr>
          <w:color w:val="1F1F1F"/>
          <w:sz w:val="21"/>
          <w:szCs w:val="21"/>
        </w:rPr>
      </w:pPr>
      <w:r w:rsidRPr="00C4455E">
        <w:rPr>
          <w:color w:val="1F1F1F"/>
          <w:sz w:val="21"/>
          <w:szCs w:val="21"/>
        </w:rPr>
        <w:t>现代大容量光通信网络普遍采用密集波分复用（DWDM）技术，并结合可重构光分插复用器（ROADM）实现光信号的灵活波长调度[1,2]。业务数据在途径全光交换节点时，无需经过光电再生转换，始终以光子的形式在透明光路径上端到端传输[3]。这种物理层面的透明性消除了电层处理的带宽与功耗瓶颈，但也使传输信道暴露于物理层面的攻击威胁中，如微弯辐射窃听、高功率阻塞信号、拒绝服务（DoS）攻击及伪装恶意信号注入[4</w:t>
      </w:r>
      <w:r>
        <w:rPr>
          <w:color w:val="1F1F1F"/>
          <w:sz w:val="21"/>
          <w:szCs w:val="21"/>
        </w:rPr>
        <w:t>-</w:t>
      </w:r>
      <w:r w:rsidRPr="00C4455E">
        <w:rPr>
          <w:color w:val="1F1F1F"/>
          <w:sz w:val="21"/>
          <w:szCs w:val="21"/>
        </w:rPr>
        <w:t>6]。此类异常信号会引发非线性串扰及掺铒光纤放大器（EDFA）的功率瞬变，对业务连续性构成威胁。</w:t>
      </w:r>
    </w:p>
    <w:p w14:paraId="3AC1FD8D" w14:textId="33BF6CFE" w:rsidR="00C4455E" w:rsidRPr="00C4455E" w:rsidRDefault="00C4455E" w:rsidP="00CA6445">
      <w:pPr>
        <w:pStyle w:val="ac"/>
        <w:spacing w:before="0" w:beforeAutospacing="0" w:afterLines="50" w:after="156" w:afterAutospacing="0"/>
        <w:ind w:firstLine="420"/>
        <w:jc w:val="both"/>
        <w:rPr>
          <w:color w:val="1F1F1F"/>
          <w:sz w:val="21"/>
          <w:szCs w:val="21"/>
        </w:rPr>
      </w:pPr>
      <w:r w:rsidRPr="00C4455E">
        <w:rPr>
          <w:color w:val="1F1F1F"/>
          <w:sz w:val="21"/>
          <w:szCs w:val="21"/>
        </w:rPr>
        <w:t>面对此类发生于物理底层的安全威胁，传统依赖高层数据包深度解析的IT安全防御体系面临着适用性局限。具体而言，即便在非透明的电层路由交换节点能够成功截获并解析数据包，其光电转换与协议剥离的处理过程也已将底层光信号的模拟物理参量（</w:t>
      </w:r>
      <w:r w:rsidR="00707F02">
        <w:rPr>
          <w:rFonts w:hint="eastAsia"/>
          <w:color w:val="1F1F1F"/>
          <w:sz w:val="21"/>
          <w:szCs w:val="21"/>
        </w:rPr>
        <w:t>如</w:t>
      </w:r>
      <w:r w:rsidR="002E3ED6">
        <w:rPr>
          <w:color w:val="1F1F1F"/>
          <w:sz w:val="21"/>
          <w:szCs w:val="21"/>
        </w:rPr>
        <w:t>时域波形、频域光谱、偏振态</w:t>
      </w:r>
      <w:r w:rsidRPr="00C4455E">
        <w:rPr>
          <w:color w:val="1F1F1F"/>
          <w:sz w:val="21"/>
          <w:szCs w:val="21"/>
        </w:rPr>
        <w:t>及相位噪声等）滤除。其中，频域光谱特征作为映射底层光电器件本征属性的核心载体，其丢失致使管控系统丧失了对器件老化、非理想偏置等底层运行劣化的监测能力，亦无法实现对物理层未知攻击的有效甄别。在高度透明的全光网络架构中，光信号在途径波长路由节点时无需进行光电再生，这意味着基于高层协议解析的防御机制在全光交换节点处无法获取电域数据流，导致安全监控体系面临不可观测性</w:t>
      </w:r>
      <w:r w:rsidR="00B66023" w:rsidRPr="00C4455E">
        <w:rPr>
          <w:color w:val="1F1F1F"/>
          <w:sz w:val="21"/>
          <w:szCs w:val="21"/>
        </w:rPr>
        <w:t xml:space="preserve"> </w:t>
      </w:r>
      <w:r w:rsidRPr="00C4455E">
        <w:rPr>
          <w:color w:val="1F1F1F"/>
          <w:sz w:val="21"/>
          <w:szCs w:val="21"/>
        </w:rPr>
        <w:t>[5,7]。上述机制缺陷使全光网络底层基础设施长期处于安全监测的盲区。</w:t>
      </w:r>
    </w:p>
    <w:p w14:paraId="3F28E6AF" w14:textId="77777777" w:rsidR="00C4455E" w:rsidRPr="00C4455E" w:rsidRDefault="00C4455E" w:rsidP="00CA6445">
      <w:pPr>
        <w:pStyle w:val="4"/>
        <w:spacing w:before="0" w:afterLines="50" w:after="156" w:line="240" w:lineRule="auto"/>
        <w:rPr>
          <w:rFonts w:ascii="宋体" w:eastAsia="宋体" w:hAnsi="宋体"/>
          <w:color w:val="1F1F1F"/>
          <w:sz w:val="21"/>
          <w:szCs w:val="21"/>
        </w:rPr>
      </w:pPr>
      <w:r w:rsidRPr="00C4455E">
        <w:rPr>
          <w:rFonts w:ascii="宋体" w:eastAsia="宋体" w:hAnsi="宋体"/>
          <w:color w:val="1F1F1F"/>
          <w:sz w:val="21"/>
          <w:szCs w:val="21"/>
        </w:rPr>
        <w:t>1.2 数字孪生光网络与高维光谱感知的应用</w:t>
      </w:r>
    </w:p>
    <w:p w14:paraId="1F26A6F6" w14:textId="634DA1C7" w:rsidR="00C4455E" w:rsidRPr="00C4455E" w:rsidRDefault="00C4455E" w:rsidP="00CA6445">
      <w:pPr>
        <w:pStyle w:val="ac"/>
        <w:spacing w:before="0" w:beforeAutospacing="0" w:afterLines="50" w:after="156" w:afterAutospacing="0"/>
        <w:ind w:firstLine="420"/>
        <w:jc w:val="both"/>
        <w:rPr>
          <w:color w:val="1F1F1F"/>
          <w:sz w:val="21"/>
          <w:szCs w:val="21"/>
        </w:rPr>
      </w:pPr>
      <w:r w:rsidRPr="00C4455E">
        <w:rPr>
          <w:color w:val="1F1F1F"/>
          <w:sz w:val="21"/>
          <w:szCs w:val="21"/>
        </w:rPr>
        <w:t>为突破物理层管控的不可观测性并提升网络的自动化运维能力，数字孪生光网络（DTON）技术作为一种全维度的网络映射机制受到广泛关注[8</w:t>
      </w:r>
      <w:r>
        <w:rPr>
          <w:color w:val="1F1F1F"/>
          <w:sz w:val="21"/>
          <w:szCs w:val="21"/>
        </w:rPr>
        <w:t>-</w:t>
      </w:r>
      <w:r w:rsidRPr="00C4455E">
        <w:rPr>
          <w:color w:val="1F1F1F"/>
          <w:sz w:val="21"/>
          <w:szCs w:val="21"/>
        </w:rPr>
        <w:t>10]。</w:t>
      </w:r>
    </w:p>
    <w:p w14:paraId="28DFE79C" w14:textId="6C2F0975" w:rsidR="00C4455E" w:rsidRPr="00C4455E" w:rsidRDefault="00C4455E" w:rsidP="00CA6445">
      <w:pPr>
        <w:pStyle w:val="ac"/>
        <w:spacing w:before="0" w:beforeAutospacing="0" w:afterLines="50" w:after="156" w:afterAutospacing="0"/>
        <w:ind w:firstLine="420"/>
        <w:jc w:val="both"/>
        <w:rPr>
          <w:color w:val="1F1F1F"/>
          <w:sz w:val="21"/>
          <w:szCs w:val="21"/>
        </w:rPr>
      </w:pPr>
      <w:r w:rsidRPr="00C4455E">
        <w:rPr>
          <w:color w:val="1F1F1F"/>
          <w:sz w:val="21"/>
          <w:szCs w:val="21"/>
        </w:rPr>
        <w:t>DTON的核心机制在于通过高密度的网络遥测技术，在虚拟空间中构建与物理光网络拓扑、设备硬件、实时流量及信道劣化状态保持同步的镜像[11]，并通过精确物理层建模与数据驱动自学习的深度融合，为网络的闭环仿真与动态决策提供数据支撑[12]。</w:t>
      </w:r>
    </w:p>
    <w:p w14:paraId="30C52703" w14:textId="17360628" w:rsidR="00C4455E" w:rsidRDefault="00C4455E" w:rsidP="00840DA4">
      <w:pPr>
        <w:pStyle w:val="ac"/>
        <w:spacing w:before="0" w:beforeAutospacing="0" w:after="0" w:afterAutospacing="0"/>
        <w:ind w:firstLine="420"/>
        <w:jc w:val="both"/>
        <w:rPr>
          <w:color w:val="1F1F1F"/>
          <w:sz w:val="21"/>
          <w:szCs w:val="21"/>
        </w:rPr>
      </w:pPr>
      <w:r w:rsidRPr="00C4455E">
        <w:rPr>
          <w:color w:val="1F1F1F"/>
          <w:sz w:val="21"/>
          <w:szCs w:val="21"/>
        </w:rPr>
        <w:t>在DTON的感知体系中，光谱感知技术改变了底层监控的维度。相较于光信噪比（OSNR）等宏观指标，光信号的光谱蕴含了高维度的底层物理细节，能够综合反映光源发射机的工艺偏差及信道传输的累积损伤[13]。这种高维</w:t>
      </w:r>
      <w:r w:rsidR="009B12AE">
        <w:rPr>
          <w:rFonts w:hint="eastAsia"/>
          <w:color w:val="1F1F1F"/>
          <w:sz w:val="21"/>
          <w:szCs w:val="21"/>
        </w:rPr>
        <w:t>谱空间数字孪生（S</w:t>
      </w:r>
      <w:r w:rsidR="009B12AE">
        <w:rPr>
          <w:color w:val="1F1F1F"/>
          <w:sz w:val="21"/>
          <w:szCs w:val="21"/>
        </w:rPr>
        <w:t>S-DT</w:t>
      </w:r>
      <w:r w:rsidR="009B12AE">
        <w:rPr>
          <w:rFonts w:hint="eastAsia"/>
          <w:color w:val="1F1F1F"/>
          <w:sz w:val="21"/>
          <w:szCs w:val="21"/>
        </w:rPr>
        <w:t>）</w:t>
      </w:r>
      <w:r w:rsidRPr="00C4455E">
        <w:rPr>
          <w:color w:val="1F1F1F"/>
          <w:sz w:val="21"/>
          <w:szCs w:val="21"/>
        </w:rPr>
        <w:t>数据模型不仅具备传统物理层监控的能力，更赋予了系统对信号复杂物理属性进行精确识别的潜力</w:t>
      </w:r>
      <w:r w:rsidR="009B12AE">
        <w:rPr>
          <w:rFonts w:hint="eastAsia"/>
          <w:color w:val="1F1F1F"/>
          <w:sz w:val="21"/>
          <w:szCs w:val="21"/>
        </w:rPr>
        <w:t>（图1）</w:t>
      </w:r>
      <w:r w:rsidRPr="00C4455E">
        <w:rPr>
          <w:color w:val="1F1F1F"/>
          <w:sz w:val="21"/>
          <w:szCs w:val="21"/>
        </w:rPr>
        <w:t>。结合部署在网络各节点的分布式感知协同，智能管控平台能够对光信号实施全生命周期的溯源[14,15]。系统在无需解析上层协议的前提下，即可掌握</w:t>
      </w:r>
      <w:r w:rsidR="00705EA5">
        <w:rPr>
          <w:rFonts w:hint="eastAsia"/>
          <w:color w:val="1F1F1F"/>
          <w:sz w:val="21"/>
          <w:szCs w:val="21"/>
        </w:rPr>
        <w:t>光信号源特征、</w:t>
      </w:r>
      <w:r w:rsidRPr="00C4455E">
        <w:rPr>
          <w:color w:val="1F1F1F"/>
          <w:sz w:val="21"/>
          <w:szCs w:val="21"/>
        </w:rPr>
        <w:t>业务信号的路由走向、端到端实时链路状态，并解析出信号沿途经过的光纤放大器与全光交换节点。这使得管控系统兼具了深层状态获取能力与异常干扰防御能力，成为支撑弹性全光网络及空天地一体化OTN组网精细化管理与物理层安全的技术基础[10,16]。</w:t>
      </w:r>
    </w:p>
    <w:p w14:paraId="584C78AF" w14:textId="6B029BA8" w:rsidR="009B12AE" w:rsidRDefault="009B12AE" w:rsidP="009B12AE">
      <w:pPr>
        <w:pStyle w:val="ac"/>
        <w:spacing w:before="0" w:beforeAutospacing="0" w:afterLines="50" w:after="156" w:afterAutospacing="0"/>
        <w:jc w:val="center"/>
        <w:rPr>
          <w:color w:val="1F1F1F"/>
          <w:sz w:val="21"/>
          <w:szCs w:val="21"/>
        </w:rPr>
      </w:pPr>
      <w:r w:rsidRPr="009B12AE">
        <w:rPr>
          <w:rFonts w:hint="eastAsia"/>
          <w:noProof/>
        </w:rPr>
        <w:lastRenderedPageBreak/>
        <w:drawing>
          <wp:inline distT="0" distB="0" distL="0" distR="0" wp14:anchorId="43C2876E" wp14:editId="4F566E42">
            <wp:extent cx="4457700" cy="2586147"/>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461952" cy="2588614"/>
                    </a:xfrm>
                    <a:prstGeom prst="rect">
                      <a:avLst/>
                    </a:prstGeom>
                    <a:noFill/>
                    <a:ln>
                      <a:noFill/>
                    </a:ln>
                  </pic:spPr>
                </pic:pic>
              </a:graphicData>
            </a:graphic>
          </wp:inline>
        </w:drawing>
      </w:r>
    </w:p>
    <w:p w14:paraId="5E1A7E41" w14:textId="2202F2F5" w:rsidR="009B12AE" w:rsidRPr="00C4455E" w:rsidRDefault="009B12AE" w:rsidP="009B12AE">
      <w:pPr>
        <w:pStyle w:val="ac"/>
        <w:spacing w:before="0" w:beforeAutospacing="0" w:afterLines="50" w:after="156" w:afterAutospacing="0"/>
        <w:jc w:val="center"/>
        <w:rPr>
          <w:color w:val="1F1F1F"/>
          <w:sz w:val="21"/>
          <w:szCs w:val="21"/>
        </w:rPr>
      </w:pPr>
      <w:r>
        <w:rPr>
          <w:rFonts w:hint="eastAsia"/>
          <w:color w:val="1F1F1F"/>
          <w:sz w:val="21"/>
          <w:szCs w:val="21"/>
        </w:rPr>
        <w:t>图1：基于谱空间数字孪生（SS-DT）的D</w:t>
      </w:r>
      <w:r>
        <w:rPr>
          <w:color w:val="1F1F1F"/>
          <w:sz w:val="21"/>
          <w:szCs w:val="21"/>
        </w:rPr>
        <w:t>TON</w:t>
      </w:r>
      <w:r>
        <w:rPr>
          <w:rFonts w:hint="eastAsia"/>
          <w:color w:val="1F1F1F"/>
          <w:sz w:val="21"/>
          <w:szCs w:val="21"/>
        </w:rPr>
        <w:t>智能精细化管理与安全运维</w:t>
      </w:r>
    </w:p>
    <w:p w14:paraId="58A93E85" w14:textId="77777777" w:rsidR="00C4455E" w:rsidRDefault="00C4455E" w:rsidP="00CA6445">
      <w:pPr>
        <w:spacing w:afterLines="50" w:after="156"/>
        <w:outlineLvl w:val="0"/>
        <w:rPr>
          <w:rFonts w:ascii="Times New Roman" w:eastAsia="黑体" w:hAnsi="Times New Roman" w:cs="Times New Roman"/>
          <w:color w:val="000000" w:themeColor="text1"/>
          <w:sz w:val="24"/>
          <w:szCs w:val="24"/>
        </w:rPr>
      </w:pPr>
    </w:p>
    <w:p w14:paraId="165C11E0" w14:textId="616AC8E1" w:rsidR="00B66023" w:rsidRPr="00933AAD" w:rsidRDefault="00B66023" w:rsidP="00CA6445">
      <w:pPr>
        <w:spacing w:afterLines="50" w:after="156"/>
        <w:outlineLvl w:val="0"/>
        <w:rPr>
          <w:rFonts w:ascii="Times New Roman" w:eastAsia="黑体" w:hAnsi="Times New Roman" w:cs="Times New Roman"/>
          <w:color w:val="000000" w:themeColor="text1"/>
          <w:sz w:val="24"/>
          <w:szCs w:val="24"/>
        </w:rPr>
        <w:sectPr w:rsidR="00B66023" w:rsidRPr="00933AAD" w:rsidSect="00C4455E">
          <w:type w:val="continuous"/>
          <w:pgSz w:w="11906" w:h="16838"/>
          <w:pgMar w:top="1440" w:right="1800" w:bottom="1440" w:left="1800" w:header="851" w:footer="992" w:gutter="0"/>
          <w:cols w:space="425"/>
          <w:titlePg/>
          <w:docGrid w:type="lines" w:linePitch="312"/>
        </w:sectPr>
      </w:pPr>
    </w:p>
    <w:p w14:paraId="65266AA8" w14:textId="1F0EB94C" w:rsidR="00C4455E" w:rsidRPr="007F298F" w:rsidRDefault="00C4455E" w:rsidP="00CA6445">
      <w:pPr>
        <w:spacing w:afterLines="50" w:after="156"/>
        <w:outlineLvl w:val="0"/>
        <w:rPr>
          <w:rFonts w:ascii="Times New Roman" w:eastAsia="黑体" w:hAnsi="Times New Roman" w:cs="Times New Roman"/>
          <w:color w:val="000000" w:themeColor="text1"/>
          <w:sz w:val="24"/>
          <w:szCs w:val="24"/>
        </w:rPr>
      </w:pPr>
      <w:r>
        <w:rPr>
          <w:rFonts w:ascii="Times New Roman" w:eastAsia="黑体" w:hAnsi="Times New Roman" w:cs="Times New Roman"/>
          <w:color w:val="000000" w:themeColor="text1"/>
          <w:sz w:val="24"/>
          <w:szCs w:val="24"/>
        </w:rPr>
        <w:lastRenderedPageBreak/>
        <w:t>2</w:t>
      </w:r>
      <w:r w:rsidRPr="007F298F">
        <w:rPr>
          <w:rFonts w:ascii="Times New Roman" w:eastAsia="黑体" w:hAnsi="Times New Roman" w:cs="Times New Roman"/>
          <w:color w:val="000000" w:themeColor="text1"/>
          <w:sz w:val="24"/>
          <w:szCs w:val="24"/>
        </w:rPr>
        <w:t xml:space="preserve"> </w:t>
      </w:r>
      <w:r w:rsidRPr="00C4455E">
        <w:rPr>
          <w:rFonts w:ascii="Times New Roman" w:eastAsia="黑体" w:hAnsi="Times New Roman" w:cs="Times New Roman" w:hint="eastAsia"/>
          <w:color w:val="000000" w:themeColor="text1"/>
          <w:sz w:val="24"/>
          <w:szCs w:val="24"/>
        </w:rPr>
        <w:t>光谱物理指纹的生成机理</w:t>
      </w:r>
    </w:p>
    <w:p w14:paraId="46599742" w14:textId="577C04A0" w:rsidR="00C4455E" w:rsidRPr="00C4455E" w:rsidRDefault="00C4455E" w:rsidP="00CA6445">
      <w:pPr>
        <w:pStyle w:val="ac"/>
        <w:spacing w:before="0" w:beforeAutospacing="0" w:afterLines="50" w:after="156" w:afterAutospacing="0"/>
        <w:ind w:firstLine="420"/>
        <w:jc w:val="both"/>
        <w:rPr>
          <w:color w:val="1F1F1F"/>
          <w:sz w:val="21"/>
          <w:szCs w:val="21"/>
        </w:rPr>
      </w:pPr>
      <w:r w:rsidRPr="00C4455E">
        <w:rPr>
          <w:color w:val="1F1F1F"/>
          <w:sz w:val="21"/>
          <w:szCs w:val="21"/>
        </w:rPr>
        <w:t>光谱感知技术的理论基础在于提取光信号中固有的、具备唯一性与不可复制性的“物理指纹”。作为光信号在频域的宏观表征，光谱映射了该信号生成及传输过程的物理状态[13]。光信号在演化周期中，受控于激光器、信号源、调制器等元器件的微观工作机制，并叠加了信道传输、网络串扰、时变老化以及测量设备响应等多重效应，在频域空间内表现出显著的数据特异性。</w:t>
      </w:r>
    </w:p>
    <w:p w14:paraId="4402156E" w14:textId="1EAFC357" w:rsidR="00C4455E" w:rsidRPr="00C4455E" w:rsidRDefault="00C4455E" w:rsidP="00CA6445">
      <w:pPr>
        <w:pStyle w:val="4"/>
        <w:spacing w:before="0" w:afterLines="50" w:after="156" w:line="240" w:lineRule="auto"/>
        <w:rPr>
          <w:rFonts w:ascii="宋体" w:eastAsia="宋体" w:hAnsi="宋体"/>
          <w:color w:val="1F1F1F"/>
          <w:sz w:val="21"/>
          <w:szCs w:val="21"/>
        </w:rPr>
      </w:pPr>
      <w:r w:rsidRPr="00C4455E">
        <w:rPr>
          <w:rFonts w:ascii="宋体" w:eastAsia="宋体" w:hAnsi="宋体"/>
          <w:color w:val="1F1F1F"/>
          <w:sz w:val="21"/>
          <w:szCs w:val="21"/>
        </w:rPr>
        <w:t>2.1 发射机</w:t>
      </w:r>
    </w:p>
    <w:p w14:paraId="1EFCFD2C" w14:textId="77777777" w:rsidR="00C4455E" w:rsidRPr="00C4455E" w:rsidRDefault="00C4455E" w:rsidP="00CA6445">
      <w:pPr>
        <w:pStyle w:val="ac"/>
        <w:spacing w:before="0" w:beforeAutospacing="0" w:afterLines="50" w:after="156" w:afterAutospacing="0"/>
        <w:ind w:firstLine="420"/>
        <w:jc w:val="both"/>
        <w:rPr>
          <w:color w:val="1F1F1F"/>
          <w:sz w:val="21"/>
          <w:szCs w:val="21"/>
        </w:rPr>
      </w:pPr>
      <w:r w:rsidRPr="00C4455E">
        <w:rPr>
          <w:color w:val="1F1F1F"/>
          <w:sz w:val="21"/>
          <w:szCs w:val="21"/>
        </w:rPr>
        <w:t>光发射机通常由半导体可调谐激光器、电信号发生源及电光调制器级联构成。受限于半导体制造工艺的物理极限，不同元器件在物理特性上存在统计学公差，这些差异在输出光谱上表现为多维度的特征映射：</w:t>
      </w:r>
    </w:p>
    <w:p w14:paraId="6A893D26" w14:textId="30C2AF4C" w:rsidR="00C4455E" w:rsidRPr="00C4455E" w:rsidRDefault="00C4455E" w:rsidP="00F577B5">
      <w:pPr>
        <w:pStyle w:val="ac"/>
        <w:spacing w:before="0" w:beforeAutospacing="0" w:afterLines="50" w:after="156" w:afterAutospacing="0"/>
        <w:ind w:firstLine="420"/>
        <w:jc w:val="both"/>
        <w:rPr>
          <w:color w:val="1F1F1F"/>
          <w:sz w:val="21"/>
          <w:szCs w:val="21"/>
        </w:rPr>
      </w:pPr>
      <w:r w:rsidRPr="00C4455E">
        <w:rPr>
          <w:b/>
          <w:bCs/>
          <w:color w:val="1F1F1F"/>
          <w:sz w:val="21"/>
          <w:szCs w:val="21"/>
          <w:bdr w:val="none" w:sz="0" w:space="0" w:color="auto" w:frame="1"/>
        </w:rPr>
        <w:t>光源线宽与本征噪声：</w:t>
      </w:r>
      <w:r w:rsidRPr="00C4455E">
        <w:rPr>
          <w:color w:val="1F1F1F"/>
          <w:sz w:val="21"/>
          <w:szCs w:val="21"/>
        </w:rPr>
        <w:t>实际半导体激光器在激射过程中产生的自发辐射跃迁会引入随机相位噪声与相对强度噪声[17]。上述本征噪声引发光谱中心波长的随机抖动，决定了光源的线宽展宽效应，并导致全频带噪声底的抬升。</w:t>
      </w:r>
    </w:p>
    <w:p w14:paraId="2DFBD58A" w14:textId="5BDD43EC" w:rsidR="00C4455E" w:rsidRPr="00C4455E" w:rsidRDefault="00C4455E" w:rsidP="00F577B5">
      <w:pPr>
        <w:pStyle w:val="ac"/>
        <w:spacing w:before="0" w:beforeAutospacing="0" w:afterLines="50" w:after="156" w:afterAutospacing="0"/>
        <w:ind w:firstLine="420"/>
        <w:jc w:val="both"/>
        <w:rPr>
          <w:color w:val="1F1F1F"/>
          <w:sz w:val="21"/>
          <w:szCs w:val="21"/>
        </w:rPr>
      </w:pPr>
      <w:r w:rsidRPr="00C4455E">
        <w:rPr>
          <w:b/>
          <w:bCs/>
          <w:color w:val="1F1F1F"/>
          <w:sz w:val="21"/>
          <w:szCs w:val="21"/>
          <w:bdr w:val="none" w:sz="0" w:space="0" w:color="auto" w:frame="1"/>
        </w:rPr>
        <w:t>信号源编码与速率特征：</w:t>
      </w:r>
      <w:r w:rsidRPr="00C4455E">
        <w:rPr>
          <w:color w:val="1F1F1F"/>
          <w:sz w:val="21"/>
          <w:szCs w:val="21"/>
        </w:rPr>
        <w:t>驱动电信号的生成机制直接影响光谱包络的宏观形态。信号源的编码形状（如RZ或NRZ格式）决定了频谱能量的集中分布特性；编码速率直接决定光谱主瓣的带宽及其在频带内的资源占用率[17]。此外，信号源电路的热噪声与散粒噪声会叠加于基带电信号，并随调制过程映射至光信号的低频频段[7]。</w:t>
      </w:r>
    </w:p>
    <w:p w14:paraId="313BD6D7" w14:textId="37CBC117" w:rsidR="00C4455E" w:rsidRPr="00C4455E" w:rsidRDefault="00C4455E" w:rsidP="00F577B5">
      <w:pPr>
        <w:pStyle w:val="ac"/>
        <w:spacing w:before="0" w:beforeAutospacing="0" w:afterLines="50" w:after="156" w:afterAutospacing="0"/>
        <w:ind w:firstLine="420"/>
        <w:jc w:val="both"/>
        <w:rPr>
          <w:color w:val="1F1F1F"/>
          <w:sz w:val="21"/>
          <w:szCs w:val="21"/>
        </w:rPr>
      </w:pPr>
      <w:r w:rsidRPr="00C4455E">
        <w:rPr>
          <w:b/>
          <w:bCs/>
          <w:color w:val="1F1F1F"/>
          <w:sz w:val="21"/>
          <w:szCs w:val="21"/>
          <w:bdr w:val="none" w:sz="0" w:space="0" w:color="auto" w:frame="1"/>
        </w:rPr>
        <w:t>调制器电光转换公差：</w:t>
      </w:r>
      <w:r w:rsidRPr="00C4455E">
        <w:rPr>
          <w:color w:val="1F1F1F"/>
          <w:sz w:val="21"/>
          <w:szCs w:val="21"/>
        </w:rPr>
        <w:t>调制器的非理想物理特性显著影响光谱的频域细节。其半波电压固有公差与实际驱动电压的匹配偏差，会改变电光转换的非线性工作区间；偏置电压的静态残差与动态温漂影响信号频域包络的滚降斜率，并可能激发特定频率的谐波分量[13]。</w:t>
      </w:r>
    </w:p>
    <w:p w14:paraId="5FADC96D" w14:textId="77777777" w:rsidR="00C4455E" w:rsidRPr="00C4455E" w:rsidRDefault="00C4455E" w:rsidP="00CA6445">
      <w:pPr>
        <w:pStyle w:val="ac"/>
        <w:spacing w:before="0" w:beforeAutospacing="0" w:afterLines="50" w:after="156" w:afterAutospacing="0"/>
        <w:ind w:firstLine="420"/>
        <w:jc w:val="both"/>
        <w:rPr>
          <w:color w:val="1F1F1F"/>
          <w:sz w:val="21"/>
          <w:szCs w:val="21"/>
        </w:rPr>
      </w:pPr>
      <w:r w:rsidRPr="00C4455E">
        <w:rPr>
          <w:color w:val="1F1F1F"/>
          <w:sz w:val="21"/>
          <w:szCs w:val="21"/>
        </w:rPr>
        <w:t>此外，多阶调制方式与格式各自具备特定的频域能量分布模式，结合调制器电极的噪声耦合效应，共同构建了发射端的频域物理指纹。</w:t>
      </w:r>
    </w:p>
    <w:p w14:paraId="291533D7" w14:textId="76DB5A7F" w:rsidR="00C4455E" w:rsidRPr="00C4455E" w:rsidRDefault="00C4455E" w:rsidP="00CA6445">
      <w:pPr>
        <w:pStyle w:val="4"/>
        <w:spacing w:before="0" w:afterLines="50" w:after="156" w:line="240" w:lineRule="auto"/>
        <w:rPr>
          <w:rFonts w:ascii="宋体" w:eastAsia="宋体" w:hAnsi="宋体"/>
          <w:color w:val="1F1F1F"/>
          <w:sz w:val="21"/>
          <w:szCs w:val="21"/>
        </w:rPr>
      </w:pPr>
      <w:r w:rsidRPr="00C4455E">
        <w:rPr>
          <w:rFonts w:ascii="宋体" w:eastAsia="宋体" w:hAnsi="宋体"/>
          <w:color w:val="1F1F1F"/>
          <w:sz w:val="21"/>
          <w:szCs w:val="21"/>
        </w:rPr>
        <w:lastRenderedPageBreak/>
        <w:t>2.2 传输链路</w:t>
      </w:r>
    </w:p>
    <w:p w14:paraId="2D727F65" w14:textId="77777777" w:rsidR="00C4455E" w:rsidRPr="00C4455E" w:rsidRDefault="00C4455E" w:rsidP="00CA6445">
      <w:pPr>
        <w:pStyle w:val="ac"/>
        <w:spacing w:before="0" w:beforeAutospacing="0" w:afterLines="50" w:after="156" w:afterAutospacing="0"/>
        <w:ind w:firstLine="420"/>
        <w:jc w:val="both"/>
        <w:rPr>
          <w:color w:val="1F1F1F"/>
          <w:sz w:val="21"/>
          <w:szCs w:val="21"/>
        </w:rPr>
      </w:pPr>
      <w:r w:rsidRPr="00C4455E">
        <w:rPr>
          <w:color w:val="1F1F1F"/>
          <w:sz w:val="21"/>
          <w:szCs w:val="21"/>
        </w:rPr>
        <w:t>光信号在长距离光纤链路传输过程中，其光谱特征会因信道的物理损伤效应而发生持续演化：</w:t>
      </w:r>
    </w:p>
    <w:p w14:paraId="1C8E19B0" w14:textId="142A5295" w:rsidR="00C4455E" w:rsidRPr="00C4455E" w:rsidRDefault="00C4455E" w:rsidP="00F577B5">
      <w:pPr>
        <w:pStyle w:val="ac"/>
        <w:spacing w:before="0" w:beforeAutospacing="0" w:afterLines="50" w:after="156" w:afterAutospacing="0"/>
        <w:ind w:firstLine="420"/>
        <w:jc w:val="both"/>
        <w:rPr>
          <w:color w:val="1F1F1F"/>
          <w:sz w:val="21"/>
          <w:szCs w:val="21"/>
        </w:rPr>
      </w:pPr>
      <w:r w:rsidRPr="00C4455E">
        <w:rPr>
          <w:b/>
          <w:bCs/>
          <w:color w:val="1F1F1F"/>
          <w:sz w:val="21"/>
          <w:szCs w:val="21"/>
          <w:bdr w:val="none" w:sz="0" w:space="0" w:color="auto" w:frame="1"/>
        </w:rPr>
        <w:t>级联滤波代价：</w:t>
      </w:r>
      <w:r w:rsidRPr="00C4455E">
        <w:rPr>
          <w:color w:val="1F1F1F"/>
          <w:sz w:val="21"/>
          <w:szCs w:val="21"/>
        </w:rPr>
        <w:t>信号在光网络节点间进行路由调度时，需多次途经ROADM内部的波长选择开关（WSS）[2]。由于WSS光学滤波器的带通响应并非理想平顶矩形，多次级联穿透会导致光谱两侧的高频分量受到连续衰减，形成具有特定陡降斜率的光谱边缘特征。</w:t>
      </w:r>
    </w:p>
    <w:p w14:paraId="127C402B" w14:textId="1EBB57F7" w:rsidR="00C4455E" w:rsidRPr="00C4455E" w:rsidRDefault="00C4455E" w:rsidP="00F577B5">
      <w:pPr>
        <w:pStyle w:val="ac"/>
        <w:spacing w:before="0" w:beforeAutospacing="0" w:afterLines="50" w:after="156" w:afterAutospacing="0"/>
        <w:ind w:firstLine="420"/>
        <w:jc w:val="both"/>
        <w:rPr>
          <w:color w:val="1F1F1F"/>
          <w:sz w:val="21"/>
          <w:szCs w:val="21"/>
        </w:rPr>
      </w:pPr>
      <w:r w:rsidRPr="00C4455E">
        <w:rPr>
          <w:b/>
          <w:bCs/>
          <w:color w:val="1F1F1F"/>
          <w:sz w:val="21"/>
          <w:szCs w:val="21"/>
          <w:bdr w:val="none" w:sz="0" w:space="0" w:color="auto" w:frame="1"/>
        </w:rPr>
        <w:t>放大器自发辐射（ASE）噪声累积：</w:t>
      </w:r>
      <w:r w:rsidRPr="00C4455E">
        <w:rPr>
          <w:color w:val="1F1F1F"/>
          <w:sz w:val="21"/>
          <w:szCs w:val="21"/>
        </w:rPr>
        <w:t>掺铒光纤放大器（EDFA）在补偿光纤衰减的过程中会引入宽带ASE噪声[16,17]。不同跨距的光纤链路与不同级联架构的放大器配置，会导致累积在业务信号上的ASE本底呈现出差异化的功率谱密度分布与倾斜特性。</w:t>
      </w:r>
    </w:p>
    <w:p w14:paraId="43B6732F" w14:textId="0E775C3A" w:rsidR="00C4455E" w:rsidRPr="00C4455E" w:rsidRDefault="00C4455E" w:rsidP="00F577B5">
      <w:pPr>
        <w:pStyle w:val="ac"/>
        <w:spacing w:before="0" w:beforeAutospacing="0" w:afterLines="50" w:after="156" w:afterAutospacing="0"/>
        <w:ind w:firstLine="420"/>
        <w:jc w:val="both"/>
        <w:rPr>
          <w:color w:val="1F1F1F"/>
          <w:sz w:val="21"/>
          <w:szCs w:val="21"/>
        </w:rPr>
      </w:pPr>
      <w:r w:rsidRPr="00C4455E">
        <w:rPr>
          <w:b/>
          <w:bCs/>
          <w:color w:val="1F1F1F"/>
          <w:sz w:val="21"/>
          <w:szCs w:val="21"/>
          <w:bdr w:val="none" w:sz="0" w:space="0" w:color="auto" w:frame="1"/>
        </w:rPr>
        <w:t>光纤色散与非线性损伤：</w:t>
      </w:r>
      <w:r w:rsidRPr="00C4455E">
        <w:rPr>
          <w:color w:val="1F1F1F"/>
          <w:sz w:val="21"/>
          <w:szCs w:val="21"/>
        </w:rPr>
        <w:t>在较高入纤功率条件下，基于克尔效应的光纤非线性相互作用（如自相位调制及交叉相位调制）会激发新的频率分量，导致光谱包络发生非对称展宽，并在频域内产生特定的纹波振荡现象[17]。</w:t>
      </w:r>
    </w:p>
    <w:p w14:paraId="496DA971" w14:textId="7AA3E84C" w:rsidR="00C4455E" w:rsidRPr="00C4455E" w:rsidRDefault="00C4455E" w:rsidP="00CA6445">
      <w:pPr>
        <w:pStyle w:val="4"/>
        <w:spacing w:before="0" w:afterLines="50" w:after="156" w:line="240" w:lineRule="auto"/>
        <w:rPr>
          <w:rFonts w:ascii="宋体" w:eastAsia="宋体" w:hAnsi="宋体"/>
          <w:color w:val="1F1F1F"/>
          <w:sz w:val="21"/>
          <w:szCs w:val="21"/>
        </w:rPr>
      </w:pPr>
      <w:r w:rsidRPr="00C4455E">
        <w:rPr>
          <w:rFonts w:ascii="宋体" w:eastAsia="宋体" w:hAnsi="宋体"/>
          <w:color w:val="1F1F1F"/>
          <w:sz w:val="21"/>
          <w:szCs w:val="21"/>
        </w:rPr>
        <w:t>2.3 网络交互</w:t>
      </w:r>
    </w:p>
    <w:p w14:paraId="0F0A25F3" w14:textId="77777777" w:rsidR="00C4455E" w:rsidRPr="00C4455E" w:rsidRDefault="00C4455E" w:rsidP="00CA6445">
      <w:pPr>
        <w:pStyle w:val="ac"/>
        <w:spacing w:before="0" w:beforeAutospacing="0" w:afterLines="50" w:after="156" w:afterAutospacing="0"/>
        <w:ind w:firstLine="420"/>
        <w:jc w:val="both"/>
        <w:rPr>
          <w:color w:val="1F1F1F"/>
          <w:sz w:val="21"/>
          <w:szCs w:val="21"/>
        </w:rPr>
      </w:pPr>
      <w:r w:rsidRPr="00C4455E">
        <w:rPr>
          <w:color w:val="1F1F1F"/>
          <w:sz w:val="21"/>
          <w:szCs w:val="21"/>
        </w:rPr>
        <w:t>在全光网状拓扑中，光谱特征同时受制于网络节点间的交互作用及潜在的物理层干扰：</w:t>
      </w:r>
    </w:p>
    <w:p w14:paraId="135EA336" w14:textId="77777777" w:rsidR="00C4455E" w:rsidRPr="00C4455E" w:rsidRDefault="00C4455E" w:rsidP="00CA6445">
      <w:pPr>
        <w:pStyle w:val="ac"/>
        <w:spacing w:before="0" w:beforeAutospacing="0" w:afterLines="50" w:after="156" w:afterAutospacing="0"/>
        <w:jc w:val="both"/>
        <w:rPr>
          <w:color w:val="1F1F1F"/>
          <w:sz w:val="21"/>
          <w:szCs w:val="21"/>
        </w:rPr>
      </w:pPr>
      <w:r w:rsidRPr="00C4455E">
        <w:rPr>
          <w:b/>
          <w:bCs/>
          <w:color w:val="1F1F1F"/>
          <w:sz w:val="21"/>
          <w:szCs w:val="21"/>
          <w:bdr w:val="none" w:sz="0" w:space="0" w:color="auto" w:frame="1"/>
        </w:rPr>
        <w:t>带内与带外串扰畸变：</w:t>
      </w:r>
      <w:r w:rsidRPr="00C4455E">
        <w:rPr>
          <w:color w:val="1F1F1F"/>
          <w:sz w:val="21"/>
          <w:szCs w:val="21"/>
        </w:rPr>
        <w:t>光信号在路由交叉点易受节点开关串扰或相邻信道耦合的影响[18]。目标光信号在遭受串扰干扰后，其频域形貌会发生畸变，表现在高维特征空间内即为样本分布重心的偏移。</w:t>
      </w:r>
    </w:p>
    <w:p w14:paraId="30A8107B" w14:textId="6FAB4AF0" w:rsidR="00C4455E" w:rsidRPr="00C4455E" w:rsidRDefault="00C4455E" w:rsidP="00CA6445">
      <w:pPr>
        <w:pStyle w:val="ac"/>
        <w:spacing w:before="0" w:beforeAutospacing="0" w:afterLines="50" w:after="156" w:afterAutospacing="0"/>
        <w:jc w:val="both"/>
        <w:rPr>
          <w:color w:val="1F1F1F"/>
          <w:sz w:val="21"/>
          <w:szCs w:val="21"/>
        </w:rPr>
      </w:pPr>
      <w:r w:rsidRPr="00C4455E">
        <w:rPr>
          <w:b/>
          <w:bCs/>
          <w:color w:val="1F1F1F"/>
          <w:sz w:val="21"/>
          <w:szCs w:val="21"/>
          <w:bdr w:val="none" w:sz="0" w:space="0" w:color="auto" w:frame="1"/>
        </w:rPr>
        <w:t>阻塞攻击与增益竞争：</w:t>
      </w:r>
      <w:r w:rsidRPr="00C4455E">
        <w:rPr>
          <w:color w:val="1F1F1F"/>
          <w:sz w:val="21"/>
          <w:szCs w:val="21"/>
        </w:rPr>
        <w:t>当向光传输信道注入大功率阻塞信号或遭受恶意的DoS流量攻击时，会引发通道间强烈的串扰与EDFA增益竞争[5,6]。此类现象会导致同一链路内合法业务信号的光谱峰值功率衰减及噪声基底发生瞬态劣化。</w:t>
      </w:r>
    </w:p>
    <w:p w14:paraId="3A8D0B90" w14:textId="3FE977C0" w:rsidR="00C4455E" w:rsidRPr="00C4455E" w:rsidRDefault="00C4455E" w:rsidP="00CA6445">
      <w:pPr>
        <w:pStyle w:val="4"/>
        <w:spacing w:before="0" w:afterLines="50" w:after="156" w:line="240" w:lineRule="auto"/>
        <w:rPr>
          <w:rFonts w:ascii="宋体" w:eastAsia="宋体" w:hAnsi="宋体"/>
          <w:color w:val="1F1F1F"/>
          <w:sz w:val="21"/>
          <w:szCs w:val="21"/>
        </w:rPr>
      </w:pPr>
      <w:r w:rsidRPr="00C4455E">
        <w:rPr>
          <w:rFonts w:ascii="宋体" w:eastAsia="宋体" w:hAnsi="宋体"/>
          <w:color w:val="1F1F1F"/>
          <w:sz w:val="21"/>
          <w:szCs w:val="21"/>
        </w:rPr>
        <w:t>2.4 时变演化</w:t>
      </w:r>
    </w:p>
    <w:p w14:paraId="500154B9" w14:textId="1838F3E4" w:rsidR="00C4455E" w:rsidRPr="00C4455E" w:rsidRDefault="00C4455E" w:rsidP="00CA6445">
      <w:pPr>
        <w:pStyle w:val="ac"/>
        <w:spacing w:before="0" w:beforeAutospacing="0" w:afterLines="50" w:after="156" w:afterAutospacing="0"/>
        <w:ind w:firstLine="420"/>
        <w:jc w:val="both"/>
        <w:rPr>
          <w:color w:val="1F1F1F"/>
          <w:sz w:val="21"/>
          <w:szCs w:val="21"/>
        </w:rPr>
      </w:pPr>
      <w:r w:rsidRPr="00C4455E">
        <w:rPr>
          <w:color w:val="1F1F1F"/>
          <w:sz w:val="21"/>
          <w:szCs w:val="21"/>
        </w:rPr>
        <w:t>光通信系统作为非平稳物理系统，其光谱特征表现出时间演化规律</w:t>
      </w:r>
      <w:r w:rsidR="00667805" w:rsidRPr="00C4455E">
        <w:rPr>
          <w:color w:val="1F1F1F"/>
          <w:sz w:val="21"/>
          <w:szCs w:val="21"/>
        </w:rPr>
        <w:t xml:space="preserve"> </w:t>
      </w:r>
      <w:r w:rsidRPr="00C4455E">
        <w:rPr>
          <w:color w:val="1F1F1F"/>
          <w:sz w:val="21"/>
          <w:szCs w:val="21"/>
        </w:rPr>
        <w:t>[19]：</w:t>
      </w:r>
    </w:p>
    <w:p w14:paraId="5E1C2D00" w14:textId="77777777" w:rsidR="00C4455E" w:rsidRPr="00C4455E" w:rsidRDefault="00C4455E" w:rsidP="00F577B5">
      <w:pPr>
        <w:pStyle w:val="ac"/>
        <w:spacing w:before="0" w:beforeAutospacing="0" w:afterLines="50" w:after="156" w:afterAutospacing="0"/>
        <w:ind w:firstLine="420"/>
        <w:jc w:val="both"/>
        <w:rPr>
          <w:color w:val="1F1F1F"/>
          <w:sz w:val="21"/>
          <w:szCs w:val="21"/>
        </w:rPr>
      </w:pPr>
      <w:r w:rsidRPr="00C4455E">
        <w:rPr>
          <w:b/>
          <w:bCs/>
          <w:color w:val="1F1F1F"/>
          <w:sz w:val="21"/>
          <w:szCs w:val="21"/>
          <w:bdr w:val="none" w:sz="0" w:space="0" w:color="auto" w:frame="1"/>
        </w:rPr>
        <w:t>器件物理老化：</w:t>
      </w:r>
      <w:r w:rsidRPr="00C4455E">
        <w:rPr>
          <w:color w:val="1F1F1F"/>
          <w:sz w:val="21"/>
          <w:szCs w:val="21"/>
        </w:rPr>
        <w:t>伴随光收发模块的长期运行，半导体激光器谐振腔等结构的老化会导致其输出光谱特征在时间维度上产生不可逆的缓慢漂移与形态变异。</w:t>
      </w:r>
    </w:p>
    <w:p w14:paraId="79F73323" w14:textId="77777777" w:rsidR="00C4455E" w:rsidRPr="00C4455E" w:rsidRDefault="00C4455E" w:rsidP="00F577B5">
      <w:pPr>
        <w:pStyle w:val="ac"/>
        <w:spacing w:before="0" w:beforeAutospacing="0" w:afterLines="50" w:after="156" w:afterAutospacing="0"/>
        <w:ind w:firstLine="420"/>
        <w:jc w:val="both"/>
        <w:rPr>
          <w:color w:val="1F1F1F"/>
          <w:sz w:val="21"/>
          <w:szCs w:val="21"/>
        </w:rPr>
      </w:pPr>
      <w:r w:rsidRPr="00C4455E">
        <w:rPr>
          <w:b/>
          <w:bCs/>
          <w:color w:val="1F1F1F"/>
          <w:sz w:val="21"/>
          <w:szCs w:val="21"/>
          <w:bdr w:val="none" w:sz="0" w:space="0" w:color="auto" w:frame="1"/>
        </w:rPr>
        <w:t>环境温漂与物理应力缓变：</w:t>
      </w:r>
      <w:r w:rsidRPr="00C4455E">
        <w:rPr>
          <w:color w:val="1F1F1F"/>
          <w:sz w:val="21"/>
          <w:szCs w:val="21"/>
        </w:rPr>
        <w:t>调制器偏置电阻的长期温度漂移，以及外部光缆敷设环境（如地质沉降、季节温度交替）引起的物理应力变化，均会触发光谱包络的动态演化[19]。</w:t>
      </w:r>
    </w:p>
    <w:p w14:paraId="1B71B343" w14:textId="1A9A49FC" w:rsidR="00C4455E" w:rsidRPr="00C4455E" w:rsidRDefault="00C4455E" w:rsidP="00CA6445">
      <w:pPr>
        <w:pStyle w:val="4"/>
        <w:spacing w:before="0" w:afterLines="50" w:after="156" w:line="240" w:lineRule="auto"/>
        <w:rPr>
          <w:rFonts w:ascii="宋体" w:eastAsia="宋体" w:hAnsi="宋体"/>
          <w:color w:val="1F1F1F"/>
          <w:sz w:val="21"/>
          <w:szCs w:val="21"/>
        </w:rPr>
      </w:pPr>
      <w:r w:rsidRPr="00C4455E">
        <w:rPr>
          <w:rFonts w:ascii="宋体" w:eastAsia="宋体" w:hAnsi="宋体"/>
          <w:color w:val="1F1F1F"/>
          <w:sz w:val="21"/>
          <w:szCs w:val="21"/>
        </w:rPr>
        <w:t>2.5 感知测量</w:t>
      </w:r>
    </w:p>
    <w:p w14:paraId="73F6DA64" w14:textId="77777777" w:rsidR="00C4455E" w:rsidRPr="00C4455E" w:rsidRDefault="00C4455E" w:rsidP="00CA6445">
      <w:pPr>
        <w:pStyle w:val="ac"/>
        <w:spacing w:before="0" w:beforeAutospacing="0" w:afterLines="50" w:after="156" w:afterAutospacing="0"/>
        <w:ind w:firstLine="420"/>
        <w:jc w:val="both"/>
        <w:rPr>
          <w:color w:val="1F1F1F"/>
          <w:sz w:val="21"/>
          <w:szCs w:val="21"/>
        </w:rPr>
      </w:pPr>
      <w:r w:rsidRPr="00C4455E">
        <w:rPr>
          <w:color w:val="1F1F1F"/>
          <w:sz w:val="21"/>
          <w:szCs w:val="21"/>
        </w:rPr>
        <w:t>数字空间中重构的光谱数据，其保真度受限于遥测传感设备的物理特性：</w:t>
      </w:r>
    </w:p>
    <w:p w14:paraId="455CAF65" w14:textId="034DFFBE" w:rsidR="00A5202D" w:rsidRDefault="00705EA5" w:rsidP="00F577B5">
      <w:pPr>
        <w:spacing w:afterLines="50" w:after="156"/>
        <w:ind w:firstLine="420"/>
        <w:rPr>
          <w:rFonts w:ascii="宋体" w:eastAsia="宋体" w:hAnsi="宋体"/>
          <w:color w:val="1F1F1F"/>
          <w:szCs w:val="21"/>
        </w:rPr>
      </w:pPr>
      <w:r>
        <w:rPr>
          <w:rFonts w:ascii="宋体" w:eastAsia="宋体" w:hAnsi="宋体" w:hint="eastAsia"/>
          <w:b/>
          <w:bCs/>
          <w:color w:val="1F1F1F"/>
          <w:szCs w:val="21"/>
          <w:bdr w:val="none" w:sz="0" w:space="0" w:color="auto" w:frame="1"/>
        </w:rPr>
        <w:t>感知设备</w:t>
      </w:r>
      <w:r w:rsidR="00C4455E" w:rsidRPr="00C4455E">
        <w:rPr>
          <w:rFonts w:ascii="宋体" w:eastAsia="宋体" w:hAnsi="宋体"/>
          <w:b/>
          <w:bCs/>
          <w:color w:val="1F1F1F"/>
          <w:szCs w:val="21"/>
          <w:bdr w:val="none" w:sz="0" w:space="0" w:color="auto" w:frame="1"/>
        </w:rPr>
        <w:t>异构性与观测误差：</w:t>
      </w:r>
      <w:r w:rsidR="00C4455E" w:rsidRPr="00C4455E">
        <w:rPr>
          <w:rFonts w:ascii="宋体" w:eastAsia="宋体" w:hAnsi="宋体"/>
          <w:color w:val="1F1F1F"/>
          <w:szCs w:val="21"/>
        </w:rPr>
        <w:t>在多厂商</w:t>
      </w:r>
      <w:r w:rsidR="004813E6">
        <w:rPr>
          <w:rFonts w:ascii="宋体" w:eastAsia="宋体" w:hAnsi="宋体" w:hint="eastAsia"/>
          <w:color w:val="1F1F1F"/>
          <w:szCs w:val="21"/>
        </w:rPr>
        <w:t>设备</w:t>
      </w:r>
      <w:r w:rsidR="00C4455E" w:rsidRPr="00C4455E">
        <w:rPr>
          <w:rFonts w:ascii="宋体" w:eastAsia="宋体" w:hAnsi="宋体"/>
          <w:color w:val="1F1F1F"/>
          <w:szCs w:val="21"/>
        </w:rPr>
        <w:t>组网环境中，各类光谱分析仪受限于自身衍射光栅的设计结构及制造工艺差异，在处理同一光信号时会输出存在系统性偏差的观测数据[16,20]。该硬件异构性影响光谱的分辨率表现和包络平滑度，从而降低全网感知数据的统计学一致性。</w:t>
      </w:r>
    </w:p>
    <w:p w14:paraId="29C852DD" w14:textId="77777777" w:rsidR="00B66023" w:rsidRPr="00C4455E" w:rsidRDefault="00B66023" w:rsidP="00CA6445">
      <w:pPr>
        <w:spacing w:afterLines="50" w:after="156"/>
        <w:rPr>
          <w:rFonts w:ascii="宋体" w:eastAsia="宋体" w:hAnsi="宋体" w:cs="Times New Roman"/>
          <w:color w:val="000000" w:themeColor="text1"/>
          <w:szCs w:val="21"/>
        </w:rPr>
      </w:pPr>
    </w:p>
    <w:p w14:paraId="7B765358" w14:textId="38CCFD9F" w:rsidR="00C4455E" w:rsidRPr="007F298F" w:rsidRDefault="00C4455E" w:rsidP="00CA6445">
      <w:pPr>
        <w:spacing w:afterLines="50" w:after="156"/>
        <w:outlineLvl w:val="0"/>
        <w:rPr>
          <w:rFonts w:ascii="Times New Roman" w:eastAsia="黑体" w:hAnsi="Times New Roman" w:cs="Times New Roman"/>
          <w:color w:val="000000" w:themeColor="text1"/>
          <w:sz w:val="24"/>
          <w:szCs w:val="24"/>
        </w:rPr>
      </w:pPr>
      <w:r>
        <w:rPr>
          <w:rFonts w:ascii="Times New Roman" w:eastAsia="黑体" w:hAnsi="Times New Roman" w:cs="Times New Roman"/>
          <w:color w:val="000000" w:themeColor="text1"/>
          <w:sz w:val="24"/>
          <w:szCs w:val="24"/>
        </w:rPr>
        <w:t>3</w:t>
      </w:r>
      <w:r w:rsidRPr="007F298F">
        <w:rPr>
          <w:rFonts w:ascii="Times New Roman" w:eastAsia="黑体" w:hAnsi="Times New Roman" w:cs="Times New Roman"/>
          <w:color w:val="000000" w:themeColor="text1"/>
          <w:sz w:val="24"/>
          <w:szCs w:val="24"/>
        </w:rPr>
        <w:t xml:space="preserve"> </w:t>
      </w:r>
      <w:r w:rsidR="00707C65">
        <w:rPr>
          <w:rFonts w:ascii="Times New Roman" w:eastAsia="黑体" w:hAnsi="Times New Roman" w:cs="Times New Roman" w:hint="eastAsia"/>
          <w:color w:val="000000" w:themeColor="text1"/>
          <w:sz w:val="24"/>
          <w:szCs w:val="24"/>
        </w:rPr>
        <w:t>基于光谱感知的</w:t>
      </w:r>
      <w:r w:rsidR="008E6FEA">
        <w:rPr>
          <w:rFonts w:ascii="Times New Roman" w:eastAsia="黑体" w:hAnsi="Times New Roman" w:cs="Times New Roman" w:hint="eastAsia"/>
          <w:color w:val="000000" w:themeColor="text1"/>
          <w:sz w:val="24"/>
          <w:szCs w:val="24"/>
        </w:rPr>
        <w:t>数字孪生</w:t>
      </w:r>
      <w:r w:rsidRPr="00C4455E">
        <w:rPr>
          <w:rFonts w:ascii="Times New Roman" w:eastAsia="黑体" w:hAnsi="Times New Roman" w:cs="Times New Roman" w:hint="eastAsia"/>
          <w:color w:val="000000" w:themeColor="text1"/>
          <w:sz w:val="24"/>
          <w:szCs w:val="24"/>
        </w:rPr>
        <w:t>智能运维核心</w:t>
      </w:r>
      <w:r w:rsidR="00667805">
        <w:rPr>
          <w:rFonts w:ascii="Times New Roman" w:eastAsia="黑体" w:hAnsi="Times New Roman" w:cs="Times New Roman" w:hint="eastAsia"/>
          <w:color w:val="000000" w:themeColor="text1"/>
          <w:sz w:val="24"/>
          <w:szCs w:val="24"/>
        </w:rPr>
        <w:t>模块</w:t>
      </w:r>
    </w:p>
    <w:p w14:paraId="5B0C1D5C" w14:textId="45DAA590" w:rsidR="00667805" w:rsidRPr="00667805" w:rsidRDefault="00667805" w:rsidP="00CA6445">
      <w:pPr>
        <w:pStyle w:val="ac"/>
        <w:spacing w:before="0" w:beforeAutospacing="0" w:after="50" w:afterAutospacing="0"/>
        <w:ind w:firstLine="420"/>
        <w:jc w:val="both"/>
        <w:rPr>
          <w:color w:val="1F1F1F"/>
          <w:sz w:val="21"/>
          <w:szCs w:val="21"/>
        </w:rPr>
      </w:pPr>
      <w:bookmarkStart w:id="8" w:name="_Hlk230358597"/>
      <w:r w:rsidRPr="00667805">
        <w:rPr>
          <w:rFonts w:cstheme="minorBidi"/>
          <w:color w:val="1F1F1F"/>
          <w:kern w:val="2"/>
          <w:sz w:val="21"/>
          <w:szCs w:val="21"/>
        </w:rPr>
        <w:lastRenderedPageBreak/>
        <w:t>在DTON管控中心，将底层的物理演化机理转化为工程自动化的防御与运维能力，需依托</w:t>
      </w:r>
      <w:r w:rsidR="003724FD" w:rsidRPr="00667805">
        <w:rPr>
          <w:color w:val="1F1F1F"/>
          <w:sz w:val="21"/>
          <w:szCs w:val="21"/>
        </w:rPr>
        <w:t>感知</w:t>
      </w:r>
      <w:r w:rsidR="003724FD">
        <w:rPr>
          <w:rFonts w:hint="eastAsia"/>
          <w:color w:val="1F1F1F"/>
          <w:sz w:val="21"/>
          <w:szCs w:val="21"/>
        </w:rPr>
        <w:t>、数据</w:t>
      </w:r>
      <w:r w:rsidR="003724FD" w:rsidRPr="00667805">
        <w:rPr>
          <w:color w:val="1F1F1F"/>
          <w:sz w:val="21"/>
          <w:szCs w:val="21"/>
        </w:rPr>
        <w:t>预处理</w:t>
      </w:r>
      <w:r w:rsidR="003724FD">
        <w:rPr>
          <w:rFonts w:hint="eastAsia"/>
          <w:color w:val="1F1F1F"/>
          <w:sz w:val="21"/>
          <w:szCs w:val="21"/>
        </w:rPr>
        <w:t>、数据</w:t>
      </w:r>
      <w:r w:rsidR="003724FD" w:rsidRPr="00667805">
        <w:rPr>
          <w:color w:val="1F1F1F"/>
          <w:sz w:val="21"/>
          <w:szCs w:val="21"/>
        </w:rPr>
        <w:t>降维</w:t>
      </w:r>
      <w:r w:rsidR="003724FD">
        <w:rPr>
          <w:rFonts w:hint="eastAsia"/>
          <w:color w:val="1F1F1F"/>
          <w:sz w:val="21"/>
          <w:szCs w:val="21"/>
        </w:rPr>
        <w:t>、识别</w:t>
      </w:r>
      <w:r w:rsidR="003724FD" w:rsidRPr="00667805">
        <w:rPr>
          <w:color w:val="1F1F1F"/>
          <w:sz w:val="21"/>
          <w:szCs w:val="21"/>
        </w:rPr>
        <w:t>决策</w:t>
      </w:r>
      <w:r w:rsidRPr="00667805">
        <w:rPr>
          <w:rFonts w:cstheme="minorBidi"/>
          <w:color w:val="1F1F1F"/>
          <w:kern w:val="2"/>
          <w:sz w:val="21"/>
          <w:szCs w:val="21"/>
        </w:rPr>
        <w:t>四个核心数</w:t>
      </w:r>
      <w:r w:rsidRPr="00667805">
        <w:rPr>
          <w:color w:val="1F1F1F"/>
          <w:sz w:val="21"/>
          <w:szCs w:val="21"/>
        </w:rPr>
        <w:t>据处理</w:t>
      </w:r>
      <w:r w:rsidR="00016768">
        <w:rPr>
          <w:rFonts w:hint="eastAsia"/>
          <w:color w:val="1F1F1F"/>
          <w:sz w:val="21"/>
          <w:szCs w:val="21"/>
        </w:rPr>
        <w:t>模块</w:t>
      </w:r>
      <w:r w:rsidRPr="00667805">
        <w:rPr>
          <w:color w:val="1F1F1F"/>
          <w:sz w:val="21"/>
          <w:szCs w:val="21"/>
        </w:rPr>
        <w:t>。</w:t>
      </w:r>
    </w:p>
    <w:bookmarkEnd w:id="8"/>
    <w:p w14:paraId="7ACF35EC" w14:textId="68781FF4" w:rsidR="00667805" w:rsidRPr="00667805" w:rsidRDefault="00667805" w:rsidP="00CA6445">
      <w:pPr>
        <w:pStyle w:val="4"/>
        <w:spacing w:before="0" w:after="50" w:line="240" w:lineRule="auto"/>
        <w:rPr>
          <w:rFonts w:ascii="宋体" w:eastAsia="宋体" w:hAnsi="宋体"/>
          <w:color w:val="1F1F1F"/>
          <w:sz w:val="21"/>
          <w:szCs w:val="21"/>
        </w:rPr>
      </w:pPr>
      <w:r w:rsidRPr="00667805">
        <w:rPr>
          <w:rFonts w:ascii="宋体" w:eastAsia="宋体" w:hAnsi="宋体"/>
          <w:color w:val="1F1F1F"/>
          <w:sz w:val="21"/>
          <w:szCs w:val="21"/>
        </w:rPr>
        <w:t xml:space="preserve">3.1 </w:t>
      </w:r>
      <w:bookmarkStart w:id="9" w:name="OLE_LINK7"/>
      <w:bookmarkStart w:id="10" w:name="OLE_LINK8"/>
      <w:r w:rsidRPr="00667805">
        <w:rPr>
          <w:rFonts w:ascii="宋体" w:eastAsia="宋体" w:hAnsi="宋体"/>
          <w:color w:val="1F1F1F"/>
          <w:sz w:val="21"/>
          <w:szCs w:val="21"/>
        </w:rPr>
        <w:t>感知</w:t>
      </w:r>
      <w:bookmarkEnd w:id="9"/>
      <w:bookmarkEnd w:id="10"/>
      <w:r>
        <w:rPr>
          <w:rFonts w:ascii="宋体" w:eastAsia="宋体" w:hAnsi="宋体" w:hint="eastAsia"/>
          <w:color w:val="1F1F1F"/>
          <w:sz w:val="21"/>
          <w:szCs w:val="21"/>
        </w:rPr>
        <w:t>模块</w:t>
      </w:r>
    </w:p>
    <w:p w14:paraId="7A54A753" w14:textId="4AE054A0" w:rsidR="00667805" w:rsidRPr="00667805" w:rsidRDefault="00667805" w:rsidP="00CA6445">
      <w:pPr>
        <w:pStyle w:val="ac"/>
        <w:spacing w:before="0" w:beforeAutospacing="0" w:after="50" w:afterAutospacing="0"/>
        <w:ind w:firstLine="420"/>
        <w:jc w:val="both"/>
        <w:rPr>
          <w:color w:val="1F1F1F"/>
          <w:sz w:val="21"/>
          <w:szCs w:val="21"/>
        </w:rPr>
      </w:pPr>
      <w:r w:rsidRPr="00667805">
        <w:rPr>
          <w:color w:val="1F1F1F"/>
          <w:sz w:val="21"/>
          <w:szCs w:val="21"/>
        </w:rPr>
        <w:t>网络遥测节点通常部署光谱分析仪或相干接收机的频谱提取模块获取频域数据。该数字化过程受限于模数转换器（ADC）量化误差、光电探测器散粒噪声及光栅衍射极限的综合制约。相关研究表明，数据采集精度对DTON镜像保真度具有非线性影响：在低信噪比接收场景下，量化位深与测量噪声之间呈现耦合约束，通常情况下两者呈现“水桶效应”，即系统整体性能受限于较劣的一方[14</w:t>
      </w:r>
      <w:r w:rsidR="000366A7">
        <w:rPr>
          <w:color w:val="1F1F1F"/>
          <w:sz w:val="21"/>
          <w:szCs w:val="21"/>
        </w:rPr>
        <w:t>,</w:t>
      </w:r>
      <w:r w:rsidR="00D43D09">
        <w:rPr>
          <w:color w:val="1F1F1F"/>
          <w:sz w:val="21"/>
          <w:szCs w:val="21"/>
        </w:rPr>
        <w:t>23</w:t>
      </w:r>
      <w:r w:rsidRPr="00667805">
        <w:rPr>
          <w:color w:val="1F1F1F"/>
          <w:sz w:val="21"/>
          <w:szCs w:val="21"/>
        </w:rPr>
        <w:t>]。值得注意的是，在特定的信噪比区间内，适度降低的量化位深可利用ADC离散阶梯化的截断特性充当低通滤波器，抑制高频随机热噪声的干扰，保留表征物理指纹的低频主包络[</w:t>
      </w:r>
      <w:r w:rsidR="00D43D09">
        <w:rPr>
          <w:color w:val="1F1F1F"/>
          <w:sz w:val="21"/>
          <w:szCs w:val="21"/>
        </w:rPr>
        <w:t>23</w:t>
      </w:r>
      <w:r w:rsidRPr="00667805">
        <w:rPr>
          <w:color w:val="1F1F1F"/>
          <w:sz w:val="21"/>
          <w:szCs w:val="21"/>
        </w:rPr>
        <w:t>]。这一机制在算力受限的边缘感知节点能够提升特征提取算法的鲁棒性。</w:t>
      </w:r>
    </w:p>
    <w:p w14:paraId="1CA42074" w14:textId="2F2A9379" w:rsidR="00667805" w:rsidRPr="00667805" w:rsidRDefault="00667805" w:rsidP="00CA6445">
      <w:pPr>
        <w:pStyle w:val="4"/>
        <w:spacing w:before="0" w:after="50" w:line="240" w:lineRule="auto"/>
        <w:rPr>
          <w:rFonts w:ascii="宋体" w:eastAsia="宋体" w:hAnsi="宋体"/>
          <w:color w:val="1F1F1F"/>
          <w:sz w:val="21"/>
          <w:szCs w:val="21"/>
        </w:rPr>
      </w:pPr>
      <w:r w:rsidRPr="00667805">
        <w:rPr>
          <w:rFonts w:ascii="宋体" w:eastAsia="宋体" w:hAnsi="宋体"/>
          <w:color w:val="1F1F1F"/>
          <w:sz w:val="21"/>
          <w:szCs w:val="21"/>
        </w:rPr>
        <w:t xml:space="preserve">3.2 </w:t>
      </w:r>
      <w:r>
        <w:rPr>
          <w:rFonts w:ascii="宋体" w:eastAsia="宋体" w:hAnsi="宋体" w:hint="eastAsia"/>
          <w:color w:val="1F1F1F"/>
          <w:sz w:val="21"/>
          <w:szCs w:val="21"/>
        </w:rPr>
        <w:t>数据</w:t>
      </w:r>
      <w:r w:rsidRPr="00667805">
        <w:rPr>
          <w:rFonts w:ascii="宋体" w:eastAsia="宋体" w:hAnsi="宋体"/>
          <w:color w:val="1F1F1F"/>
          <w:sz w:val="21"/>
          <w:szCs w:val="21"/>
        </w:rPr>
        <w:t>预处理</w:t>
      </w:r>
      <w:r>
        <w:rPr>
          <w:rFonts w:ascii="宋体" w:eastAsia="宋体" w:hAnsi="宋体" w:hint="eastAsia"/>
          <w:color w:val="1F1F1F"/>
          <w:sz w:val="21"/>
          <w:szCs w:val="21"/>
        </w:rPr>
        <w:t>模块</w:t>
      </w:r>
    </w:p>
    <w:p w14:paraId="5F7DBB02" w14:textId="5F5EB684" w:rsidR="00667805" w:rsidRPr="00667805" w:rsidRDefault="00667805" w:rsidP="00CA6445">
      <w:pPr>
        <w:pStyle w:val="ac"/>
        <w:spacing w:before="0" w:beforeAutospacing="0" w:after="50" w:afterAutospacing="0"/>
        <w:ind w:firstLine="420"/>
        <w:jc w:val="both"/>
        <w:rPr>
          <w:color w:val="1F1F1F"/>
          <w:sz w:val="21"/>
          <w:szCs w:val="21"/>
        </w:rPr>
      </w:pPr>
      <w:r w:rsidRPr="00667805">
        <w:rPr>
          <w:color w:val="1F1F1F"/>
          <w:sz w:val="21"/>
          <w:szCs w:val="21"/>
        </w:rPr>
        <w:t>现网中绝对光功率的动态变化及环境温度波动易引发光信号中心波长的宏观漂移，包含此类干扰的原始测量数据直接用于模型训练会导致过拟合现象。因此，预处理阶段的目标是实现“环境参量解耦”[13]</w:t>
      </w:r>
      <w:r w:rsidR="00B66023">
        <w:rPr>
          <w:rFonts w:hint="eastAsia"/>
          <w:color w:val="1F1F1F"/>
          <w:sz w:val="21"/>
          <w:szCs w:val="21"/>
        </w:rPr>
        <w:t>，具体包括中心波长</w:t>
      </w:r>
      <w:r w:rsidR="00EF7651">
        <w:rPr>
          <w:rFonts w:hint="eastAsia"/>
          <w:color w:val="1F1F1F"/>
          <w:sz w:val="21"/>
          <w:szCs w:val="21"/>
        </w:rPr>
        <w:t>对齐</w:t>
      </w:r>
      <w:r w:rsidR="00B66023">
        <w:rPr>
          <w:rFonts w:hint="eastAsia"/>
          <w:color w:val="1F1F1F"/>
          <w:sz w:val="21"/>
          <w:szCs w:val="21"/>
        </w:rPr>
        <w:t>和</w:t>
      </w:r>
      <w:r w:rsidR="00EF7651">
        <w:rPr>
          <w:rFonts w:hint="eastAsia"/>
          <w:color w:val="1F1F1F"/>
          <w:sz w:val="21"/>
          <w:szCs w:val="21"/>
        </w:rPr>
        <w:t>功率</w:t>
      </w:r>
      <w:r w:rsidR="00B66023">
        <w:rPr>
          <w:rFonts w:hint="eastAsia"/>
          <w:color w:val="1F1F1F"/>
          <w:sz w:val="21"/>
          <w:szCs w:val="21"/>
        </w:rPr>
        <w:t>归一化</w:t>
      </w:r>
      <w:r w:rsidRPr="00667805">
        <w:rPr>
          <w:color w:val="1F1F1F"/>
          <w:sz w:val="21"/>
          <w:szCs w:val="21"/>
        </w:rPr>
        <w:t>：</w:t>
      </w:r>
    </w:p>
    <w:p w14:paraId="757C36C2" w14:textId="5FC3D6D7" w:rsidR="00667805" w:rsidRPr="00667805" w:rsidRDefault="00667805" w:rsidP="00F577B5">
      <w:pPr>
        <w:pStyle w:val="ac"/>
        <w:spacing w:before="0" w:beforeAutospacing="0" w:after="50" w:afterAutospacing="0"/>
        <w:ind w:firstLine="420"/>
        <w:jc w:val="both"/>
        <w:rPr>
          <w:color w:val="1F1F1F"/>
          <w:sz w:val="21"/>
          <w:szCs w:val="21"/>
        </w:rPr>
      </w:pPr>
      <w:r w:rsidRPr="00667805">
        <w:rPr>
          <w:b/>
          <w:bCs/>
          <w:color w:val="1F1F1F"/>
          <w:sz w:val="21"/>
          <w:szCs w:val="21"/>
          <w:bdr w:val="none" w:sz="0" w:space="0" w:color="auto" w:frame="1"/>
        </w:rPr>
        <w:t>中心</w:t>
      </w:r>
      <w:r w:rsidR="00B66023">
        <w:rPr>
          <w:rFonts w:hint="eastAsia"/>
          <w:b/>
          <w:bCs/>
          <w:color w:val="1F1F1F"/>
          <w:sz w:val="21"/>
          <w:szCs w:val="21"/>
          <w:bdr w:val="none" w:sz="0" w:space="0" w:color="auto" w:frame="1"/>
        </w:rPr>
        <w:t>波长</w:t>
      </w:r>
      <w:r w:rsidRPr="00667805">
        <w:rPr>
          <w:b/>
          <w:bCs/>
          <w:color w:val="1F1F1F"/>
          <w:sz w:val="21"/>
          <w:szCs w:val="21"/>
          <w:bdr w:val="none" w:sz="0" w:space="0" w:color="auto" w:frame="1"/>
        </w:rPr>
        <w:t>对齐：</w:t>
      </w:r>
      <w:r w:rsidRPr="00667805">
        <w:rPr>
          <w:color w:val="1F1F1F"/>
          <w:sz w:val="21"/>
          <w:szCs w:val="21"/>
        </w:rPr>
        <w:t>采用质心算法或寻峰算法准确定位并平移中心波长，以剥离环境温度漂移或波长调度引起的宏观频偏干扰。</w:t>
      </w:r>
    </w:p>
    <w:p w14:paraId="394D940F" w14:textId="17C4143F" w:rsidR="00667805" w:rsidRPr="00667805" w:rsidRDefault="00EF7651" w:rsidP="00F577B5">
      <w:pPr>
        <w:pStyle w:val="ac"/>
        <w:spacing w:before="0" w:beforeAutospacing="0" w:after="50" w:afterAutospacing="0"/>
        <w:ind w:firstLine="420"/>
        <w:jc w:val="both"/>
        <w:rPr>
          <w:color w:val="1F1F1F"/>
          <w:sz w:val="21"/>
          <w:szCs w:val="21"/>
        </w:rPr>
      </w:pPr>
      <w:r>
        <w:rPr>
          <w:rFonts w:hint="eastAsia"/>
          <w:b/>
          <w:bCs/>
          <w:color w:val="1F1F1F"/>
          <w:sz w:val="21"/>
          <w:szCs w:val="21"/>
          <w:bdr w:val="none" w:sz="0" w:space="0" w:color="auto" w:frame="1"/>
        </w:rPr>
        <w:t>功率</w:t>
      </w:r>
      <w:r w:rsidR="00667805" w:rsidRPr="00667805">
        <w:rPr>
          <w:b/>
          <w:bCs/>
          <w:color w:val="1F1F1F"/>
          <w:sz w:val="21"/>
          <w:szCs w:val="21"/>
          <w:bdr w:val="none" w:sz="0" w:space="0" w:color="auto" w:frame="1"/>
        </w:rPr>
        <w:t>归一化：</w:t>
      </w:r>
      <w:r w:rsidR="00667805" w:rsidRPr="00667805">
        <w:rPr>
          <w:color w:val="1F1F1F"/>
          <w:sz w:val="21"/>
          <w:szCs w:val="21"/>
        </w:rPr>
        <w:t>引入Z-Score标准化或极大极小归一化方法，消除光纤线路衰减及EDFA动态增益波动对光谱绝对幅值的干扰，使后续神经网络的权重分布聚焦于光谱频域包络的相对形状与微观演化特征。</w:t>
      </w:r>
    </w:p>
    <w:p w14:paraId="7035C65C" w14:textId="439E252B" w:rsidR="00667805" w:rsidRPr="00667805" w:rsidRDefault="00667805" w:rsidP="00CA6445">
      <w:pPr>
        <w:pStyle w:val="4"/>
        <w:spacing w:before="0" w:after="50" w:line="240" w:lineRule="auto"/>
        <w:rPr>
          <w:rFonts w:ascii="宋体" w:eastAsia="宋体" w:hAnsi="宋体"/>
          <w:color w:val="1F1F1F"/>
          <w:sz w:val="21"/>
          <w:szCs w:val="21"/>
        </w:rPr>
      </w:pPr>
      <w:r w:rsidRPr="00667805">
        <w:rPr>
          <w:rFonts w:ascii="宋体" w:eastAsia="宋体" w:hAnsi="宋体"/>
          <w:color w:val="1F1F1F"/>
          <w:sz w:val="21"/>
          <w:szCs w:val="21"/>
        </w:rPr>
        <w:t xml:space="preserve">3.3 </w:t>
      </w:r>
      <w:r w:rsidR="003724FD">
        <w:rPr>
          <w:rFonts w:ascii="宋体" w:eastAsia="宋体" w:hAnsi="宋体" w:hint="eastAsia"/>
          <w:color w:val="1F1F1F"/>
          <w:sz w:val="21"/>
          <w:szCs w:val="21"/>
        </w:rPr>
        <w:t>数据</w:t>
      </w:r>
      <w:r w:rsidRPr="00667805">
        <w:rPr>
          <w:rFonts w:ascii="宋体" w:eastAsia="宋体" w:hAnsi="宋体"/>
          <w:color w:val="1F1F1F"/>
          <w:sz w:val="21"/>
          <w:szCs w:val="21"/>
        </w:rPr>
        <w:t>降维</w:t>
      </w:r>
      <w:r>
        <w:rPr>
          <w:rFonts w:ascii="宋体" w:eastAsia="宋体" w:hAnsi="宋体" w:hint="eastAsia"/>
          <w:color w:val="1F1F1F"/>
          <w:sz w:val="21"/>
          <w:szCs w:val="21"/>
        </w:rPr>
        <w:t>模块</w:t>
      </w:r>
    </w:p>
    <w:p w14:paraId="4780D3D3" w14:textId="77777777" w:rsidR="00F577B5" w:rsidRDefault="00667805" w:rsidP="00F577B5">
      <w:pPr>
        <w:pStyle w:val="ac"/>
        <w:spacing w:before="0" w:beforeAutospacing="0" w:after="50" w:afterAutospacing="0"/>
        <w:ind w:firstLine="420"/>
        <w:jc w:val="both"/>
        <w:rPr>
          <w:color w:val="1F1F1F"/>
          <w:sz w:val="21"/>
          <w:szCs w:val="21"/>
        </w:rPr>
      </w:pPr>
      <w:r w:rsidRPr="00667805">
        <w:rPr>
          <w:color w:val="1F1F1F"/>
          <w:sz w:val="21"/>
          <w:szCs w:val="21"/>
        </w:rPr>
        <w:t>原始光谱数据的离散采样维度</w:t>
      </w:r>
      <w:r w:rsidR="00D90FFA">
        <w:rPr>
          <w:rFonts w:hint="eastAsia"/>
          <w:color w:val="1F1F1F"/>
          <w:sz w:val="21"/>
          <w:szCs w:val="21"/>
        </w:rPr>
        <w:t>可高达数千甚至数万</w:t>
      </w:r>
      <w:r w:rsidRPr="00667805">
        <w:rPr>
          <w:color w:val="1F1F1F"/>
          <w:sz w:val="21"/>
          <w:szCs w:val="21"/>
        </w:rPr>
        <w:t>，直接输入深度学习模型</w:t>
      </w:r>
      <w:r w:rsidR="00D90FFA">
        <w:rPr>
          <w:rFonts w:hint="eastAsia"/>
          <w:color w:val="1F1F1F"/>
          <w:sz w:val="21"/>
          <w:szCs w:val="21"/>
        </w:rPr>
        <w:t>会导致计算复杂度激增，并极易引发严重的过拟合问题</w:t>
      </w:r>
      <w:r w:rsidRPr="00667805">
        <w:rPr>
          <w:color w:val="1F1F1F"/>
          <w:sz w:val="21"/>
          <w:szCs w:val="21"/>
        </w:rPr>
        <w:t>。</w:t>
      </w:r>
    </w:p>
    <w:p w14:paraId="6B9A28B1" w14:textId="77777777" w:rsidR="00F577B5" w:rsidRDefault="00667805" w:rsidP="00F577B5">
      <w:pPr>
        <w:pStyle w:val="ac"/>
        <w:spacing w:before="0" w:beforeAutospacing="0" w:after="50" w:afterAutospacing="0"/>
        <w:ind w:firstLine="420"/>
        <w:jc w:val="both"/>
        <w:rPr>
          <w:color w:val="1F1F1F"/>
          <w:sz w:val="21"/>
          <w:szCs w:val="21"/>
        </w:rPr>
      </w:pPr>
      <w:r w:rsidRPr="00667805">
        <w:rPr>
          <w:b/>
          <w:bCs/>
          <w:color w:val="1F1F1F"/>
          <w:sz w:val="21"/>
          <w:szCs w:val="21"/>
          <w:bdr w:val="none" w:sz="0" w:space="0" w:color="auto" w:frame="1"/>
        </w:rPr>
        <w:t>主成分分析 (PCA)：</w:t>
      </w:r>
      <w:r w:rsidRPr="00667805">
        <w:rPr>
          <w:color w:val="1F1F1F"/>
          <w:sz w:val="21"/>
          <w:szCs w:val="21"/>
        </w:rPr>
        <w:t>通过计算高维数据的协方差矩阵并进行特征值分解，将高维光谱矩阵正交投射至少量核心主成分构成的低维特征子空间中，以降低模型的计算复杂度[21]。</w:t>
      </w:r>
    </w:p>
    <w:p w14:paraId="06E28001" w14:textId="02FAD3C0" w:rsidR="00667805" w:rsidRPr="00667805" w:rsidRDefault="00667805" w:rsidP="00F577B5">
      <w:pPr>
        <w:pStyle w:val="ac"/>
        <w:spacing w:before="0" w:beforeAutospacing="0" w:after="50" w:afterAutospacing="0"/>
        <w:ind w:firstLine="420"/>
        <w:jc w:val="both"/>
        <w:rPr>
          <w:color w:val="1F1F1F"/>
          <w:sz w:val="21"/>
          <w:szCs w:val="21"/>
        </w:rPr>
      </w:pPr>
      <w:r w:rsidRPr="00667805">
        <w:rPr>
          <w:b/>
          <w:bCs/>
          <w:color w:val="1F1F1F"/>
          <w:sz w:val="21"/>
          <w:szCs w:val="21"/>
          <w:bdr w:val="none" w:sz="0" w:space="0" w:color="auto" w:frame="1"/>
        </w:rPr>
        <w:t>特征评估指标 (BWCDR)：</w:t>
      </w:r>
      <w:r w:rsidRPr="00667805">
        <w:rPr>
          <w:color w:val="1F1F1F"/>
          <w:sz w:val="21"/>
          <w:szCs w:val="21"/>
        </w:rPr>
        <w:t>为量化评估降维特征的可区分性，研究中引入了“类间/类内距离比”（BWCDR）[13]。该指标通过计算特征空间内不同类别簇中心间的欧氏距离与类内样本分布紧密度的比值，为衡量特征工程的有效性及设定异常检测阈值提供了数学准则。</w:t>
      </w:r>
    </w:p>
    <w:p w14:paraId="3A554F5A" w14:textId="7B685B8C" w:rsidR="00667805" w:rsidRPr="00667805" w:rsidRDefault="00667805" w:rsidP="00CA6445">
      <w:pPr>
        <w:pStyle w:val="4"/>
        <w:spacing w:before="0" w:after="50" w:line="240" w:lineRule="auto"/>
        <w:rPr>
          <w:rFonts w:ascii="宋体" w:eastAsia="宋体" w:hAnsi="宋体"/>
          <w:color w:val="1F1F1F"/>
          <w:sz w:val="21"/>
          <w:szCs w:val="21"/>
        </w:rPr>
      </w:pPr>
      <w:r w:rsidRPr="00667805">
        <w:rPr>
          <w:rFonts w:ascii="宋体" w:eastAsia="宋体" w:hAnsi="宋体"/>
          <w:color w:val="1F1F1F"/>
          <w:sz w:val="21"/>
          <w:szCs w:val="21"/>
        </w:rPr>
        <w:t xml:space="preserve">3.4 </w:t>
      </w:r>
      <w:r w:rsidR="003724FD">
        <w:rPr>
          <w:rFonts w:ascii="宋体" w:eastAsia="宋体" w:hAnsi="宋体" w:hint="eastAsia"/>
          <w:color w:val="1F1F1F"/>
          <w:sz w:val="21"/>
          <w:szCs w:val="21"/>
        </w:rPr>
        <w:t>识别</w:t>
      </w:r>
      <w:r w:rsidRPr="00667805">
        <w:rPr>
          <w:rFonts w:ascii="宋体" w:eastAsia="宋体" w:hAnsi="宋体"/>
          <w:color w:val="1F1F1F"/>
          <w:sz w:val="21"/>
          <w:szCs w:val="21"/>
        </w:rPr>
        <w:t>决策</w:t>
      </w:r>
      <w:r>
        <w:rPr>
          <w:rFonts w:ascii="宋体" w:eastAsia="宋体" w:hAnsi="宋体" w:hint="eastAsia"/>
          <w:color w:val="1F1F1F"/>
          <w:sz w:val="21"/>
          <w:szCs w:val="21"/>
        </w:rPr>
        <w:t>模块</w:t>
      </w:r>
    </w:p>
    <w:p w14:paraId="3BC92038" w14:textId="77777777" w:rsidR="00F577B5" w:rsidRDefault="00667805" w:rsidP="00F577B5">
      <w:pPr>
        <w:pStyle w:val="ac"/>
        <w:spacing w:before="0" w:beforeAutospacing="0" w:after="50" w:afterAutospacing="0"/>
        <w:ind w:firstLine="420"/>
        <w:jc w:val="both"/>
        <w:rPr>
          <w:color w:val="1F1F1F"/>
          <w:sz w:val="21"/>
          <w:szCs w:val="21"/>
        </w:rPr>
      </w:pPr>
      <w:r w:rsidRPr="00667805">
        <w:rPr>
          <w:color w:val="1F1F1F"/>
          <w:sz w:val="21"/>
          <w:szCs w:val="21"/>
        </w:rPr>
        <w:t>完成特征空间映射后，安全管控系统调用分类器实施异常信号甄别[7]：</w:t>
      </w:r>
    </w:p>
    <w:p w14:paraId="33CDC33D" w14:textId="77777777" w:rsidR="00F577B5" w:rsidRDefault="00667805" w:rsidP="00F577B5">
      <w:pPr>
        <w:pStyle w:val="ac"/>
        <w:spacing w:before="0" w:beforeAutospacing="0" w:after="50" w:afterAutospacing="0"/>
        <w:ind w:firstLine="420"/>
        <w:jc w:val="both"/>
        <w:rPr>
          <w:color w:val="1F1F1F"/>
          <w:sz w:val="21"/>
          <w:szCs w:val="21"/>
        </w:rPr>
      </w:pPr>
      <w:r w:rsidRPr="00667805">
        <w:rPr>
          <w:b/>
          <w:bCs/>
          <w:color w:val="1F1F1F"/>
          <w:sz w:val="21"/>
          <w:szCs w:val="21"/>
          <w:bdr w:val="none" w:sz="0" w:space="0" w:color="auto" w:frame="1"/>
        </w:rPr>
        <w:t>支持向量机（SVM）：</w:t>
      </w:r>
      <w:r w:rsidRPr="00667805">
        <w:rPr>
          <w:color w:val="1F1F1F"/>
          <w:sz w:val="21"/>
          <w:szCs w:val="21"/>
        </w:rPr>
        <w:t>SVM在处理中小规模降维数据集时具有良好的超平面划分能力[22]。鉴于安全防御中未知攻击信号无法预先包含于训练集的限制，研究人员通过引入铰链损失函数的惩罚机制，将其转化为开集识别模型[13]。当测试样本在特征空间中偏离所有已知合法标签类簇的距离超出设定的安全阈值时，系统即判定该样本为未授权信号。</w:t>
      </w:r>
    </w:p>
    <w:p w14:paraId="7A81187C" w14:textId="4A3D7C13" w:rsidR="00667805" w:rsidRPr="00667805" w:rsidRDefault="00667805" w:rsidP="00F577B5">
      <w:pPr>
        <w:pStyle w:val="ac"/>
        <w:spacing w:before="0" w:beforeAutospacing="0" w:after="50" w:afterAutospacing="0"/>
        <w:ind w:firstLine="420"/>
        <w:jc w:val="both"/>
        <w:rPr>
          <w:color w:val="1F1F1F"/>
          <w:sz w:val="21"/>
          <w:szCs w:val="21"/>
        </w:rPr>
      </w:pPr>
      <w:r w:rsidRPr="00667805">
        <w:rPr>
          <w:b/>
          <w:bCs/>
          <w:color w:val="1F1F1F"/>
          <w:sz w:val="21"/>
          <w:szCs w:val="21"/>
          <w:bdr w:val="none" w:sz="0" w:space="0" w:color="auto" w:frame="1"/>
        </w:rPr>
        <w:t>一维卷积神经网络（1D-CNN）：</w:t>
      </w:r>
      <w:r w:rsidRPr="00667805">
        <w:rPr>
          <w:color w:val="1F1F1F"/>
          <w:sz w:val="21"/>
          <w:szCs w:val="21"/>
        </w:rPr>
        <w:t>针对叠加有非线性损伤与ASE噪声的复杂光谱序列，</w:t>
      </w:r>
      <w:r w:rsidR="00CF4720" w:rsidRPr="00CF4720">
        <w:rPr>
          <w:color w:val="1F1F1F"/>
          <w:sz w:val="21"/>
          <w:szCs w:val="21"/>
        </w:rPr>
        <w:t>1D-CNN架构通过一维卷积核在频谱维度上的滑动操作</w:t>
      </w:r>
      <w:r w:rsidRPr="00667805">
        <w:rPr>
          <w:color w:val="1F1F1F"/>
          <w:sz w:val="21"/>
          <w:szCs w:val="21"/>
        </w:rPr>
        <w:t>，结合非线性激活与池化操作，能够自主提取高阶抽象物理表征[13]。实验测试表明，1D-CNN在面对复杂信道劣化条件时，展现出优于SVM的泛化能力及识别精度。</w:t>
      </w:r>
    </w:p>
    <w:p w14:paraId="5B5239DA" w14:textId="44786D76" w:rsidR="00667805" w:rsidRPr="001052E2" w:rsidRDefault="00667805" w:rsidP="00CA6445">
      <w:pPr>
        <w:spacing w:afterLines="50" w:after="156"/>
        <w:rPr>
          <w:rFonts w:ascii="宋体" w:eastAsia="宋体" w:hAnsi="宋体"/>
          <w:color w:val="1F1F1F"/>
          <w:szCs w:val="21"/>
        </w:rPr>
      </w:pPr>
    </w:p>
    <w:p w14:paraId="5C873E89" w14:textId="3CB8D97C" w:rsidR="001052E2" w:rsidRPr="007F298F" w:rsidRDefault="001052E2" w:rsidP="00CA6445">
      <w:pPr>
        <w:spacing w:afterLines="50" w:after="156"/>
        <w:outlineLvl w:val="0"/>
        <w:rPr>
          <w:rFonts w:ascii="Times New Roman" w:eastAsia="黑体" w:hAnsi="Times New Roman" w:cs="Times New Roman"/>
          <w:color w:val="000000" w:themeColor="text1"/>
          <w:sz w:val="24"/>
          <w:szCs w:val="24"/>
        </w:rPr>
      </w:pPr>
      <w:r>
        <w:rPr>
          <w:rFonts w:ascii="Times New Roman" w:eastAsia="黑体" w:hAnsi="Times New Roman" w:cs="Times New Roman"/>
          <w:color w:val="000000" w:themeColor="text1"/>
          <w:sz w:val="24"/>
          <w:szCs w:val="24"/>
        </w:rPr>
        <w:t>4</w:t>
      </w:r>
      <w:r w:rsidRPr="007F298F">
        <w:rPr>
          <w:rFonts w:ascii="Times New Roman" w:eastAsia="黑体" w:hAnsi="Times New Roman" w:cs="Times New Roman"/>
          <w:color w:val="000000" w:themeColor="text1"/>
          <w:sz w:val="24"/>
          <w:szCs w:val="24"/>
        </w:rPr>
        <w:t xml:space="preserve"> </w:t>
      </w:r>
      <w:r w:rsidRPr="001052E2">
        <w:rPr>
          <w:rFonts w:ascii="Times New Roman" w:eastAsia="黑体" w:hAnsi="Times New Roman" w:cs="Times New Roman" w:hint="eastAsia"/>
          <w:color w:val="000000" w:themeColor="text1"/>
          <w:sz w:val="24"/>
          <w:szCs w:val="24"/>
        </w:rPr>
        <w:t>工程挑战与技术解决方案</w:t>
      </w:r>
    </w:p>
    <w:p w14:paraId="0FC184AB" w14:textId="0B761F74" w:rsidR="00DE5D36" w:rsidRDefault="00821842" w:rsidP="00CA6445">
      <w:pPr>
        <w:pStyle w:val="ac"/>
        <w:spacing w:before="0" w:beforeAutospacing="0" w:after="50" w:afterAutospacing="0"/>
        <w:ind w:firstLine="420"/>
        <w:jc w:val="both"/>
        <w:rPr>
          <w:color w:val="1F1F1F"/>
          <w:sz w:val="21"/>
          <w:szCs w:val="21"/>
        </w:rPr>
      </w:pPr>
      <w:r w:rsidRPr="00821842">
        <w:rPr>
          <w:rFonts w:hint="eastAsia"/>
          <w:color w:val="1F1F1F"/>
          <w:sz w:val="21"/>
          <w:szCs w:val="21"/>
        </w:rPr>
        <w:lastRenderedPageBreak/>
        <w:t>受限于多域现网环境的复杂性，</w:t>
      </w:r>
      <w:r w:rsidRPr="00821842">
        <w:rPr>
          <w:color w:val="1F1F1F"/>
          <w:sz w:val="21"/>
          <w:szCs w:val="21"/>
        </w:rPr>
        <w:t>DTON感知技术的工程化部署仍面临诸多瓶颈，亟需借助人工智能算法构建系统级的应对机制</w:t>
      </w:r>
      <w:r>
        <w:rPr>
          <w:rFonts w:hint="eastAsia"/>
          <w:color w:val="1F1F1F"/>
          <w:sz w:val="21"/>
          <w:szCs w:val="21"/>
        </w:rPr>
        <w:t>。</w:t>
      </w:r>
    </w:p>
    <w:p w14:paraId="694E6753" w14:textId="77777777" w:rsidR="001052E2" w:rsidRPr="001052E2" w:rsidRDefault="001052E2" w:rsidP="00CA6445">
      <w:pPr>
        <w:pStyle w:val="4"/>
        <w:spacing w:before="0" w:afterLines="50" w:after="156" w:line="240" w:lineRule="auto"/>
        <w:rPr>
          <w:rFonts w:ascii="宋体" w:eastAsia="宋体" w:hAnsi="宋体"/>
          <w:color w:val="1F1F1F"/>
          <w:sz w:val="21"/>
          <w:szCs w:val="21"/>
        </w:rPr>
      </w:pPr>
      <w:r w:rsidRPr="001052E2">
        <w:rPr>
          <w:rFonts w:ascii="宋体" w:eastAsia="宋体" w:hAnsi="宋体"/>
          <w:color w:val="1F1F1F"/>
          <w:sz w:val="21"/>
          <w:szCs w:val="21"/>
        </w:rPr>
        <w:t>4.1 多厂商异构设备的感知信息自适应校准</w:t>
      </w:r>
    </w:p>
    <w:p w14:paraId="7FDEC972" w14:textId="1A931DB2" w:rsidR="001052E2" w:rsidRPr="001052E2" w:rsidRDefault="001052E2" w:rsidP="00F577B5">
      <w:pPr>
        <w:pStyle w:val="ac"/>
        <w:spacing w:before="0" w:beforeAutospacing="0" w:afterLines="50" w:after="156" w:afterAutospacing="0"/>
        <w:ind w:firstLine="420"/>
        <w:jc w:val="both"/>
        <w:rPr>
          <w:color w:val="1F1F1F"/>
          <w:sz w:val="21"/>
          <w:szCs w:val="21"/>
        </w:rPr>
      </w:pPr>
      <w:r w:rsidRPr="001052E2">
        <w:rPr>
          <w:b/>
          <w:bCs/>
          <w:color w:val="1F1F1F"/>
          <w:sz w:val="21"/>
          <w:szCs w:val="21"/>
          <w:bdr w:val="none" w:sz="0" w:space="0" w:color="auto" w:frame="1"/>
        </w:rPr>
        <w:t>工程挑战：</w:t>
      </w:r>
      <w:r w:rsidRPr="001052E2">
        <w:rPr>
          <w:color w:val="1F1F1F"/>
          <w:sz w:val="21"/>
          <w:szCs w:val="21"/>
        </w:rPr>
        <w:t>开放的光网络通常呈现多厂商设备并存的异构化特征。不同厂商生产的光学传感器在衍射光栅物理构造及内部点扩散函数上存在差异，导致对同一光信号输出的光谱数据在分辨率、幅度与频域包络平滑度上呈现设备相关性畸变[20]。此类异构数据影响了数字孪生系统的全局数据一致性。</w:t>
      </w:r>
    </w:p>
    <w:p w14:paraId="2E8190F7" w14:textId="13FA25D7" w:rsidR="001A6608" w:rsidRDefault="001052E2" w:rsidP="00840DA4">
      <w:pPr>
        <w:pStyle w:val="ac"/>
        <w:spacing w:before="0" w:beforeAutospacing="0" w:after="0" w:afterAutospacing="0"/>
        <w:ind w:firstLine="420"/>
        <w:jc w:val="both"/>
        <w:rPr>
          <w:color w:val="1F1F1F"/>
          <w:sz w:val="21"/>
          <w:szCs w:val="21"/>
        </w:rPr>
      </w:pPr>
      <w:r w:rsidRPr="001052E2">
        <w:rPr>
          <w:b/>
          <w:bCs/>
          <w:color w:val="1F1F1F"/>
          <w:sz w:val="21"/>
          <w:szCs w:val="21"/>
          <w:bdr w:val="none" w:sz="0" w:space="0" w:color="auto" w:frame="1"/>
        </w:rPr>
        <w:t>解决机制：</w:t>
      </w:r>
      <w:r w:rsidRPr="001052E2">
        <w:rPr>
          <w:color w:val="1F1F1F"/>
          <w:sz w:val="21"/>
          <w:szCs w:val="21"/>
        </w:rPr>
        <w:t>传统的线性校准方法难以消除高维非线性测量畸变。研究人员设计了基于多层感知机（MLP）的高维特征校准模型，并引入了模型无关元学习（MAML）算法[</w:t>
      </w:r>
      <w:r w:rsidR="00840DA4">
        <w:rPr>
          <w:color w:val="1F1F1F"/>
          <w:sz w:val="21"/>
          <w:szCs w:val="21"/>
        </w:rPr>
        <w:t>20,</w:t>
      </w:r>
      <w:r w:rsidRPr="001052E2">
        <w:rPr>
          <w:color w:val="1F1F1F"/>
          <w:sz w:val="21"/>
          <w:szCs w:val="21"/>
        </w:rPr>
        <w:t>2</w:t>
      </w:r>
      <w:r w:rsidR="00D43D09">
        <w:rPr>
          <w:color w:val="1F1F1F"/>
          <w:sz w:val="21"/>
          <w:szCs w:val="21"/>
        </w:rPr>
        <w:t>4</w:t>
      </w:r>
      <w:r w:rsidR="00D43D09">
        <w:rPr>
          <w:rFonts w:hint="eastAsia"/>
          <w:color w:val="1F1F1F"/>
          <w:sz w:val="21"/>
          <w:szCs w:val="21"/>
        </w:rPr>
        <w:t>,</w:t>
      </w:r>
      <w:r w:rsidRPr="001052E2">
        <w:rPr>
          <w:color w:val="1F1F1F"/>
          <w:sz w:val="21"/>
          <w:szCs w:val="21"/>
        </w:rPr>
        <w:t>25]。MAML旨在通过多任务训练提取应对各类设备测量畸变的“元知识”[26]。</w:t>
      </w:r>
      <w:r w:rsidR="001A6608" w:rsidRPr="001A6608">
        <w:rPr>
          <w:rFonts w:hint="eastAsia"/>
          <w:color w:val="1F1F1F"/>
          <w:sz w:val="21"/>
          <w:szCs w:val="21"/>
        </w:rPr>
        <w:t>当网络扩容并接入不同厂商的新型传感设备时，自适应感知信息校准机制只需利用极少量的测试样本，</w:t>
      </w:r>
      <w:r w:rsidR="001A6608">
        <w:rPr>
          <w:rFonts w:hint="eastAsia"/>
          <w:color w:val="1F1F1F"/>
          <w:sz w:val="21"/>
          <w:szCs w:val="21"/>
        </w:rPr>
        <w:t>即可快速消除硬件差异带来的测量偏差，实现全网感知数据的精准对齐</w:t>
      </w:r>
      <w:r w:rsidR="00840DA4">
        <w:rPr>
          <w:rFonts w:hint="eastAsia"/>
          <w:color w:val="1F1F1F"/>
          <w:sz w:val="21"/>
          <w:szCs w:val="21"/>
        </w:rPr>
        <w:t>（图2）</w:t>
      </w:r>
      <w:r w:rsidR="001A6608" w:rsidRPr="001A6608">
        <w:rPr>
          <w:rFonts w:hint="eastAsia"/>
          <w:color w:val="1F1F1F"/>
          <w:sz w:val="21"/>
          <w:szCs w:val="21"/>
        </w:rPr>
        <w:t>。值得注意的是，这种利用</w:t>
      </w:r>
      <w:r w:rsidR="001A6608" w:rsidRPr="001A6608">
        <w:rPr>
          <w:color w:val="1F1F1F"/>
          <w:sz w:val="21"/>
          <w:szCs w:val="21"/>
        </w:rPr>
        <w:t>AI消除硬件异构性的孪生建模思想，不仅适用于核心网的光谱感知，目前也正被拓展应用至5G/6G毫米波光前传等更广泛的异构链路优化中[27]，这表明了该机制巨大的泛化潜力。</w:t>
      </w:r>
    </w:p>
    <w:p w14:paraId="6FCF30C2" w14:textId="2BC7910F" w:rsidR="00840DA4" w:rsidRDefault="00840DA4" w:rsidP="00840DA4">
      <w:pPr>
        <w:pStyle w:val="ac"/>
        <w:spacing w:before="0" w:beforeAutospacing="0" w:afterLines="50" w:after="156" w:afterAutospacing="0"/>
        <w:jc w:val="center"/>
        <w:rPr>
          <w:color w:val="1F1F1F"/>
          <w:sz w:val="21"/>
          <w:szCs w:val="21"/>
        </w:rPr>
      </w:pPr>
      <w:r w:rsidRPr="00840DA4">
        <w:rPr>
          <w:noProof/>
          <w:color w:val="1F1F1F"/>
          <w:sz w:val="21"/>
          <w:szCs w:val="21"/>
        </w:rPr>
        <w:drawing>
          <wp:inline distT="0" distB="0" distL="0" distR="0" wp14:anchorId="2727C242" wp14:editId="0658534A">
            <wp:extent cx="3648501" cy="1552755"/>
            <wp:effectExtent l="0" t="0" r="0" b="0"/>
            <wp:docPr id="1216" name="图片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 name="图片 1215"/>
                    <pic:cNvPicPr>
                      <a:picLocks noChangeAspect="1"/>
                    </pic:cNvPicPr>
                  </pic:nvPicPr>
                  <pic:blipFill rotWithShape="1">
                    <a:blip r:embed="rId10"/>
                    <a:srcRect b="5001"/>
                    <a:stretch/>
                  </pic:blipFill>
                  <pic:spPr bwMode="auto">
                    <a:xfrm>
                      <a:off x="0" y="0"/>
                      <a:ext cx="3678810" cy="1565654"/>
                    </a:xfrm>
                    <a:prstGeom prst="rect">
                      <a:avLst/>
                    </a:prstGeom>
                    <a:ln>
                      <a:noFill/>
                    </a:ln>
                    <a:extLst>
                      <a:ext uri="{53640926-AAD7-44D8-BBD7-CCE9431645EC}">
                        <a14:shadowObscured xmlns:a14="http://schemas.microsoft.com/office/drawing/2010/main"/>
                      </a:ext>
                    </a:extLst>
                  </pic:spPr>
                </pic:pic>
              </a:graphicData>
            </a:graphic>
          </wp:inline>
        </w:drawing>
      </w:r>
    </w:p>
    <w:p w14:paraId="2214BA01" w14:textId="4FD15A50" w:rsidR="00840DA4" w:rsidRPr="00840DA4" w:rsidRDefault="00840DA4" w:rsidP="00840DA4">
      <w:pPr>
        <w:pStyle w:val="ac"/>
        <w:spacing w:before="0" w:beforeAutospacing="0" w:afterLines="50" w:after="156" w:afterAutospacing="0"/>
        <w:jc w:val="center"/>
        <w:rPr>
          <w:color w:val="1F1F1F"/>
          <w:sz w:val="21"/>
          <w:szCs w:val="21"/>
        </w:rPr>
      </w:pPr>
      <w:r>
        <w:rPr>
          <w:rFonts w:hint="eastAsia"/>
          <w:color w:val="1F1F1F"/>
          <w:sz w:val="21"/>
          <w:szCs w:val="21"/>
        </w:rPr>
        <w:t>图</w:t>
      </w:r>
      <w:r>
        <w:rPr>
          <w:color w:val="1F1F1F"/>
          <w:sz w:val="21"/>
          <w:szCs w:val="21"/>
        </w:rPr>
        <w:t>2</w:t>
      </w:r>
      <w:r>
        <w:rPr>
          <w:rFonts w:hint="eastAsia"/>
          <w:color w:val="1F1F1F"/>
          <w:sz w:val="21"/>
          <w:szCs w:val="21"/>
        </w:rPr>
        <w:t>：</w:t>
      </w:r>
      <w:r w:rsidRPr="001052E2">
        <w:rPr>
          <w:color w:val="1F1F1F"/>
          <w:sz w:val="21"/>
          <w:szCs w:val="21"/>
        </w:rPr>
        <w:t>基于多层感知机的</w:t>
      </w:r>
      <w:r>
        <w:rPr>
          <w:rFonts w:hint="eastAsia"/>
          <w:color w:val="1F1F1F"/>
          <w:sz w:val="21"/>
          <w:szCs w:val="21"/>
        </w:rPr>
        <w:t>光谱采集设备高维特征校准方法</w:t>
      </w:r>
      <w:r w:rsidR="008624F7">
        <w:rPr>
          <w:rFonts w:hint="eastAsia"/>
          <w:color w:val="1F1F1F"/>
          <w:sz w:val="21"/>
          <w:szCs w:val="21"/>
        </w:rPr>
        <w:t xml:space="preserve"> </w:t>
      </w:r>
      <w:r>
        <w:rPr>
          <w:rFonts w:hint="eastAsia"/>
          <w:color w:val="1F1F1F"/>
          <w:sz w:val="21"/>
          <w:szCs w:val="21"/>
        </w:rPr>
        <w:t>[</w:t>
      </w:r>
      <w:r>
        <w:rPr>
          <w:color w:val="1F1F1F"/>
          <w:sz w:val="21"/>
          <w:szCs w:val="21"/>
        </w:rPr>
        <w:t>20]</w:t>
      </w:r>
    </w:p>
    <w:p w14:paraId="435B92E7" w14:textId="77777777" w:rsidR="001052E2" w:rsidRPr="001052E2" w:rsidRDefault="001052E2" w:rsidP="00CA6445">
      <w:pPr>
        <w:pStyle w:val="4"/>
        <w:spacing w:before="0" w:afterLines="50" w:after="156" w:line="240" w:lineRule="auto"/>
        <w:rPr>
          <w:rFonts w:ascii="宋体" w:eastAsia="宋体" w:hAnsi="宋体"/>
          <w:color w:val="1F1F1F"/>
          <w:sz w:val="21"/>
          <w:szCs w:val="21"/>
        </w:rPr>
      </w:pPr>
      <w:r w:rsidRPr="001052E2">
        <w:rPr>
          <w:rFonts w:ascii="宋体" w:eastAsia="宋体" w:hAnsi="宋体"/>
          <w:color w:val="1F1F1F"/>
          <w:sz w:val="21"/>
          <w:szCs w:val="21"/>
        </w:rPr>
        <w:t>4.2 边缘节点低成本传感器的分布式空间协同提升</w:t>
      </w:r>
    </w:p>
    <w:p w14:paraId="2B1F7818" w14:textId="120F43AA" w:rsidR="001052E2" w:rsidRPr="001052E2" w:rsidRDefault="001052E2" w:rsidP="00F577B5">
      <w:pPr>
        <w:pStyle w:val="ac"/>
        <w:spacing w:before="0" w:beforeAutospacing="0" w:afterLines="50" w:after="156" w:afterAutospacing="0"/>
        <w:ind w:firstLine="420"/>
        <w:jc w:val="both"/>
        <w:rPr>
          <w:color w:val="1F1F1F"/>
          <w:sz w:val="21"/>
          <w:szCs w:val="21"/>
        </w:rPr>
      </w:pPr>
      <w:r w:rsidRPr="001052E2">
        <w:rPr>
          <w:b/>
          <w:bCs/>
          <w:color w:val="1F1F1F"/>
          <w:sz w:val="21"/>
          <w:szCs w:val="21"/>
          <w:bdr w:val="none" w:sz="0" w:space="0" w:color="auto" w:frame="1"/>
        </w:rPr>
        <w:t>工程挑战：</w:t>
      </w:r>
      <w:r w:rsidRPr="001052E2">
        <w:rPr>
          <w:color w:val="1F1F1F"/>
          <w:sz w:val="21"/>
          <w:szCs w:val="21"/>
        </w:rPr>
        <w:t>在广域网的边缘接入节点，受限于建设成本，通常部署低分辨率的商用光学传感器（如200pm分辨率量级）[28]。较低的采样分辨率会平滑并掩盖光谱高频分量中的微观物理指纹，导致边缘网络的安全监控面临“分辨率受限”瓶颈。</w:t>
      </w:r>
    </w:p>
    <w:p w14:paraId="714EF1D4" w14:textId="023D9AF1" w:rsidR="001052E2" w:rsidRPr="001052E2" w:rsidRDefault="001052E2" w:rsidP="00F577B5">
      <w:pPr>
        <w:pStyle w:val="ac"/>
        <w:spacing w:before="0" w:beforeAutospacing="0" w:afterLines="50" w:after="156" w:afterAutospacing="0"/>
        <w:ind w:firstLine="420"/>
        <w:jc w:val="both"/>
        <w:rPr>
          <w:color w:val="1F1F1F"/>
          <w:sz w:val="21"/>
          <w:szCs w:val="21"/>
        </w:rPr>
      </w:pPr>
      <w:r w:rsidRPr="001052E2">
        <w:rPr>
          <w:b/>
          <w:bCs/>
          <w:color w:val="1F1F1F"/>
          <w:sz w:val="21"/>
          <w:szCs w:val="21"/>
          <w:bdr w:val="none" w:sz="0" w:space="0" w:color="auto" w:frame="1"/>
        </w:rPr>
        <w:t>解决机制：</w:t>
      </w:r>
      <w:r w:rsidRPr="001052E2">
        <w:rPr>
          <w:color w:val="1F1F1F"/>
          <w:sz w:val="21"/>
          <w:szCs w:val="21"/>
        </w:rPr>
        <w:t>为在避免大规模硬件替换的前提下提升测量精度，</w:t>
      </w:r>
      <w:r w:rsidR="0085260E">
        <w:rPr>
          <w:rFonts w:hint="eastAsia"/>
          <w:color w:val="1F1F1F"/>
          <w:sz w:val="21"/>
          <w:szCs w:val="21"/>
        </w:rPr>
        <w:t>研究人员</w:t>
      </w:r>
      <w:r w:rsidRPr="001052E2">
        <w:rPr>
          <w:color w:val="1F1F1F"/>
          <w:sz w:val="21"/>
          <w:szCs w:val="21"/>
        </w:rPr>
        <w:t>提出了一种低分辨率光谱时空交织协同架构[28]。网络管控单元通过分布式收集多个路由节点在不同时间切片获取的低分辨率频谱片段</w:t>
      </w:r>
      <w:bookmarkStart w:id="11" w:name="OLE_LINK9"/>
      <w:bookmarkStart w:id="12" w:name="OLE_LINK10"/>
      <w:r w:rsidRPr="001052E2">
        <w:rPr>
          <w:color w:val="1F1F1F"/>
          <w:sz w:val="21"/>
          <w:szCs w:val="21"/>
        </w:rPr>
        <w:t>，运用线性判别分析</w:t>
      </w:r>
      <w:r w:rsidR="00197044">
        <w:rPr>
          <w:rFonts w:hint="eastAsia"/>
          <w:color w:val="1F1F1F"/>
          <w:sz w:val="21"/>
          <w:szCs w:val="21"/>
        </w:rPr>
        <w:t>（L</w:t>
      </w:r>
      <w:r w:rsidR="00197044">
        <w:rPr>
          <w:color w:val="1F1F1F"/>
          <w:sz w:val="21"/>
          <w:szCs w:val="21"/>
        </w:rPr>
        <w:t>DA</w:t>
      </w:r>
      <w:r w:rsidR="00197044">
        <w:rPr>
          <w:rFonts w:hint="eastAsia"/>
          <w:color w:val="1F1F1F"/>
          <w:sz w:val="21"/>
          <w:szCs w:val="21"/>
        </w:rPr>
        <w:t>）</w:t>
      </w:r>
      <w:r w:rsidRPr="001052E2">
        <w:rPr>
          <w:color w:val="1F1F1F"/>
          <w:sz w:val="21"/>
          <w:szCs w:val="21"/>
        </w:rPr>
        <w:t>级联多层感知机</w:t>
      </w:r>
      <w:r w:rsidR="00197044">
        <w:rPr>
          <w:rFonts w:hint="eastAsia"/>
          <w:color w:val="1F1F1F"/>
          <w:sz w:val="21"/>
          <w:szCs w:val="21"/>
        </w:rPr>
        <w:t>（MLP）</w:t>
      </w:r>
      <w:r w:rsidRPr="001052E2">
        <w:rPr>
          <w:color w:val="1F1F1F"/>
          <w:sz w:val="21"/>
          <w:szCs w:val="21"/>
        </w:rPr>
        <w:t>的融合网络</w:t>
      </w:r>
      <w:bookmarkEnd w:id="11"/>
      <w:bookmarkEnd w:id="12"/>
      <w:r w:rsidRPr="001052E2">
        <w:rPr>
          <w:color w:val="1F1F1F"/>
          <w:sz w:val="21"/>
          <w:szCs w:val="21"/>
        </w:rPr>
        <w:t>，实施</w:t>
      </w:r>
      <w:r w:rsidR="005F1872" w:rsidRPr="005F1872">
        <w:rPr>
          <w:rFonts w:hint="eastAsia"/>
          <w:color w:val="1F1F1F"/>
          <w:sz w:val="21"/>
          <w:szCs w:val="21"/>
        </w:rPr>
        <w:t>特征级别的高维拼接与时空信息互补增强</w:t>
      </w:r>
      <w:r w:rsidRPr="001052E2">
        <w:rPr>
          <w:color w:val="1F1F1F"/>
          <w:sz w:val="21"/>
          <w:szCs w:val="21"/>
        </w:rPr>
        <w:t>。该机制构建的“谱空间数字孪生”（SS-DT）模型，利用空间维度的分布式信息交叠重构了精细的判决边界，提升了低成本商用</w:t>
      </w:r>
      <w:r w:rsidR="003E2380">
        <w:rPr>
          <w:rFonts w:hint="eastAsia"/>
          <w:color w:val="1F1F1F"/>
          <w:sz w:val="21"/>
          <w:szCs w:val="21"/>
        </w:rPr>
        <w:t>传感器</w:t>
      </w:r>
      <w:r w:rsidRPr="001052E2">
        <w:rPr>
          <w:color w:val="1F1F1F"/>
          <w:sz w:val="21"/>
          <w:szCs w:val="21"/>
        </w:rPr>
        <w:t>的异常特征监控精度。</w:t>
      </w:r>
    </w:p>
    <w:p w14:paraId="7CA04C4C" w14:textId="77777777" w:rsidR="001052E2" w:rsidRPr="001052E2" w:rsidRDefault="001052E2" w:rsidP="00CA6445">
      <w:pPr>
        <w:pStyle w:val="4"/>
        <w:spacing w:before="0" w:afterLines="50" w:after="156" w:line="240" w:lineRule="auto"/>
        <w:rPr>
          <w:rFonts w:ascii="宋体" w:eastAsia="宋体" w:hAnsi="宋体"/>
          <w:color w:val="1F1F1F"/>
          <w:sz w:val="21"/>
          <w:szCs w:val="21"/>
        </w:rPr>
      </w:pPr>
      <w:r w:rsidRPr="001052E2">
        <w:rPr>
          <w:rFonts w:ascii="宋体" w:eastAsia="宋体" w:hAnsi="宋体"/>
          <w:color w:val="1F1F1F"/>
          <w:sz w:val="21"/>
          <w:szCs w:val="21"/>
        </w:rPr>
        <w:t>4.3 数字孪生光网络光谱特征动态演化追踪与小样本识别方法</w:t>
      </w:r>
    </w:p>
    <w:p w14:paraId="2C9BEA3C" w14:textId="0F2F4EAF" w:rsidR="001052E2" w:rsidRDefault="001052E2" w:rsidP="00F577B5">
      <w:pPr>
        <w:pStyle w:val="ac"/>
        <w:spacing w:before="0" w:beforeAutospacing="0" w:afterLines="50" w:after="156" w:afterAutospacing="0"/>
        <w:ind w:firstLine="420"/>
        <w:jc w:val="both"/>
        <w:rPr>
          <w:color w:val="1F1F1F"/>
          <w:sz w:val="21"/>
          <w:szCs w:val="21"/>
        </w:rPr>
      </w:pPr>
      <w:r w:rsidRPr="001052E2">
        <w:rPr>
          <w:b/>
          <w:bCs/>
          <w:color w:val="1F1F1F"/>
          <w:sz w:val="21"/>
          <w:szCs w:val="21"/>
          <w:bdr w:val="none" w:sz="0" w:space="0" w:color="auto" w:frame="1"/>
        </w:rPr>
        <w:t>工程挑战：</w:t>
      </w:r>
      <w:r w:rsidRPr="001052E2">
        <w:rPr>
          <w:color w:val="1F1F1F"/>
          <w:sz w:val="21"/>
          <w:szCs w:val="21"/>
        </w:rPr>
        <w:t>在光网络的长期运行周期中，由于发射机器件老化、电路偏置温漂及外部光缆应力缓变，合法光源的光谱物理指纹会在时间轴上发生不可逆的演化与漂移。</w:t>
      </w:r>
      <w:r w:rsidR="00840DA4">
        <w:rPr>
          <w:rFonts w:hint="eastAsia"/>
          <w:color w:val="1F1F1F"/>
          <w:sz w:val="21"/>
          <w:szCs w:val="21"/>
        </w:rPr>
        <w:t>如图3所示，</w:t>
      </w:r>
      <w:r w:rsidRPr="001052E2">
        <w:rPr>
          <w:color w:val="1F1F1F"/>
          <w:sz w:val="21"/>
          <w:szCs w:val="21"/>
        </w:rPr>
        <w:t>依赖静态数据训练的深度学习模型在此类非平稳环境中易发生“概念漂移”</w:t>
      </w:r>
      <w:r w:rsidR="00795DFA">
        <w:rPr>
          <w:rFonts w:hint="eastAsia"/>
          <w:color w:val="1F1F1F"/>
          <w:sz w:val="21"/>
          <w:szCs w:val="21"/>
        </w:rPr>
        <w:t>（</w:t>
      </w:r>
      <w:r w:rsidR="00795DFA" w:rsidRPr="00795DFA">
        <w:rPr>
          <w:color w:val="1F1F1F"/>
          <w:sz w:val="21"/>
          <w:szCs w:val="21"/>
        </w:rPr>
        <w:t>Concept Drift</w:t>
      </w:r>
      <w:r w:rsidR="00795DFA">
        <w:rPr>
          <w:rFonts w:hint="eastAsia"/>
          <w:color w:val="1F1F1F"/>
          <w:sz w:val="21"/>
          <w:szCs w:val="21"/>
        </w:rPr>
        <w:t>）</w:t>
      </w:r>
      <w:r w:rsidRPr="001052E2">
        <w:rPr>
          <w:color w:val="1F1F1F"/>
          <w:sz w:val="21"/>
          <w:szCs w:val="21"/>
        </w:rPr>
        <w:t>[19]。</w:t>
      </w:r>
    </w:p>
    <w:p w14:paraId="6E78F9CA" w14:textId="2121F331" w:rsidR="007A1DFC" w:rsidRDefault="00E34D37" w:rsidP="00E34D37">
      <w:pPr>
        <w:pStyle w:val="ac"/>
        <w:spacing w:before="0" w:beforeAutospacing="0" w:afterLines="50" w:after="156" w:afterAutospacing="0"/>
        <w:jc w:val="center"/>
        <w:rPr>
          <w:color w:val="1F1F1F"/>
          <w:sz w:val="21"/>
          <w:szCs w:val="21"/>
        </w:rPr>
      </w:pPr>
      <w:r w:rsidRPr="00E34D37">
        <w:rPr>
          <w:rFonts w:hint="eastAsia"/>
          <w:noProof/>
        </w:rPr>
        <w:lastRenderedPageBreak/>
        <w:drawing>
          <wp:inline distT="0" distB="0" distL="0" distR="0" wp14:anchorId="3F2802A5" wp14:editId="450C9DA3">
            <wp:extent cx="4084955" cy="1406106"/>
            <wp:effectExtent l="0" t="0" r="0" b="381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2965"/>
                    <a:stretch/>
                  </pic:blipFill>
                  <pic:spPr bwMode="auto">
                    <a:xfrm>
                      <a:off x="0" y="0"/>
                      <a:ext cx="4084955" cy="1406106"/>
                    </a:xfrm>
                    <a:prstGeom prst="rect">
                      <a:avLst/>
                    </a:prstGeom>
                    <a:noFill/>
                    <a:ln>
                      <a:noFill/>
                    </a:ln>
                    <a:extLst>
                      <a:ext uri="{53640926-AAD7-44D8-BBD7-CCE9431645EC}">
                        <a14:shadowObscured xmlns:a14="http://schemas.microsoft.com/office/drawing/2010/main"/>
                      </a:ext>
                    </a:extLst>
                  </pic:spPr>
                </pic:pic>
              </a:graphicData>
            </a:graphic>
          </wp:inline>
        </w:drawing>
      </w:r>
    </w:p>
    <w:p w14:paraId="2E7B6370" w14:textId="7D1F186D" w:rsidR="00E34D37" w:rsidRPr="00E34D37" w:rsidRDefault="00E34D37" w:rsidP="00840DA4">
      <w:pPr>
        <w:pStyle w:val="ac"/>
        <w:spacing w:before="0" w:beforeAutospacing="0" w:afterLines="50" w:after="156" w:afterAutospacing="0"/>
        <w:jc w:val="center"/>
        <w:rPr>
          <w:color w:val="1F1F1F"/>
          <w:sz w:val="21"/>
          <w:szCs w:val="21"/>
        </w:rPr>
      </w:pPr>
      <w:r>
        <w:rPr>
          <w:rFonts w:hint="eastAsia"/>
          <w:color w:val="1F1F1F"/>
          <w:sz w:val="21"/>
          <w:szCs w:val="21"/>
        </w:rPr>
        <w:t>图</w:t>
      </w:r>
      <w:r w:rsidR="00840DA4">
        <w:rPr>
          <w:color w:val="1F1F1F"/>
          <w:sz w:val="21"/>
          <w:szCs w:val="21"/>
        </w:rPr>
        <w:t>3</w:t>
      </w:r>
      <w:r>
        <w:rPr>
          <w:rFonts w:hint="eastAsia"/>
          <w:color w:val="1F1F1F"/>
          <w:sz w:val="21"/>
          <w:szCs w:val="21"/>
        </w:rPr>
        <w:t>：光谱特征随时间变化发生的“概念漂移”[</w:t>
      </w:r>
      <w:r>
        <w:rPr>
          <w:color w:val="1F1F1F"/>
          <w:sz w:val="21"/>
          <w:szCs w:val="21"/>
        </w:rPr>
        <w:t>19]</w:t>
      </w:r>
    </w:p>
    <w:p w14:paraId="7475C58D" w14:textId="573A3A5C" w:rsidR="001052E2" w:rsidRPr="001052E2" w:rsidRDefault="001052E2" w:rsidP="00CA6445">
      <w:pPr>
        <w:pStyle w:val="ac"/>
        <w:spacing w:before="0" w:beforeAutospacing="0" w:afterLines="50" w:after="156" w:afterAutospacing="0"/>
        <w:jc w:val="both"/>
        <w:rPr>
          <w:color w:val="1F1F1F"/>
          <w:sz w:val="21"/>
          <w:szCs w:val="21"/>
        </w:rPr>
      </w:pPr>
      <w:r w:rsidRPr="001052E2">
        <w:rPr>
          <w:color w:val="1F1F1F"/>
          <w:sz w:val="21"/>
          <w:szCs w:val="21"/>
        </w:rPr>
        <w:t>特别是在通信网络追求极致拓扑稳定性的组网场景</w:t>
      </w:r>
      <w:r w:rsidR="00B25BFC">
        <w:rPr>
          <w:rFonts w:hint="eastAsia"/>
          <w:color w:val="1F1F1F"/>
          <w:sz w:val="21"/>
          <w:szCs w:val="21"/>
        </w:rPr>
        <w:t>（如卫星光网络和深海光传输系统）</w:t>
      </w:r>
      <w:r w:rsidR="00B25BFC" w:rsidRPr="001052E2">
        <w:rPr>
          <w:color w:val="1F1F1F"/>
          <w:sz w:val="21"/>
          <w:szCs w:val="21"/>
        </w:rPr>
        <w:t>中</w:t>
      </w:r>
      <w:r w:rsidRPr="001052E2">
        <w:rPr>
          <w:color w:val="1F1F1F"/>
          <w:sz w:val="21"/>
          <w:szCs w:val="21"/>
        </w:rPr>
        <w:t>，由于通信节点长期运行，加之受限于尺寸、重量和功耗（SWaP）的严格约束，更易受到空间环境温漂与老化的干扰，导致身份识别与异常拦截的准确率出现显著下降[19,29]。</w:t>
      </w:r>
    </w:p>
    <w:p w14:paraId="46D6CC8D" w14:textId="41EF40A5" w:rsidR="001052E2" w:rsidRDefault="001052E2" w:rsidP="00F577B5">
      <w:pPr>
        <w:pStyle w:val="ac"/>
        <w:spacing w:before="0" w:beforeAutospacing="0" w:afterLines="50" w:after="156" w:afterAutospacing="0"/>
        <w:ind w:firstLine="420"/>
        <w:jc w:val="both"/>
        <w:rPr>
          <w:color w:val="1F1F1F"/>
          <w:sz w:val="21"/>
          <w:szCs w:val="21"/>
        </w:rPr>
      </w:pPr>
      <w:r w:rsidRPr="001052E2">
        <w:rPr>
          <w:b/>
          <w:bCs/>
          <w:color w:val="1F1F1F"/>
          <w:sz w:val="21"/>
          <w:szCs w:val="21"/>
          <w:bdr w:val="none" w:sz="0" w:space="0" w:color="auto" w:frame="1"/>
        </w:rPr>
        <w:t>解决机制：</w:t>
      </w:r>
      <w:r w:rsidRPr="001052E2">
        <w:rPr>
          <w:color w:val="1F1F1F"/>
          <w:sz w:val="21"/>
          <w:szCs w:val="21"/>
        </w:rPr>
        <w:t>针对特征时变漂移问题，实施全局模型重训练的算力代价过高。为此，前沿研究提出利用数字孪生平台构建全面的网络故障数据库以辅助预测性机器学习[29]；同时，引入了光谱特征动态演化追踪与小样本识别机制[19]</w:t>
      </w:r>
      <w:r w:rsidR="00953577">
        <w:rPr>
          <w:color w:val="1F1F1F"/>
          <w:sz w:val="21"/>
          <w:szCs w:val="21"/>
        </w:rPr>
        <w:t>。该机制通过将长周期的运行状态划分为离散的时间</w:t>
      </w:r>
      <w:r w:rsidRPr="001052E2">
        <w:rPr>
          <w:color w:val="1F1F1F"/>
          <w:sz w:val="21"/>
          <w:szCs w:val="21"/>
        </w:rPr>
        <w:t>切片，使算法聚焦于学习特征随时间演化的趋势规律。当系统监测到实时光谱指纹偏离历史基准边界时，可在不中断现网业务的条件下，利用最新获取的少量实时小样本集执行内部梯度更新，对底层网络参数完成自适应修正[30]。验证结果表明，该机制有效克服了长期运行导致模型失效的局限，依然能够将安全监控准确率维持在较高水平。</w:t>
      </w:r>
    </w:p>
    <w:p w14:paraId="6BABC218" w14:textId="77777777" w:rsidR="00B66023" w:rsidRPr="001052E2" w:rsidRDefault="00B66023" w:rsidP="00CA6445">
      <w:pPr>
        <w:pStyle w:val="ac"/>
        <w:spacing w:before="0" w:beforeAutospacing="0" w:afterLines="50" w:after="156" w:afterAutospacing="0"/>
        <w:jc w:val="both"/>
        <w:rPr>
          <w:color w:val="1F1F1F"/>
          <w:sz w:val="21"/>
          <w:szCs w:val="21"/>
        </w:rPr>
      </w:pPr>
    </w:p>
    <w:p w14:paraId="55D25AB9" w14:textId="4667A200" w:rsidR="00016768" w:rsidRPr="007F298F" w:rsidRDefault="00016768" w:rsidP="00CA6445">
      <w:pPr>
        <w:spacing w:afterLines="50" w:after="156"/>
        <w:outlineLvl w:val="0"/>
        <w:rPr>
          <w:rFonts w:ascii="Times New Roman" w:eastAsia="黑体" w:hAnsi="Times New Roman" w:cs="Times New Roman"/>
          <w:color w:val="000000" w:themeColor="text1"/>
          <w:sz w:val="24"/>
          <w:szCs w:val="24"/>
        </w:rPr>
      </w:pPr>
      <w:r>
        <w:rPr>
          <w:rFonts w:ascii="Times New Roman" w:eastAsia="黑体" w:hAnsi="Times New Roman" w:cs="Times New Roman"/>
          <w:color w:val="000000" w:themeColor="text1"/>
          <w:sz w:val="24"/>
          <w:szCs w:val="24"/>
        </w:rPr>
        <w:t>5</w:t>
      </w:r>
      <w:r w:rsidRPr="007F298F">
        <w:rPr>
          <w:rFonts w:ascii="Times New Roman" w:eastAsia="黑体" w:hAnsi="Times New Roman" w:cs="Times New Roman"/>
          <w:color w:val="000000" w:themeColor="text1"/>
          <w:sz w:val="24"/>
          <w:szCs w:val="24"/>
        </w:rPr>
        <w:t xml:space="preserve"> </w:t>
      </w:r>
      <w:r w:rsidRPr="00016768">
        <w:rPr>
          <w:rFonts w:ascii="Times New Roman" w:eastAsia="黑体" w:hAnsi="Times New Roman" w:cs="Times New Roman" w:hint="eastAsia"/>
          <w:color w:val="000000" w:themeColor="text1"/>
          <w:sz w:val="24"/>
          <w:szCs w:val="24"/>
        </w:rPr>
        <w:t>结论与展望</w:t>
      </w:r>
    </w:p>
    <w:p w14:paraId="0923EBD2" w14:textId="77777777" w:rsidR="00016768" w:rsidRPr="00016768" w:rsidRDefault="00016768" w:rsidP="00CA6445">
      <w:pPr>
        <w:pStyle w:val="ac"/>
        <w:spacing w:before="0" w:beforeAutospacing="0" w:after="50" w:afterAutospacing="0"/>
        <w:ind w:firstLine="420"/>
        <w:jc w:val="both"/>
        <w:rPr>
          <w:color w:val="1F1F1F"/>
          <w:sz w:val="21"/>
          <w:szCs w:val="21"/>
        </w:rPr>
      </w:pPr>
      <w:r w:rsidRPr="00016768">
        <w:rPr>
          <w:color w:val="1F1F1F"/>
          <w:sz w:val="21"/>
          <w:szCs w:val="21"/>
        </w:rPr>
        <w:t>数字孪生光网络为全光基础设施迈向高度自治与物理层安全提供了重要的技术基础。依托光谱感知技术，系统能够在避免高层数据包解析带来的时延与算力消耗的前提下，基于底层光物理特征实现高保真的设备身份鉴权与异常状态监测。</w:t>
      </w:r>
    </w:p>
    <w:p w14:paraId="7C749D45" w14:textId="6E2CDA4F" w:rsidR="00953577" w:rsidRDefault="00953577" w:rsidP="00CA6445">
      <w:pPr>
        <w:pStyle w:val="ac"/>
        <w:spacing w:before="0" w:beforeAutospacing="0" w:after="50" w:afterAutospacing="0"/>
        <w:ind w:firstLine="420"/>
        <w:jc w:val="both"/>
        <w:rPr>
          <w:color w:val="1F1F1F"/>
          <w:sz w:val="21"/>
          <w:szCs w:val="21"/>
        </w:rPr>
      </w:pPr>
      <w:bookmarkStart w:id="13" w:name="OLE_LINK11"/>
      <w:bookmarkStart w:id="14" w:name="OLE_LINK12"/>
      <w:r w:rsidRPr="00953577">
        <w:rPr>
          <w:rFonts w:hint="eastAsia"/>
          <w:color w:val="1F1F1F"/>
          <w:sz w:val="21"/>
          <w:szCs w:val="21"/>
        </w:rPr>
        <w:t>纵观这一技术的发展脉络，从早期的物理指纹机理建模与基础分类算法（如</w:t>
      </w:r>
      <w:r w:rsidRPr="00953577">
        <w:rPr>
          <w:color w:val="1F1F1F"/>
          <w:sz w:val="21"/>
          <w:szCs w:val="21"/>
        </w:rPr>
        <w:t>1D-CNN、SVM），到如今直面现网复杂环境的MAML异构校准、SS-DT协同架构及动态演化追踪机制，光谱感知智能运维正经历从实验室理论论证向规模化工程实践的关键跨越。</w:t>
      </w:r>
    </w:p>
    <w:bookmarkEnd w:id="13"/>
    <w:bookmarkEnd w:id="14"/>
    <w:p w14:paraId="791A3F22" w14:textId="0317E226" w:rsidR="001052E2" w:rsidRDefault="00016768" w:rsidP="00CA6445">
      <w:pPr>
        <w:pStyle w:val="ac"/>
        <w:spacing w:before="0" w:beforeAutospacing="0" w:after="50" w:afterAutospacing="0"/>
        <w:ind w:firstLine="420"/>
        <w:jc w:val="both"/>
        <w:rPr>
          <w:color w:val="1F1F1F"/>
          <w:sz w:val="21"/>
          <w:szCs w:val="21"/>
        </w:rPr>
      </w:pPr>
      <w:r w:rsidRPr="00016768">
        <w:rPr>
          <w:color w:val="1F1F1F"/>
          <w:sz w:val="21"/>
          <w:szCs w:val="21"/>
        </w:rPr>
        <w:t>展望未来，随着多芯光纤（MCF）及少模光纤（FMF）等空分复用技术的广泛部署，光信号物理参量在多维空间中将呈现更为复杂的交叠与耦合[2]。后续研究将重点探索图神经网络（GNN）与盲源分离（BSS）理论的交叉融合，以在复杂的线性和非线性串扰环境中实现微弱物理指纹的提取；同时，探索人工智能模型在孪生管控平台的深度集成，有望进一步提升网络的自主推理与安全防御能力，为下一代智能超宽带网络提供可靠的物理层安全保障。</w:t>
      </w:r>
    </w:p>
    <w:p w14:paraId="16E1EE3B" w14:textId="77777777" w:rsidR="001052E2" w:rsidRPr="001052E2" w:rsidRDefault="001052E2" w:rsidP="00CA6445">
      <w:pPr>
        <w:pStyle w:val="ac"/>
        <w:spacing w:before="0" w:beforeAutospacing="0" w:after="50" w:afterAutospacing="0"/>
        <w:ind w:firstLine="420"/>
        <w:jc w:val="both"/>
        <w:rPr>
          <w:color w:val="1F1F1F"/>
          <w:sz w:val="21"/>
          <w:szCs w:val="21"/>
        </w:rPr>
      </w:pPr>
    </w:p>
    <w:p w14:paraId="0E0B58D5" w14:textId="77777777" w:rsidR="00A5202D" w:rsidRPr="007F298F" w:rsidRDefault="00D13482" w:rsidP="00CA6445">
      <w:pPr>
        <w:spacing w:afterLines="50" w:after="156"/>
        <w:outlineLvl w:val="0"/>
        <w:rPr>
          <w:rFonts w:ascii="Times New Roman" w:eastAsia="黑体" w:hAnsi="Times New Roman" w:cs="Times New Roman"/>
          <w:color w:val="000000" w:themeColor="text1"/>
          <w:sz w:val="24"/>
          <w:szCs w:val="24"/>
        </w:rPr>
      </w:pPr>
      <w:r w:rsidRPr="007F298F">
        <w:rPr>
          <w:rFonts w:ascii="Times New Roman" w:eastAsia="黑体" w:hAnsi="Times New Roman" w:cs="Times New Roman"/>
          <w:color w:val="000000" w:themeColor="text1"/>
          <w:sz w:val="24"/>
          <w:szCs w:val="24"/>
        </w:rPr>
        <w:t>参考文献</w:t>
      </w:r>
      <w:r w:rsidR="001C237B" w:rsidRPr="007F298F">
        <w:rPr>
          <w:rFonts w:ascii="Times New Roman" w:eastAsia="黑体" w:hAnsi="Times New Roman" w:cs="Times New Roman"/>
          <w:color w:val="000000" w:themeColor="text1"/>
          <w:sz w:val="24"/>
          <w:szCs w:val="24"/>
        </w:rPr>
        <w:t>：</w:t>
      </w:r>
    </w:p>
    <w:p w14:paraId="147376F4" w14:textId="77777777" w:rsidR="00016768" w:rsidRPr="00016768" w:rsidRDefault="00016768" w:rsidP="00CA6445">
      <w:pPr>
        <w:pStyle w:val="ac"/>
        <w:spacing w:before="0" w:beforeAutospacing="0" w:after="0" w:afterAutospacing="0"/>
        <w:jc w:val="both"/>
        <w:rPr>
          <w:color w:val="1F1F1F"/>
          <w:sz w:val="21"/>
          <w:szCs w:val="21"/>
        </w:rPr>
      </w:pPr>
      <w:r w:rsidRPr="00016768">
        <w:rPr>
          <w:color w:val="1F1F1F"/>
          <w:sz w:val="21"/>
          <w:szCs w:val="21"/>
        </w:rPr>
        <w:t>[1] 李俊杰. ROADM技术的应用[J]. 中兴通讯技术, 2013, 19(3): 26-30.</w:t>
      </w:r>
    </w:p>
    <w:p w14:paraId="2CA71D9F" w14:textId="77777777" w:rsidR="00016768" w:rsidRPr="00016768" w:rsidRDefault="00016768" w:rsidP="00CA6445">
      <w:pPr>
        <w:pStyle w:val="ac"/>
        <w:spacing w:before="0" w:beforeAutospacing="0" w:after="0" w:afterAutospacing="0"/>
        <w:jc w:val="both"/>
        <w:rPr>
          <w:color w:val="1F1F1F"/>
          <w:sz w:val="21"/>
          <w:szCs w:val="21"/>
        </w:rPr>
      </w:pPr>
      <w:r w:rsidRPr="00016768">
        <w:rPr>
          <w:color w:val="1F1F1F"/>
          <w:sz w:val="21"/>
          <w:szCs w:val="21"/>
        </w:rPr>
        <w:t>[2] MAROM D M, BLAU M. Switching solutions for WDM-SDM optical networks[J]. IEEE Communications Magazine, 2015, 53(2): 60-68.</w:t>
      </w:r>
    </w:p>
    <w:p w14:paraId="22283255" w14:textId="77777777" w:rsidR="00016768" w:rsidRPr="00016768" w:rsidRDefault="00016768" w:rsidP="00CA6445">
      <w:pPr>
        <w:pStyle w:val="ac"/>
        <w:spacing w:before="0" w:beforeAutospacing="0" w:after="0" w:afterAutospacing="0"/>
        <w:jc w:val="both"/>
        <w:rPr>
          <w:color w:val="1F1F1F"/>
          <w:sz w:val="21"/>
          <w:szCs w:val="21"/>
        </w:rPr>
      </w:pPr>
      <w:r w:rsidRPr="00016768">
        <w:rPr>
          <w:color w:val="1F1F1F"/>
          <w:sz w:val="21"/>
          <w:szCs w:val="21"/>
        </w:rPr>
        <w:t>[3] AMAYA N, ZERVAS G S, SIMEONIDOU D. Architecture on demand for transparent optical networks[C]// International Conference on Transparent Optical Networks. 2011.</w:t>
      </w:r>
    </w:p>
    <w:p w14:paraId="7B1FAAFC" w14:textId="77777777" w:rsidR="00016768" w:rsidRPr="00016768" w:rsidRDefault="00016768" w:rsidP="00CA6445">
      <w:pPr>
        <w:pStyle w:val="ac"/>
        <w:spacing w:before="0" w:beforeAutospacing="0" w:after="0" w:afterAutospacing="0"/>
        <w:jc w:val="both"/>
        <w:rPr>
          <w:color w:val="1F1F1F"/>
          <w:sz w:val="21"/>
          <w:szCs w:val="21"/>
        </w:rPr>
      </w:pPr>
      <w:r w:rsidRPr="00016768">
        <w:rPr>
          <w:color w:val="1F1F1F"/>
          <w:sz w:val="21"/>
          <w:szCs w:val="21"/>
        </w:rPr>
        <w:lastRenderedPageBreak/>
        <w:t>[4] MEDARD M, MARQUIS D, BARRY R A, et al. Security issues in all-optical networks[J]. IEEE Network, 1997, 11(3): 42-48.</w:t>
      </w:r>
    </w:p>
    <w:p w14:paraId="08EF8A06" w14:textId="77777777" w:rsidR="00016768" w:rsidRPr="00016768" w:rsidRDefault="00016768" w:rsidP="00CA6445">
      <w:pPr>
        <w:pStyle w:val="ac"/>
        <w:spacing w:before="0" w:beforeAutospacing="0" w:after="0" w:afterAutospacing="0"/>
        <w:jc w:val="both"/>
        <w:rPr>
          <w:color w:val="1F1F1F"/>
          <w:sz w:val="21"/>
          <w:szCs w:val="21"/>
        </w:rPr>
      </w:pPr>
      <w:r w:rsidRPr="00016768">
        <w:rPr>
          <w:color w:val="1F1F1F"/>
          <w:sz w:val="21"/>
          <w:szCs w:val="21"/>
        </w:rPr>
        <w:t>[5] FURDEK M, SKORIN-KAPOV N. Physical-layer attacks in transparent optical networks[M]// Optical Communications Systems. InTech, 2012.</w:t>
      </w:r>
    </w:p>
    <w:p w14:paraId="688EC10C" w14:textId="77777777" w:rsidR="00016768" w:rsidRPr="00016768" w:rsidRDefault="00016768" w:rsidP="00CA6445">
      <w:pPr>
        <w:pStyle w:val="ac"/>
        <w:spacing w:before="0" w:beforeAutospacing="0" w:after="0" w:afterAutospacing="0"/>
        <w:jc w:val="both"/>
        <w:rPr>
          <w:color w:val="1F1F1F"/>
          <w:sz w:val="21"/>
          <w:szCs w:val="21"/>
        </w:rPr>
      </w:pPr>
      <w:r w:rsidRPr="00016768">
        <w:rPr>
          <w:color w:val="1F1F1F"/>
          <w:sz w:val="21"/>
          <w:szCs w:val="21"/>
        </w:rPr>
        <w:t>[6] GONG X, LEI Y, ZHANG Q, et al. Machine-learning-based optical spectrum feature analysis for DoS attack detection in IP over optical networks[J]. Optics Express, 2024, 32(3): 3793-3803.</w:t>
      </w:r>
    </w:p>
    <w:p w14:paraId="4790E464" w14:textId="77777777" w:rsidR="00016768" w:rsidRPr="00016768" w:rsidRDefault="00016768" w:rsidP="00CA6445">
      <w:pPr>
        <w:pStyle w:val="ac"/>
        <w:spacing w:before="0" w:beforeAutospacing="0" w:after="0" w:afterAutospacing="0"/>
        <w:jc w:val="both"/>
        <w:rPr>
          <w:color w:val="1F1F1F"/>
          <w:sz w:val="21"/>
          <w:szCs w:val="21"/>
        </w:rPr>
      </w:pPr>
      <w:r w:rsidRPr="00016768">
        <w:rPr>
          <w:color w:val="1F1F1F"/>
          <w:sz w:val="21"/>
          <w:szCs w:val="21"/>
        </w:rPr>
        <w:t>[7] MUSUMECI F, ROTTONDI C, CORNO A, et al. An overview on application of machine learning techniques in optical networks[J]. IEEE Communications Surveys &amp; Tutorials, 2019, 21(2): 1383-1408.</w:t>
      </w:r>
    </w:p>
    <w:p w14:paraId="1C96B3E9" w14:textId="77777777" w:rsidR="00016768" w:rsidRPr="00016768" w:rsidRDefault="00016768" w:rsidP="00CA6445">
      <w:pPr>
        <w:pStyle w:val="ac"/>
        <w:spacing w:before="0" w:beforeAutospacing="0" w:after="0" w:afterAutospacing="0"/>
        <w:jc w:val="both"/>
        <w:rPr>
          <w:color w:val="1F1F1F"/>
          <w:sz w:val="21"/>
          <w:szCs w:val="21"/>
        </w:rPr>
      </w:pPr>
      <w:r w:rsidRPr="00016768">
        <w:rPr>
          <w:color w:val="1F1F1F"/>
          <w:sz w:val="21"/>
          <w:szCs w:val="21"/>
        </w:rPr>
        <w:t>[8] OPTICAL INTERNETWORKING FORUM. White paper: Digital Twin optical network as an enhanced network operation: OIF-ENO-Applic-DT-01.0[R]. 2025.</w:t>
      </w:r>
    </w:p>
    <w:p w14:paraId="5C80B47B" w14:textId="77777777" w:rsidR="00016768" w:rsidRPr="00016768" w:rsidRDefault="00016768" w:rsidP="00CA6445">
      <w:pPr>
        <w:pStyle w:val="ac"/>
        <w:spacing w:before="0" w:beforeAutospacing="0" w:after="0" w:afterAutospacing="0"/>
        <w:jc w:val="both"/>
        <w:rPr>
          <w:color w:val="1F1F1F"/>
          <w:sz w:val="21"/>
          <w:szCs w:val="21"/>
        </w:rPr>
      </w:pPr>
      <w:r w:rsidRPr="00016768">
        <w:rPr>
          <w:color w:val="1F1F1F"/>
          <w:sz w:val="21"/>
          <w:szCs w:val="21"/>
        </w:rPr>
        <w:t>[9] IOWN GLOBAL FORUM. Network digital twin use case[R]. IOWN GF, 2025.</w:t>
      </w:r>
    </w:p>
    <w:p w14:paraId="5098AD6C" w14:textId="77777777" w:rsidR="00016768" w:rsidRPr="00016768" w:rsidRDefault="00016768" w:rsidP="00CA6445">
      <w:pPr>
        <w:pStyle w:val="ac"/>
        <w:spacing w:before="0" w:beforeAutospacing="0" w:after="0" w:afterAutospacing="0"/>
        <w:jc w:val="both"/>
        <w:rPr>
          <w:color w:val="1F1F1F"/>
          <w:sz w:val="21"/>
          <w:szCs w:val="21"/>
        </w:rPr>
      </w:pPr>
      <w:r w:rsidRPr="00016768">
        <w:rPr>
          <w:color w:val="1F1F1F"/>
          <w:sz w:val="21"/>
          <w:szCs w:val="21"/>
        </w:rPr>
        <w:t>[10] POORZARE R, et al. Network digital twin toward networking, telecommunications, and traffic engineering: A survey[J]. IEEE Access, 2025, 13: 16489-16538.</w:t>
      </w:r>
    </w:p>
    <w:p w14:paraId="0C41E0CE" w14:textId="77777777" w:rsidR="00016768" w:rsidRPr="00016768" w:rsidRDefault="00016768" w:rsidP="00CA6445">
      <w:pPr>
        <w:pStyle w:val="ac"/>
        <w:spacing w:before="0" w:beforeAutospacing="0" w:after="0" w:afterAutospacing="0"/>
        <w:jc w:val="both"/>
        <w:rPr>
          <w:color w:val="1F1F1F"/>
          <w:sz w:val="21"/>
          <w:szCs w:val="21"/>
        </w:rPr>
      </w:pPr>
      <w:r w:rsidRPr="00016768">
        <w:rPr>
          <w:color w:val="1F1F1F"/>
          <w:sz w:val="21"/>
          <w:szCs w:val="21"/>
        </w:rPr>
        <w:t>[11] SONG Y, et al. Implementing digital twin in field-deployed optical networks: uncertain factors, operational guidance, and field-trial demonstration[J/OL]. arXiv preprint arXiv:2312.03374, 2023.</w:t>
      </w:r>
    </w:p>
    <w:p w14:paraId="5659E6C6" w14:textId="77777777" w:rsidR="00016768" w:rsidRPr="00016768" w:rsidRDefault="00016768" w:rsidP="00CA6445">
      <w:pPr>
        <w:pStyle w:val="ac"/>
        <w:spacing w:before="0" w:beforeAutospacing="0" w:after="0" w:afterAutospacing="0"/>
        <w:jc w:val="both"/>
        <w:rPr>
          <w:color w:val="1F1F1F"/>
          <w:sz w:val="21"/>
          <w:szCs w:val="21"/>
        </w:rPr>
      </w:pPr>
      <w:r w:rsidRPr="00016768">
        <w:rPr>
          <w:color w:val="1F1F1F"/>
          <w:sz w:val="21"/>
          <w:szCs w:val="21"/>
        </w:rPr>
        <w:t>[12] 诸葛群碧, 张一豪, 刘晓敏, 等. 光网络智能数字孪生建模理论与技术（特邀）[J]. 光学学报, 2025, 45(13): 1306007.</w:t>
      </w:r>
    </w:p>
    <w:p w14:paraId="51F70CA6" w14:textId="77777777" w:rsidR="00016768" w:rsidRPr="00016768" w:rsidRDefault="00016768" w:rsidP="00CA6445">
      <w:pPr>
        <w:pStyle w:val="ac"/>
        <w:spacing w:before="0" w:beforeAutospacing="0" w:after="0" w:afterAutospacing="0"/>
        <w:jc w:val="both"/>
        <w:rPr>
          <w:color w:val="1F1F1F"/>
          <w:sz w:val="21"/>
          <w:szCs w:val="21"/>
        </w:rPr>
      </w:pPr>
      <w:r w:rsidRPr="00016768">
        <w:rPr>
          <w:color w:val="1F1F1F"/>
          <w:sz w:val="21"/>
          <w:szCs w:val="21"/>
        </w:rPr>
        <w:t>[13] LI Y, HUA N, YU Y, et al. Optical spectrum feature analysis and recognition for optical network security with machine learning[J]. Optics Express, 2019, 27(17): 24808-24827.</w:t>
      </w:r>
    </w:p>
    <w:p w14:paraId="0DAD2A87" w14:textId="77777777" w:rsidR="00016768" w:rsidRPr="00016768" w:rsidRDefault="00016768" w:rsidP="00CA6445">
      <w:pPr>
        <w:pStyle w:val="ac"/>
        <w:spacing w:before="0" w:beforeAutospacing="0" w:after="0" w:afterAutospacing="0"/>
        <w:jc w:val="both"/>
        <w:rPr>
          <w:color w:val="1F1F1F"/>
          <w:sz w:val="21"/>
          <w:szCs w:val="21"/>
        </w:rPr>
      </w:pPr>
      <w:r w:rsidRPr="00016768">
        <w:rPr>
          <w:color w:val="1F1F1F"/>
          <w:sz w:val="21"/>
          <w:szCs w:val="21"/>
        </w:rPr>
        <w:t>[14] ZHU K, HUA N, WU C, et al. Analysis of optical network digital twin models under different temporal resolutions[C]// 23rd International Conference on Optical Communications and Networks (ICOCN), 2025.</w:t>
      </w:r>
    </w:p>
    <w:p w14:paraId="474537F0" w14:textId="77777777" w:rsidR="00016768" w:rsidRPr="00016768" w:rsidRDefault="00016768" w:rsidP="00CA6445">
      <w:pPr>
        <w:pStyle w:val="ac"/>
        <w:spacing w:before="0" w:beforeAutospacing="0" w:after="0" w:afterAutospacing="0"/>
        <w:jc w:val="both"/>
        <w:rPr>
          <w:color w:val="1F1F1F"/>
          <w:sz w:val="21"/>
          <w:szCs w:val="21"/>
        </w:rPr>
      </w:pPr>
      <w:r w:rsidRPr="00016768">
        <w:rPr>
          <w:color w:val="1F1F1F"/>
          <w:sz w:val="21"/>
          <w:szCs w:val="21"/>
        </w:rPr>
        <w:t xml:space="preserve">[15] LI Y, HUA N, YU Y, et al. Light source and trail recognition via optical spectrum feature analysis for optical network security[J]. IEEE Communications Letters, 2018, 22(5): </w:t>
      </w:r>
      <w:r w:rsidRPr="00016768">
        <w:rPr>
          <w:sz w:val="21"/>
          <w:szCs w:val="21"/>
        </w:rPr>
        <w:t>982-985</w:t>
      </w:r>
      <w:r w:rsidRPr="00016768">
        <w:rPr>
          <w:color w:val="1F1F1F"/>
          <w:sz w:val="21"/>
          <w:szCs w:val="21"/>
        </w:rPr>
        <w:t>.</w:t>
      </w:r>
    </w:p>
    <w:p w14:paraId="457FC32F" w14:textId="77777777" w:rsidR="00016768" w:rsidRPr="00016768" w:rsidRDefault="00016768" w:rsidP="00CA6445">
      <w:pPr>
        <w:pStyle w:val="ac"/>
        <w:spacing w:before="0" w:beforeAutospacing="0" w:after="0" w:afterAutospacing="0"/>
        <w:jc w:val="both"/>
        <w:rPr>
          <w:color w:val="1F1F1F"/>
          <w:sz w:val="21"/>
          <w:szCs w:val="21"/>
        </w:rPr>
      </w:pPr>
      <w:r w:rsidRPr="00016768">
        <w:rPr>
          <w:color w:val="1F1F1F"/>
          <w:sz w:val="21"/>
          <w:szCs w:val="21"/>
        </w:rPr>
        <w:t>[16] HUI R, O'SULLIVAN M. Fiber-optic measurement techniques (Second Edition)[M]. Massachusetts: Academic Press, 2023.</w:t>
      </w:r>
    </w:p>
    <w:p w14:paraId="516FC979" w14:textId="77777777" w:rsidR="00016768" w:rsidRPr="00016768" w:rsidRDefault="00016768" w:rsidP="00CA6445">
      <w:pPr>
        <w:pStyle w:val="ac"/>
        <w:spacing w:before="0" w:beforeAutospacing="0" w:after="0" w:afterAutospacing="0"/>
        <w:jc w:val="both"/>
        <w:rPr>
          <w:color w:val="1F1F1F"/>
          <w:sz w:val="21"/>
          <w:szCs w:val="21"/>
        </w:rPr>
      </w:pPr>
      <w:r w:rsidRPr="00016768">
        <w:rPr>
          <w:color w:val="1F1F1F"/>
          <w:sz w:val="21"/>
          <w:szCs w:val="21"/>
        </w:rPr>
        <w:t>[17] AGRAWAL G P. Fiber-optic communication systems[M]. 5th ed. Hoboken, NJ: John Wiley &amp; Sons, 2021.</w:t>
      </w:r>
    </w:p>
    <w:p w14:paraId="48911A45" w14:textId="77777777" w:rsidR="00016768" w:rsidRPr="00016768" w:rsidRDefault="00016768" w:rsidP="00CA6445">
      <w:pPr>
        <w:pStyle w:val="ac"/>
        <w:spacing w:before="0" w:beforeAutospacing="0" w:after="0" w:afterAutospacing="0"/>
        <w:jc w:val="both"/>
        <w:rPr>
          <w:color w:val="1F1F1F"/>
          <w:sz w:val="21"/>
          <w:szCs w:val="21"/>
        </w:rPr>
      </w:pPr>
      <w:r w:rsidRPr="00016768">
        <w:rPr>
          <w:color w:val="1F1F1F"/>
          <w:sz w:val="21"/>
          <w:szCs w:val="21"/>
        </w:rPr>
        <w:t>[18] 刘海蛟, 华楠, 李艳和, 等. 面向动态业务的光网络信息失真机理及其影响分析[J]. 清华大学学报(自然科学版), 2015, 55(11): 1235-1240.</w:t>
      </w:r>
    </w:p>
    <w:p w14:paraId="01A9B7D1" w14:textId="1AF09CEE" w:rsidR="00016768" w:rsidRPr="006B49E7" w:rsidRDefault="00016768" w:rsidP="00CA6445">
      <w:pPr>
        <w:pStyle w:val="ac"/>
        <w:spacing w:before="0" w:beforeAutospacing="0" w:after="0" w:afterAutospacing="0"/>
        <w:jc w:val="both"/>
        <w:rPr>
          <w:color w:val="000000" w:themeColor="text1"/>
          <w:sz w:val="21"/>
          <w:szCs w:val="21"/>
        </w:rPr>
      </w:pPr>
      <w:r w:rsidRPr="006B49E7">
        <w:rPr>
          <w:color w:val="000000" w:themeColor="text1"/>
          <w:sz w:val="21"/>
          <w:szCs w:val="21"/>
        </w:rPr>
        <w:t xml:space="preserve">[19] </w:t>
      </w:r>
      <w:r w:rsidR="00E81A9F" w:rsidRPr="006B49E7">
        <w:rPr>
          <w:rFonts w:hint="eastAsia"/>
          <w:color w:val="000000" w:themeColor="text1"/>
          <w:sz w:val="21"/>
          <w:szCs w:val="21"/>
        </w:rPr>
        <w:t>LI</w:t>
      </w:r>
      <w:r w:rsidR="00E81A9F" w:rsidRPr="006B49E7">
        <w:rPr>
          <w:color w:val="000000" w:themeColor="text1"/>
          <w:sz w:val="21"/>
          <w:szCs w:val="21"/>
        </w:rPr>
        <w:t xml:space="preserve"> J, HUA N, CAO J</w:t>
      </w:r>
      <w:r w:rsidR="006B49E7" w:rsidRPr="006B49E7">
        <w:rPr>
          <w:color w:val="000000" w:themeColor="text1"/>
          <w:sz w:val="21"/>
          <w:szCs w:val="21"/>
        </w:rPr>
        <w:t xml:space="preserve">, et al. </w:t>
      </w:r>
      <w:r w:rsidRPr="006B49E7">
        <w:rPr>
          <w:color w:val="000000" w:themeColor="text1"/>
          <w:sz w:val="21"/>
          <w:szCs w:val="21"/>
        </w:rPr>
        <w:t>Tracking spectral evolution: Agile few-shot light source recognition for optical network anomaly detection</w:t>
      </w:r>
      <w:r w:rsidR="006B49E7" w:rsidRPr="006B49E7">
        <w:rPr>
          <w:color w:val="000000" w:themeColor="text1"/>
          <w:sz w:val="21"/>
          <w:szCs w:val="21"/>
        </w:rPr>
        <w:t>[C]// 31st OptoElectronics and Communications Conference (OECC), 2026</w:t>
      </w:r>
      <w:r w:rsidRPr="006B49E7">
        <w:rPr>
          <w:color w:val="000000" w:themeColor="text1"/>
          <w:sz w:val="21"/>
          <w:szCs w:val="21"/>
        </w:rPr>
        <w:t>.</w:t>
      </w:r>
    </w:p>
    <w:p w14:paraId="66FD6BDE" w14:textId="77777777" w:rsidR="00016768" w:rsidRPr="00016768" w:rsidRDefault="00016768" w:rsidP="00CA6445">
      <w:pPr>
        <w:pStyle w:val="ac"/>
        <w:spacing w:before="0" w:beforeAutospacing="0" w:after="0" w:afterAutospacing="0"/>
        <w:jc w:val="both"/>
        <w:rPr>
          <w:color w:val="1F1F1F"/>
          <w:sz w:val="21"/>
          <w:szCs w:val="21"/>
        </w:rPr>
      </w:pPr>
      <w:r w:rsidRPr="00016768">
        <w:rPr>
          <w:color w:val="1F1F1F"/>
          <w:sz w:val="21"/>
          <w:szCs w:val="21"/>
        </w:rPr>
        <w:t>[20] ZHU K, HUA N, ZHENG X. Unifying spectrum measurements for digital twin optical networks via high-dimensional feature calibration and meta-learning[J]. Optics Express, 2026, 34(2): 3007-3024.</w:t>
      </w:r>
    </w:p>
    <w:p w14:paraId="23202487" w14:textId="77777777" w:rsidR="00016768" w:rsidRPr="00016768" w:rsidRDefault="00016768" w:rsidP="00CA6445">
      <w:pPr>
        <w:pStyle w:val="ac"/>
        <w:spacing w:before="0" w:beforeAutospacing="0" w:after="0" w:afterAutospacing="0"/>
        <w:jc w:val="both"/>
        <w:rPr>
          <w:color w:val="1F1F1F"/>
          <w:sz w:val="21"/>
          <w:szCs w:val="21"/>
        </w:rPr>
      </w:pPr>
      <w:r w:rsidRPr="00016768">
        <w:rPr>
          <w:color w:val="1F1F1F"/>
          <w:sz w:val="21"/>
          <w:szCs w:val="21"/>
        </w:rPr>
        <w:t>[21] JOLLIFFE I. Principal component analysis[M]. Berlin Heidelberg: Springer, 2011.</w:t>
      </w:r>
    </w:p>
    <w:p w14:paraId="23261E2B" w14:textId="329D25F7" w:rsidR="00016768" w:rsidRDefault="00016768" w:rsidP="00CA6445">
      <w:pPr>
        <w:pStyle w:val="ac"/>
        <w:spacing w:before="0" w:beforeAutospacing="0" w:after="0" w:afterAutospacing="0"/>
        <w:jc w:val="both"/>
        <w:rPr>
          <w:color w:val="1F1F1F"/>
          <w:sz w:val="21"/>
          <w:szCs w:val="21"/>
        </w:rPr>
      </w:pPr>
      <w:r w:rsidRPr="00016768">
        <w:rPr>
          <w:color w:val="1F1F1F"/>
          <w:sz w:val="21"/>
          <w:szCs w:val="21"/>
        </w:rPr>
        <w:lastRenderedPageBreak/>
        <w:t>[22] CHAPELLE O. Training a support vector machine in the primal[J]. Neural Computation, 2007, 19(5): 1155-1178.</w:t>
      </w:r>
    </w:p>
    <w:p w14:paraId="51C651DE" w14:textId="19725B4D" w:rsidR="00D43D09" w:rsidRPr="00D43D09" w:rsidRDefault="00D43D09" w:rsidP="00D43D09">
      <w:pPr>
        <w:spacing w:afterLines="50" w:after="156"/>
        <w:rPr>
          <w:rFonts w:ascii="宋体" w:eastAsia="宋体" w:hAnsi="宋体" w:cs="宋体"/>
          <w:color w:val="1F1F1F"/>
          <w:kern w:val="0"/>
          <w:szCs w:val="21"/>
        </w:rPr>
      </w:pPr>
      <w:r w:rsidRPr="00FD1F9F">
        <w:rPr>
          <w:rFonts w:ascii="宋体" w:eastAsia="宋体" w:hAnsi="宋体" w:cs="宋体"/>
          <w:color w:val="1F1F1F"/>
          <w:kern w:val="0"/>
          <w:szCs w:val="21"/>
        </w:rPr>
        <w:t>[</w:t>
      </w:r>
      <w:r>
        <w:rPr>
          <w:rFonts w:ascii="宋体" w:eastAsia="宋体" w:hAnsi="宋体" w:cs="宋体"/>
          <w:color w:val="1F1F1F"/>
          <w:kern w:val="0"/>
          <w:szCs w:val="21"/>
        </w:rPr>
        <w:t>23</w:t>
      </w:r>
      <w:r w:rsidRPr="00FD1F9F">
        <w:rPr>
          <w:rFonts w:ascii="宋体" w:eastAsia="宋体" w:hAnsi="宋体" w:cs="宋体"/>
          <w:color w:val="1F1F1F"/>
          <w:kern w:val="0"/>
          <w:szCs w:val="21"/>
        </w:rPr>
        <w:t xml:space="preserve">] CAO J, HUA N, </w:t>
      </w:r>
      <w:r>
        <w:rPr>
          <w:rFonts w:ascii="宋体" w:eastAsia="宋体" w:hAnsi="宋体" w:cs="宋体"/>
          <w:color w:val="1F1F1F"/>
          <w:kern w:val="0"/>
          <w:szCs w:val="21"/>
        </w:rPr>
        <w:t>ZHU K</w:t>
      </w:r>
      <w:r w:rsidRPr="00FD1F9F">
        <w:rPr>
          <w:rFonts w:ascii="宋体" w:eastAsia="宋体" w:hAnsi="宋体" w:cs="宋体"/>
          <w:color w:val="1F1F1F"/>
          <w:kern w:val="0"/>
          <w:szCs w:val="21"/>
        </w:rPr>
        <w:t>, et al. Impact of data acquisition accuracy on the performance of digital twin optical networks [C]// 2025 Asia Communications and Photonics Conference (ACP). 2025.</w:t>
      </w:r>
    </w:p>
    <w:p w14:paraId="08602A45" w14:textId="6B017973" w:rsidR="00016768" w:rsidRPr="00016768" w:rsidRDefault="00D43D09" w:rsidP="00CA6445">
      <w:pPr>
        <w:pStyle w:val="ac"/>
        <w:spacing w:before="0" w:beforeAutospacing="0" w:after="0" w:afterAutospacing="0"/>
        <w:jc w:val="both"/>
        <w:rPr>
          <w:color w:val="1F1F1F"/>
          <w:sz w:val="21"/>
          <w:szCs w:val="21"/>
        </w:rPr>
      </w:pPr>
      <w:r>
        <w:rPr>
          <w:color w:val="1F1F1F"/>
          <w:sz w:val="21"/>
          <w:szCs w:val="21"/>
        </w:rPr>
        <w:t>[24</w:t>
      </w:r>
      <w:r w:rsidR="00016768" w:rsidRPr="00016768">
        <w:rPr>
          <w:color w:val="1F1F1F"/>
          <w:sz w:val="21"/>
          <w:szCs w:val="21"/>
        </w:rPr>
        <w:t>] HOSPEDALES T, ANTONIOU A, MICAELLI P, et al. Meta-learning in neural networks: A survey[J]. IEEE Transactions on Pattern Analysis and Machine Intelligence, 2022, 44(9): 5149-5169.</w:t>
      </w:r>
    </w:p>
    <w:p w14:paraId="4881CB05" w14:textId="14E430AF" w:rsidR="00016768" w:rsidRPr="00016768" w:rsidRDefault="00016768" w:rsidP="00CA6445">
      <w:pPr>
        <w:pStyle w:val="ac"/>
        <w:spacing w:before="0" w:beforeAutospacing="0" w:after="0" w:afterAutospacing="0"/>
        <w:jc w:val="both"/>
        <w:rPr>
          <w:color w:val="1F1F1F"/>
          <w:sz w:val="21"/>
          <w:szCs w:val="21"/>
        </w:rPr>
      </w:pPr>
      <w:r w:rsidRPr="00016768">
        <w:rPr>
          <w:color w:val="1F1F1F"/>
          <w:sz w:val="21"/>
          <w:szCs w:val="21"/>
        </w:rPr>
        <w:t>[25] LIU X, LUN H, LIU L, et al. A meta-learning-assisted training framework for physical layer modeling in optical networks[J]. Journal of Lightwave Technology, 2022, 40(9): 2684-2695.</w:t>
      </w:r>
    </w:p>
    <w:p w14:paraId="36564F84" w14:textId="77777777" w:rsidR="00016768" w:rsidRPr="00016768" w:rsidRDefault="00016768" w:rsidP="00CA6445">
      <w:pPr>
        <w:pStyle w:val="ac"/>
        <w:spacing w:before="0" w:beforeAutospacing="0" w:after="0" w:afterAutospacing="0"/>
        <w:jc w:val="both"/>
        <w:rPr>
          <w:color w:val="1F1F1F"/>
          <w:sz w:val="21"/>
          <w:szCs w:val="21"/>
        </w:rPr>
      </w:pPr>
      <w:r w:rsidRPr="00016768">
        <w:rPr>
          <w:color w:val="1F1F1F"/>
          <w:sz w:val="21"/>
          <w:szCs w:val="21"/>
        </w:rPr>
        <w:t>[26] ZHANG Y, ZHOU P, LIU Y, et al. Fast adaptation of multi-task meta-learning for optical performance monitoring[J]. Optics Express, 2023, 31(14): 23183-23197.</w:t>
      </w:r>
    </w:p>
    <w:p w14:paraId="2835467C" w14:textId="77777777" w:rsidR="00016768" w:rsidRPr="00016768" w:rsidRDefault="00016768" w:rsidP="00CA6445">
      <w:pPr>
        <w:pStyle w:val="ac"/>
        <w:spacing w:before="0" w:beforeAutospacing="0" w:after="0" w:afterAutospacing="0"/>
        <w:jc w:val="both"/>
        <w:rPr>
          <w:color w:val="1F1F1F"/>
          <w:sz w:val="21"/>
          <w:szCs w:val="21"/>
        </w:rPr>
      </w:pPr>
      <w:r w:rsidRPr="00016768">
        <w:rPr>
          <w:color w:val="1F1F1F"/>
          <w:sz w:val="21"/>
          <w:szCs w:val="21"/>
        </w:rPr>
        <w:t>[27] PASTOR-NARANJO F, ROMERO-HUEDO J, MORA J, et al. AI-driven digital twin for millimeter-wave photonic fronthaul links[C]// 2025 Joint European Conference on Networks and Communications &amp; 6G Summit (EuCNC/6G Summit). IEEE, 2025.</w:t>
      </w:r>
    </w:p>
    <w:p w14:paraId="1EDDBA1F" w14:textId="7366D92F" w:rsidR="00016768" w:rsidRPr="00B05070" w:rsidRDefault="00016768" w:rsidP="00CA6445">
      <w:pPr>
        <w:pStyle w:val="ac"/>
        <w:spacing w:before="0" w:beforeAutospacing="0" w:after="0" w:afterAutospacing="0"/>
        <w:jc w:val="both"/>
        <w:rPr>
          <w:color w:val="000000" w:themeColor="text1"/>
          <w:sz w:val="21"/>
          <w:szCs w:val="21"/>
        </w:rPr>
      </w:pPr>
      <w:r w:rsidRPr="00B05070">
        <w:rPr>
          <w:color w:val="000000" w:themeColor="text1"/>
          <w:sz w:val="21"/>
          <w:szCs w:val="21"/>
        </w:rPr>
        <w:t xml:space="preserve">[28] </w:t>
      </w:r>
      <w:r w:rsidR="006B49E7" w:rsidRPr="00B05070">
        <w:rPr>
          <w:color w:val="000000" w:themeColor="text1"/>
          <w:sz w:val="21"/>
          <w:szCs w:val="21"/>
        </w:rPr>
        <w:t xml:space="preserve">CAO J, HUA N, LI J, et al. </w:t>
      </w:r>
      <w:r w:rsidRPr="00B05070">
        <w:rPr>
          <w:color w:val="000000" w:themeColor="text1"/>
          <w:sz w:val="21"/>
          <w:szCs w:val="21"/>
        </w:rPr>
        <w:t>Low-resolution spectral fusion for physical-layer anomaly detection in optical networks</w:t>
      </w:r>
      <w:r w:rsidR="006B49E7" w:rsidRPr="00B05070">
        <w:rPr>
          <w:color w:val="000000" w:themeColor="text1"/>
          <w:sz w:val="21"/>
          <w:szCs w:val="21"/>
        </w:rPr>
        <w:t>[C]// 2026 Conference on Lasers and Electro-Optics (CLEO),</w:t>
      </w:r>
      <w:r w:rsidRPr="00B05070">
        <w:rPr>
          <w:color w:val="000000" w:themeColor="text1"/>
          <w:sz w:val="21"/>
          <w:szCs w:val="21"/>
        </w:rPr>
        <w:t xml:space="preserve"> 2026.</w:t>
      </w:r>
    </w:p>
    <w:p w14:paraId="3B39FE25" w14:textId="77777777" w:rsidR="00016768" w:rsidRPr="00016768" w:rsidRDefault="00016768" w:rsidP="00CA6445">
      <w:pPr>
        <w:pStyle w:val="ac"/>
        <w:spacing w:before="0" w:beforeAutospacing="0" w:after="0" w:afterAutospacing="0"/>
        <w:jc w:val="both"/>
        <w:rPr>
          <w:color w:val="1F1F1F"/>
          <w:sz w:val="21"/>
          <w:szCs w:val="21"/>
        </w:rPr>
      </w:pPr>
      <w:r w:rsidRPr="00016768">
        <w:rPr>
          <w:color w:val="1F1F1F"/>
          <w:sz w:val="21"/>
          <w:szCs w:val="21"/>
        </w:rPr>
        <w:t>[29] MOHAMED M C, AMBROSONE R, D'INGILLO R, et al. Leveraging digital twins to build comprehensive network failure databases for predictive machine learning in optical transport networks[C]// 2025 IEEE International Conference on Advanced Networks and Telecommunications Systems. 2025.</w:t>
      </w:r>
    </w:p>
    <w:p w14:paraId="3AD7A4D6" w14:textId="77777777" w:rsidR="00016768" w:rsidRPr="00016768" w:rsidRDefault="00016768" w:rsidP="00CA6445">
      <w:pPr>
        <w:pStyle w:val="ac"/>
        <w:spacing w:before="0" w:beforeAutospacing="0" w:after="0" w:afterAutospacing="0"/>
        <w:jc w:val="both"/>
        <w:rPr>
          <w:color w:val="1F1F1F"/>
          <w:sz w:val="21"/>
          <w:szCs w:val="21"/>
        </w:rPr>
      </w:pPr>
      <w:r w:rsidRPr="00016768">
        <w:rPr>
          <w:color w:val="1F1F1F"/>
          <w:sz w:val="21"/>
          <w:szCs w:val="21"/>
        </w:rPr>
        <w:t>[30] WANG R, ZHANG J, MUSUMECI F, et al. Meta-learning-based failure localization with digital-twin-enabled multi-mirror models in optical networks[C]// ECOC 2023. Glasgow, Scotland, 2023.</w:t>
      </w:r>
    </w:p>
    <w:p w14:paraId="4A09D4C5" w14:textId="77777777" w:rsidR="00D43D09" w:rsidRDefault="00D43D09" w:rsidP="00CA6445">
      <w:pPr>
        <w:rPr>
          <w:rFonts w:ascii="Times New Roman" w:eastAsia="宋体" w:hAnsi="Times New Roman" w:cs="Times New Roman"/>
          <w:b/>
          <w:color w:val="000000" w:themeColor="text1"/>
        </w:rPr>
      </w:pPr>
    </w:p>
    <w:p w14:paraId="07ECD3E8" w14:textId="5EFF8A6A" w:rsidR="0003508C" w:rsidRPr="008E16B3" w:rsidRDefault="0003508C" w:rsidP="004D45FD">
      <w:pPr>
        <w:rPr>
          <w:rFonts w:ascii="Times New Roman" w:eastAsia="宋体" w:hAnsi="Times New Roman" w:cs="Times New Roman"/>
          <w:color w:val="000000" w:themeColor="text1"/>
        </w:rPr>
      </w:pPr>
      <w:r w:rsidRPr="0003508C">
        <w:rPr>
          <w:rFonts w:ascii="Times New Roman" w:eastAsia="宋体" w:hAnsi="Times New Roman" w:cs="Times New Roman" w:hint="eastAsia"/>
          <w:b/>
          <w:color w:val="000000" w:themeColor="text1"/>
        </w:rPr>
        <w:t>基金项目</w:t>
      </w:r>
      <w:r w:rsidRPr="0003508C">
        <w:rPr>
          <w:rFonts w:ascii="Times New Roman" w:eastAsia="宋体" w:hAnsi="Times New Roman" w:cs="Times New Roman" w:hint="eastAsia"/>
          <w:color w:val="000000" w:themeColor="text1"/>
        </w:rPr>
        <w:t>：国家重点研发计划项目（</w:t>
      </w:r>
      <w:r w:rsidR="008E16B3" w:rsidRPr="008E16B3">
        <w:rPr>
          <w:rFonts w:ascii="Times New Roman" w:eastAsia="宋体" w:hAnsi="Times New Roman" w:cs="Times New Roman"/>
          <w:color w:val="000000" w:themeColor="text1"/>
        </w:rPr>
        <w:t>2022YFB2903304</w:t>
      </w:r>
      <w:r w:rsidRPr="0003508C">
        <w:rPr>
          <w:rFonts w:ascii="Times New Roman" w:eastAsia="宋体" w:hAnsi="Times New Roman" w:cs="Times New Roman" w:hint="eastAsia"/>
          <w:color w:val="000000" w:themeColor="text1"/>
        </w:rPr>
        <w:t>）资助；</w:t>
      </w:r>
      <w:r w:rsidR="008E16B3" w:rsidRPr="008E16B3">
        <w:rPr>
          <w:rFonts w:ascii="Times New Roman" w:eastAsia="宋体" w:hAnsi="Times New Roman" w:cs="Times New Roman" w:hint="eastAsia"/>
          <w:color w:val="000000" w:themeColor="text1"/>
        </w:rPr>
        <w:t>深圳市科技</w:t>
      </w:r>
      <w:r w:rsidR="008E16B3">
        <w:rPr>
          <w:rFonts w:ascii="Times New Roman" w:eastAsia="宋体" w:hAnsi="Times New Roman" w:cs="Times New Roman" w:hint="eastAsia"/>
          <w:color w:val="000000" w:themeColor="text1"/>
        </w:rPr>
        <w:t>计划</w:t>
      </w:r>
      <w:r w:rsidRPr="0003508C">
        <w:rPr>
          <w:rFonts w:ascii="Times New Roman" w:eastAsia="宋体" w:hAnsi="Times New Roman" w:cs="Times New Roman" w:hint="eastAsia"/>
          <w:color w:val="000000" w:themeColor="text1"/>
        </w:rPr>
        <w:t>项目（</w:t>
      </w:r>
      <w:r w:rsidR="008E16B3" w:rsidRPr="008E16B3">
        <w:rPr>
          <w:rFonts w:ascii="Times New Roman" w:eastAsia="宋体" w:hAnsi="Times New Roman" w:cs="Times New Roman"/>
          <w:color w:val="000000" w:themeColor="text1"/>
        </w:rPr>
        <w:t>KJZD20240903100009013</w:t>
      </w:r>
      <w:r w:rsidRPr="0003508C">
        <w:rPr>
          <w:rFonts w:ascii="Times New Roman" w:eastAsia="宋体" w:hAnsi="Times New Roman" w:cs="Times New Roman" w:hint="eastAsia"/>
          <w:color w:val="000000" w:themeColor="text1"/>
        </w:rPr>
        <w:t>）资助。</w:t>
      </w:r>
      <w:bookmarkStart w:id="15" w:name="_GoBack"/>
      <w:bookmarkEnd w:id="15"/>
    </w:p>
    <w:sectPr w:rsidR="0003508C" w:rsidRPr="008E16B3" w:rsidSect="0096047C">
      <w:type w:val="continuous"/>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78CCB3" w14:textId="77777777" w:rsidR="00E915FF" w:rsidRDefault="00E915FF" w:rsidP="00AE4347">
      <w:r>
        <w:separator/>
      </w:r>
    </w:p>
  </w:endnote>
  <w:endnote w:type="continuationSeparator" w:id="0">
    <w:p w14:paraId="5A09F009" w14:textId="77777777" w:rsidR="00E915FF" w:rsidRDefault="00E915FF" w:rsidP="00AE43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Arial Unicode MS"/>
    <w:charset w:val="86"/>
    <w:family w:val="auto"/>
    <w:pitch w:val="variable"/>
    <w:sig w:usb0="00000000" w:usb1="38CF7CFA" w:usb2="00000016" w:usb3="00000000" w:csb0="0004000F" w:csb1="00000000"/>
  </w:font>
  <w:font w:name="等线 Light">
    <w:altName w:val="Arial Unicode MS"/>
    <w:charset w:val="86"/>
    <w:family w:val="auto"/>
    <w:pitch w:val="variable"/>
    <w:sig w:usb0="00000000" w:usb1="38CF7CFA" w:usb2="00000016" w:usb3="00000000" w:csb0="0004000F" w:csb1="00000000"/>
  </w:font>
  <w:font w:name="宋体">
    <w:altName w:val="SimSun"/>
    <w:panose1 w:val="02010600030101010101"/>
    <w:charset w:val="86"/>
    <w:family w:val="auto"/>
    <w:pitch w:val="variable"/>
    <w:sig w:usb0="00000003" w:usb1="080E0000" w:usb2="00000010" w:usb3="00000000" w:csb0="00040001" w:csb1="00000000"/>
  </w:font>
  <w:font w:name="楷体">
    <w:altName w:val="Arial Unicode MS"/>
    <w:charset w:val="86"/>
    <w:family w:val="modern"/>
    <w:pitch w:val="fixed"/>
    <w:sig w:usb0="00000000" w:usb1="38CF7CFA" w:usb2="00000016" w:usb3="00000000" w:csb0="00040001" w:csb1="00000000"/>
  </w:font>
  <w:font w:name="黑体">
    <w:altName w:val="SimHei"/>
    <w:panose1 w:val="02010600030101010101"/>
    <w:charset w:val="86"/>
    <w:family w:val="auto"/>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338435" w14:textId="77777777" w:rsidR="00E915FF" w:rsidRDefault="00E915FF" w:rsidP="00AE4347">
      <w:r>
        <w:separator/>
      </w:r>
    </w:p>
  </w:footnote>
  <w:footnote w:type="continuationSeparator" w:id="0">
    <w:p w14:paraId="27E6A10C" w14:textId="77777777" w:rsidR="00E915FF" w:rsidRDefault="00E915FF" w:rsidP="00AE434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C4364"/>
    <w:multiLevelType w:val="multilevel"/>
    <w:tmpl w:val="3056A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38191C"/>
    <w:multiLevelType w:val="multilevel"/>
    <w:tmpl w:val="148EE794"/>
    <w:lvl w:ilvl="0">
      <w:start w:val="1"/>
      <w:numFmt w:val="decimal"/>
      <w:lvlText w:val="%1."/>
      <w:lvlJc w:val="left"/>
      <w:pPr>
        <w:tabs>
          <w:tab w:val="num" w:pos="7200"/>
        </w:tabs>
        <w:ind w:left="7200" w:hanging="360"/>
      </w:pPr>
    </w:lvl>
    <w:lvl w:ilvl="1" w:tentative="1">
      <w:start w:val="1"/>
      <w:numFmt w:val="decimal"/>
      <w:lvlText w:val="%2."/>
      <w:lvlJc w:val="left"/>
      <w:pPr>
        <w:tabs>
          <w:tab w:val="num" w:pos="7920"/>
        </w:tabs>
        <w:ind w:left="7920" w:hanging="360"/>
      </w:pPr>
    </w:lvl>
    <w:lvl w:ilvl="2" w:tentative="1">
      <w:start w:val="1"/>
      <w:numFmt w:val="decimal"/>
      <w:lvlText w:val="%3."/>
      <w:lvlJc w:val="left"/>
      <w:pPr>
        <w:tabs>
          <w:tab w:val="num" w:pos="8640"/>
        </w:tabs>
        <w:ind w:left="8640" w:hanging="360"/>
      </w:pPr>
    </w:lvl>
    <w:lvl w:ilvl="3" w:tentative="1">
      <w:start w:val="1"/>
      <w:numFmt w:val="decimal"/>
      <w:lvlText w:val="%4."/>
      <w:lvlJc w:val="left"/>
      <w:pPr>
        <w:tabs>
          <w:tab w:val="num" w:pos="9360"/>
        </w:tabs>
        <w:ind w:left="9360" w:hanging="360"/>
      </w:pPr>
    </w:lvl>
    <w:lvl w:ilvl="4" w:tentative="1">
      <w:start w:val="1"/>
      <w:numFmt w:val="decimal"/>
      <w:lvlText w:val="%5."/>
      <w:lvlJc w:val="left"/>
      <w:pPr>
        <w:tabs>
          <w:tab w:val="num" w:pos="10080"/>
        </w:tabs>
        <w:ind w:left="10080" w:hanging="360"/>
      </w:pPr>
    </w:lvl>
    <w:lvl w:ilvl="5" w:tentative="1">
      <w:start w:val="1"/>
      <w:numFmt w:val="decimal"/>
      <w:lvlText w:val="%6."/>
      <w:lvlJc w:val="left"/>
      <w:pPr>
        <w:tabs>
          <w:tab w:val="num" w:pos="10800"/>
        </w:tabs>
        <w:ind w:left="10800" w:hanging="360"/>
      </w:pPr>
    </w:lvl>
    <w:lvl w:ilvl="6" w:tentative="1">
      <w:start w:val="1"/>
      <w:numFmt w:val="decimal"/>
      <w:lvlText w:val="%7."/>
      <w:lvlJc w:val="left"/>
      <w:pPr>
        <w:tabs>
          <w:tab w:val="num" w:pos="11520"/>
        </w:tabs>
        <w:ind w:left="11520" w:hanging="360"/>
      </w:pPr>
    </w:lvl>
    <w:lvl w:ilvl="7" w:tentative="1">
      <w:start w:val="1"/>
      <w:numFmt w:val="decimal"/>
      <w:lvlText w:val="%8."/>
      <w:lvlJc w:val="left"/>
      <w:pPr>
        <w:tabs>
          <w:tab w:val="num" w:pos="12240"/>
        </w:tabs>
        <w:ind w:left="12240" w:hanging="360"/>
      </w:pPr>
    </w:lvl>
    <w:lvl w:ilvl="8" w:tentative="1">
      <w:start w:val="1"/>
      <w:numFmt w:val="decimal"/>
      <w:lvlText w:val="%9."/>
      <w:lvlJc w:val="left"/>
      <w:pPr>
        <w:tabs>
          <w:tab w:val="num" w:pos="12960"/>
        </w:tabs>
        <w:ind w:left="12960" w:hanging="360"/>
      </w:pPr>
    </w:lvl>
  </w:abstractNum>
  <w:abstractNum w:abstractNumId="2">
    <w:nsid w:val="0EFD26E0"/>
    <w:multiLevelType w:val="hybridMultilevel"/>
    <w:tmpl w:val="4D3443FE"/>
    <w:lvl w:ilvl="0" w:tplc="C764C410">
      <w:start w:val="1"/>
      <w:numFmt w:val="decimal"/>
      <w:lvlText w:val="[%1]"/>
      <w:lvlJc w:val="left"/>
      <w:pPr>
        <w:ind w:left="440" w:hanging="440"/>
      </w:pPr>
      <w:rPr>
        <w:rFonts w:hint="eastAsia"/>
      </w:rPr>
    </w:lvl>
    <w:lvl w:ilvl="1" w:tplc="37181BC2">
      <w:start w:val="1"/>
      <w:numFmt w:val="lowerLetter"/>
      <w:lvlText w:val="%2)"/>
      <w:lvlJc w:val="left"/>
      <w:pPr>
        <w:ind w:left="880" w:hanging="440"/>
      </w:pPr>
    </w:lvl>
    <w:lvl w:ilvl="2" w:tplc="4B52E22C" w:tentative="1">
      <w:start w:val="1"/>
      <w:numFmt w:val="lowerRoman"/>
      <w:lvlText w:val="%3."/>
      <w:lvlJc w:val="right"/>
      <w:pPr>
        <w:ind w:left="1320" w:hanging="440"/>
      </w:pPr>
    </w:lvl>
    <w:lvl w:ilvl="3" w:tplc="559222BA" w:tentative="1">
      <w:start w:val="1"/>
      <w:numFmt w:val="decimal"/>
      <w:lvlText w:val="%4."/>
      <w:lvlJc w:val="left"/>
      <w:pPr>
        <w:ind w:left="1760" w:hanging="440"/>
      </w:pPr>
    </w:lvl>
    <w:lvl w:ilvl="4" w:tplc="7DA25138" w:tentative="1">
      <w:start w:val="1"/>
      <w:numFmt w:val="lowerLetter"/>
      <w:lvlText w:val="%5)"/>
      <w:lvlJc w:val="left"/>
      <w:pPr>
        <w:ind w:left="2200" w:hanging="440"/>
      </w:pPr>
    </w:lvl>
    <w:lvl w:ilvl="5" w:tplc="51F24888" w:tentative="1">
      <w:start w:val="1"/>
      <w:numFmt w:val="lowerRoman"/>
      <w:lvlText w:val="%6."/>
      <w:lvlJc w:val="right"/>
      <w:pPr>
        <w:ind w:left="2640" w:hanging="440"/>
      </w:pPr>
    </w:lvl>
    <w:lvl w:ilvl="6" w:tplc="1BC830AA" w:tentative="1">
      <w:start w:val="1"/>
      <w:numFmt w:val="decimal"/>
      <w:lvlText w:val="%7."/>
      <w:lvlJc w:val="left"/>
      <w:pPr>
        <w:ind w:left="3080" w:hanging="440"/>
      </w:pPr>
    </w:lvl>
    <w:lvl w:ilvl="7" w:tplc="3BA0F7A6" w:tentative="1">
      <w:start w:val="1"/>
      <w:numFmt w:val="lowerLetter"/>
      <w:lvlText w:val="%8)"/>
      <w:lvlJc w:val="left"/>
      <w:pPr>
        <w:ind w:left="3520" w:hanging="440"/>
      </w:pPr>
    </w:lvl>
    <w:lvl w:ilvl="8" w:tplc="5C5CC56E" w:tentative="1">
      <w:start w:val="1"/>
      <w:numFmt w:val="lowerRoman"/>
      <w:lvlText w:val="%9."/>
      <w:lvlJc w:val="right"/>
      <w:pPr>
        <w:ind w:left="3960" w:hanging="440"/>
      </w:pPr>
    </w:lvl>
  </w:abstractNum>
  <w:abstractNum w:abstractNumId="3">
    <w:nsid w:val="268D2B52"/>
    <w:multiLevelType w:val="multilevel"/>
    <w:tmpl w:val="55CCD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750539A"/>
    <w:multiLevelType w:val="multilevel"/>
    <w:tmpl w:val="EAFA0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BF57FA4"/>
    <w:multiLevelType w:val="multilevel"/>
    <w:tmpl w:val="03760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26E4ECC"/>
    <w:multiLevelType w:val="hybridMultilevel"/>
    <w:tmpl w:val="7D20A99E"/>
    <w:lvl w:ilvl="0" w:tplc="250E16F0">
      <w:start w:val="1"/>
      <w:numFmt w:val="lowerLetter"/>
      <w:lvlText w:val="(%1)"/>
      <w:lvlJc w:val="left"/>
      <w:pPr>
        <w:ind w:left="240" w:hanging="240"/>
      </w:pPr>
      <w:rPr>
        <w:rFonts w:ascii="Times New Roman" w:hAnsi="Times New Roman" w:cs="Times New Roman"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710E7761"/>
    <w:multiLevelType w:val="multilevel"/>
    <w:tmpl w:val="4C306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CC97007"/>
    <w:multiLevelType w:val="multilevel"/>
    <w:tmpl w:val="01740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6"/>
  </w:num>
  <w:num w:numId="3">
    <w:abstractNumId w:val="8"/>
  </w:num>
  <w:num w:numId="4">
    <w:abstractNumId w:val="4"/>
  </w:num>
  <w:num w:numId="5">
    <w:abstractNumId w:val="3"/>
  </w:num>
  <w:num w:numId="6">
    <w:abstractNumId w:val="7"/>
  </w:num>
  <w:num w:numId="7">
    <w:abstractNumId w:val="1"/>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62E8"/>
    <w:rsid w:val="00011B5A"/>
    <w:rsid w:val="0001211C"/>
    <w:rsid w:val="00016768"/>
    <w:rsid w:val="00024AA8"/>
    <w:rsid w:val="0003508C"/>
    <w:rsid w:val="000366A7"/>
    <w:rsid w:val="000426A2"/>
    <w:rsid w:val="0006399F"/>
    <w:rsid w:val="00066182"/>
    <w:rsid w:val="00071866"/>
    <w:rsid w:val="00071B7B"/>
    <w:rsid w:val="00074DD7"/>
    <w:rsid w:val="00086024"/>
    <w:rsid w:val="000869E6"/>
    <w:rsid w:val="00091B24"/>
    <w:rsid w:val="00097409"/>
    <w:rsid w:val="000A54ED"/>
    <w:rsid w:val="000A6B26"/>
    <w:rsid w:val="000C0512"/>
    <w:rsid w:val="000C2608"/>
    <w:rsid w:val="000C486F"/>
    <w:rsid w:val="000C6C2E"/>
    <w:rsid w:val="000D7F6E"/>
    <w:rsid w:val="000E6493"/>
    <w:rsid w:val="000F0996"/>
    <w:rsid w:val="000F5C87"/>
    <w:rsid w:val="00100FFB"/>
    <w:rsid w:val="001052E2"/>
    <w:rsid w:val="00105DB9"/>
    <w:rsid w:val="00110047"/>
    <w:rsid w:val="00113132"/>
    <w:rsid w:val="00113AFF"/>
    <w:rsid w:val="001147FD"/>
    <w:rsid w:val="001215AD"/>
    <w:rsid w:val="0012265D"/>
    <w:rsid w:val="00123630"/>
    <w:rsid w:val="001260C5"/>
    <w:rsid w:val="0012723A"/>
    <w:rsid w:val="0013274F"/>
    <w:rsid w:val="001339B3"/>
    <w:rsid w:val="001364DD"/>
    <w:rsid w:val="001378E8"/>
    <w:rsid w:val="00137F17"/>
    <w:rsid w:val="00154756"/>
    <w:rsid w:val="001570DD"/>
    <w:rsid w:val="001604D5"/>
    <w:rsid w:val="00161FC0"/>
    <w:rsid w:val="00163656"/>
    <w:rsid w:val="00165A6F"/>
    <w:rsid w:val="001756F6"/>
    <w:rsid w:val="0017621D"/>
    <w:rsid w:val="00191094"/>
    <w:rsid w:val="00197044"/>
    <w:rsid w:val="001A2329"/>
    <w:rsid w:val="001A5DDA"/>
    <w:rsid w:val="001A6608"/>
    <w:rsid w:val="001C237B"/>
    <w:rsid w:val="001C40FF"/>
    <w:rsid w:val="001E041D"/>
    <w:rsid w:val="001E5A8C"/>
    <w:rsid w:val="001F1236"/>
    <w:rsid w:val="00203F49"/>
    <w:rsid w:val="0021500A"/>
    <w:rsid w:val="002334EB"/>
    <w:rsid w:val="00233EB7"/>
    <w:rsid w:val="00234F0A"/>
    <w:rsid w:val="002352D1"/>
    <w:rsid w:val="00246103"/>
    <w:rsid w:val="002467A8"/>
    <w:rsid w:val="0025044C"/>
    <w:rsid w:val="002507EC"/>
    <w:rsid w:val="00256A35"/>
    <w:rsid w:val="002747DB"/>
    <w:rsid w:val="00287197"/>
    <w:rsid w:val="002922A0"/>
    <w:rsid w:val="00295FEF"/>
    <w:rsid w:val="002B490F"/>
    <w:rsid w:val="002C05E0"/>
    <w:rsid w:val="002D65A2"/>
    <w:rsid w:val="002E3ED6"/>
    <w:rsid w:val="002E6381"/>
    <w:rsid w:val="00300BA6"/>
    <w:rsid w:val="00301F5D"/>
    <w:rsid w:val="003028C1"/>
    <w:rsid w:val="0030319E"/>
    <w:rsid w:val="00304394"/>
    <w:rsid w:val="00312C16"/>
    <w:rsid w:val="00315CC4"/>
    <w:rsid w:val="0032139C"/>
    <w:rsid w:val="003241A3"/>
    <w:rsid w:val="00327585"/>
    <w:rsid w:val="00344846"/>
    <w:rsid w:val="0034648A"/>
    <w:rsid w:val="003479C6"/>
    <w:rsid w:val="00351A91"/>
    <w:rsid w:val="00362535"/>
    <w:rsid w:val="00370299"/>
    <w:rsid w:val="00371324"/>
    <w:rsid w:val="003724FD"/>
    <w:rsid w:val="0038062B"/>
    <w:rsid w:val="00391AE7"/>
    <w:rsid w:val="003A0B20"/>
    <w:rsid w:val="003B3F8B"/>
    <w:rsid w:val="003B4A75"/>
    <w:rsid w:val="003B4FC9"/>
    <w:rsid w:val="003B5C63"/>
    <w:rsid w:val="003C15F8"/>
    <w:rsid w:val="003C3464"/>
    <w:rsid w:val="003D751C"/>
    <w:rsid w:val="003D7694"/>
    <w:rsid w:val="003E2380"/>
    <w:rsid w:val="003E7769"/>
    <w:rsid w:val="003F3633"/>
    <w:rsid w:val="003F3723"/>
    <w:rsid w:val="003F42DD"/>
    <w:rsid w:val="003F7DC2"/>
    <w:rsid w:val="00401C2F"/>
    <w:rsid w:val="00401DC4"/>
    <w:rsid w:val="004034B6"/>
    <w:rsid w:val="00403A80"/>
    <w:rsid w:val="00405FD1"/>
    <w:rsid w:val="00407677"/>
    <w:rsid w:val="004076AC"/>
    <w:rsid w:val="00413074"/>
    <w:rsid w:val="00421539"/>
    <w:rsid w:val="0042312C"/>
    <w:rsid w:val="00432049"/>
    <w:rsid w:val="0043307A"/>
    <w:rsid w:val="0043507E"/>
    <w:rsid w:val="004500BD"/>
    <w:rsid w:val="00461648"/>
    <w:rsid w:val="00466AD2"/>
    <w:rsid w:val="00477B3C"/>
    <w:rsid w:val="004813E6"/>
    <w:rsid w:val="004918BE"/>
    <w:rsid w:val="00494671"/>
    <w:rsid w:val="0049604B"/>
    <w:rsid w:val="004B08E0"/>
    <w:rsid w:val="004B4CD3"/>
    <w:rsid w:val="004B6A77"/>
    <w:rsid w:val="004C1CB2"/>
    <w:rsid w:val="004C2109"/>
    <w:rsid w:val="004D0BAE"/>
    <w:rsid w:val="004D45FD"/>
    <w:rsid w:val="004F4022"/>
    <w:rsid w:val="004F7434"/>
    <w:rsid w:val="00516A56"/>
    <w:rsid w:val="00533343"/>
    <w:rsid w:val="005355CC"/>
    <w:rsid w:val="00537D36"/>
    <w:rsid w:val="00546B5B"/>
    <w:rsid w:val="005544F8"/>
    <w:rsid w:val="00555A16"/>
    <w:rsid w:val="00555B36"/>
    <w:rsid w:val="005628A2"/>
    <w:rsid w:val="00563AE3"/>
    <w:rsid w:val="00574834"/>
    <w:rsid w:val="005754D5"/>
    <w:rsid w:val="005802C7"/>
    <w:rsid w:val="00582D84"/>
    <w:rsid w:val="00585D04"/>
    <w:rsid w:val="005927CA"/>
    <w:rsid w:val="005A2A08"/>
    <w:rsid w:val="005A7DDD"/>
    <w:rsid w:val="005B3D02"/>
    <w:rsid w:val="005B5B9C"/>
    <w:rsid w:val="005B79A8"/>
    <w:rsid w:val="005C4928"/>
    <w:rsid w:val="005D5AAF"/>
    <w:rsid w:val="005E1046"/>
    <w:rsid w:val="005E573C"/>
    <w:rsid w:val="005F1872"/>
    <w:rsid w:val="00603E27"/>
    <w:rsid w:val="00607F01"/>
    <w:rsid w:val="0061525D"/>
    <w:rsid w:val="006212A1"/>
    <w:rsid w:val="006239F3"/>
    <w:rsid w:val="00624614"/>
    <w:rsid w:val="00625133"/>
    <w:rsid w:val="00636C3A"/>
    <w:rsid w:val="0063773C"/>
    <w:rsid w:val="00637749"/>
    <w:rsid w:val="0064435E"/>
    <w:rsid w:val="006453DB"/>
    <w:rsid w:val="00646D66"/>
    <w:rsid w:val="00651256"/>
    <w:rsid w:val="00653DE3"/>
    <w:rsid w:val="00662EF8"/>
    <w:rsid w:val="00667805"/>
    <w:rsid w:val="00667A2A"/>
    <w:rsid w:val="00667BDD"/>
    <w:rsid w:val="00670A4A"/>
    <w:rsid w:val="00677BE4"/>
    <w:rsid w:val="00682744"/>
    <w:rsid w:val="00685EB8"/>
    <w:rsid w:val="00690FB3"/>
    <w:rsid w:val="00691B4C"/>
    <w:rsid w:val="00694FBB"/>
    <w:rsid w:val="0069562A"/>
    <w:rsid w:val="006A23EA"/>
    <w:rsid w:val="006A4B66"/>
    <w:rsid w:val="006B49E7"/>
    <w:rsid w:val="006C1F33"/>
    <w:rsid w:val="006D089E"/>
    <w:rsid w:val="006D0EE2"/>
    <w:rsid w:val="006D0F52"/>
    <w:rsid w:val="006D2FF0"/>
    <w:rsid w:val="006D3495"/>
    <w:rsid w:val="006F1862"/>
    <w:rsid w:val="006F3A8F"/>
    <w:rsid w:val="00704AA3"/>
    <w:rsid w:val="00705EA5"/>
    <w:rsid w:val="00707C65"/>
    <w:rsid w:val="00707F02"/>
    <w:rsid w:val="00715422"/>
    <w:rsid w:val="007328BA"/>
    <w:rsid w:val="00732D82"/>
    <w:rsid w:val="00737181"/>
    <w:rsid w:val="00747B82"/>
    <w:rsid w:val="0075161F"/>
    <w:rsid w:val="00754002"/>
    <w:rsid w:val="007718A8"/>
    <w:rsid w:val="00775E47"/>
    <w:rsid w:val="0077776B"/>
    <w:rsid w:val="00782EF8"/>
    <w:rsid w:val="007838D2"/>
    <w:rsid w:val="00795DFA"/>
    <w:rsid w:val="00796049"/>
    <w:rsid w:val="007A1DFC"/>
    <w:rsid w:val="007A4EB2"/>
    <w:rsid w:val="007B6350"/>
    <w:rsid w:val="007C3FB0"/>
    <w:rsid w:val="007D2CDD"/>
    <w:rsid w:val="007E53D2"/>
    <w:rsid w:val="007E7B2F"/>
    <w:rsid w:val="007F0140"/>
    <w:rsid w:val="007F298F"/>
    <w:rsid w:val="0080595C"/>
    <w:rsid w:val="008108D8"/>
    <w:rsid w:val="0081293B"/>
    <w:rsid w:val="00813B66"/>
    <w:rsid w:val="00821842"/>
    <w:rsid w:val="008337CD"/>
    <w:rsid w:val="00840DA4"/>
    <w:rsid w:val="00843723"/>
    <w:rsid w:val="00844A35"/>
    <w:rsid w:val="008457B2"/>
    <w:rsid w:val="0085006A"/>
    <w:rsid w:val="008524AF"/>
    <w:rsid w:val="0085260E"/>
    <w:rsid w:val="008624F7"/>
    <w:rsid w:val="008764DC"/>
    <w:rsid w:val="0088078D"/>
    <w:rsid w:val="0088473C"/>
    <w:rsid w:val="0089001F"/>
    <w:rsid w:val="00891042"/>
    <w:rsid w:val="008949FA"/>
    <w:rsid w:val="008962DE"/>
    <w:rsid w:val="008977D6"/>
    <w:rsid w:val="008B0DFC"/>
    <w:rsid w:val="008B2BD1"/>
    <w:rsid w:val="008B2EC2"/>
    <w:rsid w:val="008C3355"/>
    <w:rsid w:val="008C7B13"/>
    <w:rsid w:val="008D710F"/>
    <w:rsid w:val="008E16B3"/>
    <w:rsid w:val="008E2E12"/>
    <w:rsid w:val="008E6FEA"/>
    <w:rsid w:val="008F7614"/>
    <w:rsid w:val="00902C79"/>
    <w:rsid w:val="0091007E"/>
    <w:rsid w:val="00910497"/>
    <w:rsid w:val="00912038"/>
    <w:rsid w:val="009160E9"/>
    <w:rsid w:val="00916C65"/>
    <w:rsid w:val="00920907"/>
    <w:rsid w:val="0092122E"/>
    <w:rsid w:val="00931B7D"/>
    <w:rsid w:val="00932333"/>
    <w:rsid w:val="00933AAD"/>
    <w:rsid w:val="00935B48"/>
    <w:rsid w:val="009424CC"/>
    <w:rsid w:val="00945D19"/>
    <w:rsid w:val="0094626E"/>
    <w:rsid w:val="00953577"/>
    <w:rsid w:val="009571AB"/>
    <w:rsid w:val="0096047C"/>
    <w:rsid w:val="0096458B"/>
    <w:rsid w:val="00977335"/>
    <w:rsid w:val="00977503"/>
    <w:rsid w:val="00985B59"/>
    <w:rsid w:val="009878FF"/>
    <w:rsid w:val="00987B46"/>
    <w:rsid w:val="009A0D05"/>
    <w:rsid w:val="009A3772"/>
    <w:rsid w:val="009A7D22"/>
    <w:rsid w:val="009B0622"/>
    <w:rsid w:val="009B12AE"/>
    <w:rsid w:val="009B2D43"/>
    <w:rsid w:val="009B3A48"/>
    <w:rsid w:val="009C2EF1"/>
    <w:rsid w:val="009C60EE"/>
    <w:rsid w:val="009D524D"/>
    <w:rsid w:val="009D68A3"/>
    <w:rsid w:val="009D7AD2"/>
    <w:rsid w:val="009E7C0C"/>
    <w:rsid w:val="009F3E17"/>
    <w:rsid w:val="00A01FE4"/>
    <w:rsid w:val="00A02A1E"/>
    <w:rsid w:val="00A03507"/>
    <w:rsid w:val="00A10906"/>
    <w:rsid w:val="00A141C7"/>
    <w:rsid w:val="00A21B7D"/>
    <w:rsid w:val="00A22E99"/>
    <w:rsid w:val="00A2367D"/>
    <w:rsid w:val="00A2411B"/>
    <w:rsid w:val="00A25AF8"/>
    <w:rsid w:val="00A267E0"/>
    <w:rsid w:val="00A35678"/>
    <w:rsid w:val="00A5202D"/>
    <w:rsid w:val="00A6221B"/>
    <w:rsid w:val="00A708B6"/>
    <w:rsid w:val="00A8799F"/>
    <w:rsid w:val="00A91A58"/>
    <w:rsid w:val="00A9229D"/>
    <w:rsid w:val="00AB19CD"/>
    <w:rsid w:val="00AB49D7"/>
    <w:rsid w:val="00AB6B0D"/>
    <w:rsid w:val="00AB72B6"/>
    <w:rsid w:val="00AC0D5C"/>
    <w:rsid w:val="00AC65CC"/>
    <w:rsid w:val="00AC7BDD"/>
    <w:rsid w:val="00AD3641"/>
    <w:rsid w:val="00AD7FED"/>
    <w:rsid w:val="00AE28D1"/>
    <w:rsid w:val="00AE4347"/>
    <w:rsid w:val="00AE55D2"/>
    <w:rsid w:val="00AF3825"/>
    <w:rsid w:val="00B0006D"/>
    <w:rsid w:val="00B0134A"/>
    <w:rsid w:val="00B05070"/>
    <w:rsid w:val="00B10C4D"/>
    <w:rsid w:val="00B10D19"/>
    <w:rsid w:val="00B12CEE"/>
    <w:rsid w:val="00B226BC"/>
    <w:rsid w:val="00B253D8"/>
    <w:rsid w:val="00B25BFC"/>
    <w:rsid w:val="00B27395"/>
    <w:rsid w:val="00B41EDC"/>
    <w:rsid w:val="00B44F73"/>
    <w:rsid w:val="00B46536"/>
    <w:rsid w:val="00B53C85"/>
    <w:rsid w:val="00B63CD0"/>
    <w:rsid w:val="00B66023"/>
    <w:rsid w:val="00B70276"/>
    <w:rsid w:val="00B757E7"/>
    <w:rsid w:val="00B906AF"/>
    <w:rsid w:val="00B932C1"/>
    <w:rsid w:val="00B94D18"/>
    <w:rsid w:val="00BA39CD"/>
    <w:rsid w:val="00BA6E5F"/>
    <w:rsid w:val="00BB009F"/>
    <w:rsid w:val="00BB0769"/>
    <w:rsid w:val="00BB33DA"/>
    <w:rsid w:val="00BD4C03"/>
    <w:rsid w:val="00BE2B33"/>
    <w:rsid w:val="00C0230D"/>
    <w:rsid w:val="00C127BE"/>
    <w:rsid w:val="00C248B1"/>
    <w:rsid w:val="00C36709"/>
    <w:rsid w:val="00C41654"/>
    <w:rsid w:val="00C42AC6"/>
    <w:rsid w:val="00C4455E"/>
    <w:rsid w:val="00C459BD"/>
    <w:rsid w:val="00C462E8"/>
    <w:rsid w:val="00C530D8"/>
    <w:rsid w:val="00C6539C"/>
    <w:rsid w:val="00C6561F"/>
    <w:rsid w:val="00C65819"/>
    <w:rsid w:val="00C77D10"/>
    <w:rsid w:val="00C87D04"/>
    <w:rsid w:val="00C91C05"/>
    <w:rsid w:val="00C9253C"/>
    <w:rsid w:val="00C9274F"/>
    <w:rsid w:val="00CA6445"/>
    <w:rsid w:val="00CB5871"/>
    <w:rsid w:val="00CC17F6"/>
    <w:rsid w:val="00CC24C8"/>
    <w:rsid w:val="00CD1783"/>
    <w:rsid w:val="00CD57AE"/>
    <w:rsid w:val="00CE19CC"/>
    <w:rsid w:val="00CF4720"/>
    <w:rsid w:val="00CF717F"/>
    <w:rsid w:val="00D00710"/>
    <w:rsid w:val="00D13482"/>
    <w:rsid w:val="00D24ADA"/>
    <w:rsid w:val="00D30127"/>
    <w:rsid w:val="00D3089E"/>
    <w:rsid w:val="00D3123E"/>
    <w:rsid w:val="00D4004D"/>
    <w:rsid w:val="00D41904"/>
    <w:rsid w:val="00D43D09"/>
    <w:rsid w:val="00D44367"/>
    <w:rsid w:val="00D47164"/>
    <w:rsid w:val="00D607B8"/>
    <w:rsid w:val="00D61E4B"/>
    <w:rsid w:val="00D66289"/>
    <w:rsid w:val="00D673C7"/>
    <w:rsid w:val="00D678B6"/>
    <w:rsid w:val="00D9042E"/>
    <w:rsid w:val="00D90FFA"/>
    <w:rsid w:val="00D97EAE"/>
    <w:rsid w:val="00DB0235"/>
    <w:rsid w:val="00DB2995"/>
    <w:rsid w:val="00DB4197"/>
    <w:rsid w:val="00DB44CF"/>
    <w:rsid w:val="00DC62EF"/>
    <w:rsid w:val="00DD7C5D"/>
    <w:rsid w:val="00DE5D36"/>
    <w:rsid w:val="00DE5DEF"/>
    <w:rsid w:val="00DF2BD0"/>
    <w:rsid w:val="00DF3981"/>
    <w:rsid w:val="00E07034"/>
    <w:rsid w:val="00E14035"/>
    <w:rsid w:val="00E17755"/>
    <w:rsid w:val="00E22782"/>
    <w:rsid w:val="00E2308D"/>
    <w:rsid w:val="00E23615"/>
    <w:rsid w:val="00E2410D"/>
    <w:rsid w:val="00E25971"/>
    <w:rsid w:val="00E3465B"/>
    <w:rsid w:val="00E34D37"/>
    <w:rsid w:val="00E466E2"/>
    <w:rsid w:val="00E51355"/>
    <w:rsid w:val="00E65198"/>
    <w:rsid w:val="00E66453"/>
    <w:rsid w:val="00E81A9F"/>
    <w:rsid w:val="00E81BE8"/>
    <w:rsid w:val="00E85EB3"/>
    <w:rsid w:val="00E915FF"/>
    <w:rsid w:val="00E9211C"/>
    <w:rsid w:val="00E94938"/>
    <w:rsid w:val="00EA030E"/>
    <w:rsid w:val="00EA3849"/>
    <w:rsid w:val="00EA5E48"/>
    <w:rsid w:val="00EB0454"/>
    <w:rsid w:val="00EB2196"/>
    <w:rsid w:val="00EC3DF7"/>
    <w:rsid w:val="00ED1621"/>
    <w:rsid w:val="00ED2B0B"/>
    <w:rsid w:val="00ED3D97"/>
    <w:rsid w:val="00ED64B1"/>
    <w:rsid w:val="00EE55CE"/>
    <w:rsid w:val="00EE6AD4"/>
    <w:rsid w:val="00EE7B5C"/>
    <w:rsid w:val="00EF7651"/>
    <w:rsid w:val="00F0289A"/>
    <w:rsid w:val="00F04858"/>
    <w:rsid w:val="00F05221"/>
    <w:rsid w:val="00F41263"/>
    <w:rsid w:val="00F42364"/>
    <w:rsid w:val="00F577B5"/>
    <w:rsid w:val="00F60215"/>
    <w:rsid w:val="00F618E3"/>
    <w:rsid w:val="00F641F9"/>
    <w:rsid w:val="00F672FA"/>
    <w:rsid w:val="00F7211D"/>
    <w:rsid w:val="00F94326"/>
    <w:rsid w:val="00FB4969"/>
    <w:rsid w:val="00FB4F70"/>
    <w:rsid w:val="00FC12C7"/>
    <w:rsid w:val="00FC2E36"/>
    <w:rsid w:val="00FC4421"/>
    <w:rsid w:val="00FD03A6"/>
    <w:rsid w:val="00FD1F9F"/>
    <w:rsid w:val="00FE55A4"/>
    <w:rsid w:val="00FF517F"/>
    <w:rsid w:val="00FF75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DC2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2049"/>
    <w:pPr>
      <w:widowControl w:val="0"/>
      <w:jc w:val="both"/>
    </w:pPr>
  </w:style>
  <w:style w:type="paragraph" w:styleId="4">
    <w:name w:val="heading 4"/>
    <w:basedOn w:val="a"/>
    <w:next w:val="a"/>
    <w:link w:val="4Char"/>
    <w:uiPriority w:val="9"/>
    <w:semiHidden/>
    <w:unhideWhenUsed/>
    <w:qFormat/>
    <w:rsid w:val="00C4455E"/>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CE19CC"/>
    <w:pPr>
      <w:tabs>
        <w:tab w:val="center" w:pos="4153"/>
        <w:tab w:val="right" w:pos="8306"/>
      </w:tabs>
      <w:snapToGrid w:val="0"/>
      <w:jc w:val="center"/>
    </w:pPr>
    <w:rPr>
      <w:sz w:val="18"/>
      <w:szCs w:val="18"/>
    </w:rPr>
  </w:style>
  <w:style w:type="character" w:customStyle="1" w:styleId="Char">
    <w:name w:val="页眉 Char"/>
    <w:basedOn w:val="a0"/>
    <w:link w:val="a3"/>
    <w:uiPriority w:val="99"/>
    <w:rsid w:val="00CE19CC"/>
    <w:rPr>
      <w:sz w:val="18"/>
      <w:szCs w:val="18"/>
    </w:rPr>
  </w:style>
  <w:style w:type="paragraph" w:styleId="a4">
    <w:name w:val="footer"/>
    <w:basedOn w:val="a"/>
    <w:link w:val="Char0"/>
    <w:uiPriority w:val="99"/>
    <w:unhideWhenUsed/>
    <w:rsid w:val="00CE19CC"/>
    <w:pPr>
      <w:tabs>
        <w:tab w:val="center" w:pos="4153"/>
        <w:tab w:val="right" w:pos="8306"/>
      </w:tabs>
      <w:snapToGrid w:val="0"/>
      <w:jc w:val="left"/>
    </w:pPr>
    <w:rPr>
      <w:sz w:val="18"/>
      <w:szCs w:val="18"/>
    </w:rPr>
  </w:style>
  <w:style w:type="character" w:customStyle="1" w:styleId="Char0">
    <w:name w:val="页脚 Char"/>
    <w:basedOn w:val="a0"/>
    <w:link w:val="a4"/>
    <w:uiPriority w:val="99"/>
    <w:rsid w:val="00CE19CC"/>
    <w:rPr>
      <w:sz w:val="18"/>
      <w:szCs w:val="18"/>
    </w:rPr>
  </w:style>
  <w:style w:type="paragraph" w:styleId="a5">
    <w:name w:val="List Paragraph"/>
    <w:basedOn w:val="a"/>
    <w:uiPriority w:val="34"/>
    <w:qFormat/>
    <w:rsid w:val="00A5202D"/>
    <w:pPr>
      <w:ind w:firstLineChars="200" w:firstLine="420"/>
    </w:pPr>
  </w:style>
  <w:style w:type="table" w:styleId="a6">
    <w:name w:val="Table Grid"/>
    <w:basedOn w:val="a1"/>
    <w:uiPriority w:val="39"/>
    <w:rsid w:val="00931B7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Revision"/>
    <w:hidden/>
    <w:uiPriority w:val="99"/>
    <w:semiHidden/>
    <w:rsid w:val="00625133"/>
  </w:style>
  <w:style w:type="paragraph" w:styleId="a8">
    <w:name w:val="Balloon Text"/>
    <w:basedOn w:val="a"/>
    <w:link w:val="Char1"/>
    <w:uiPriority w:val="99"/>
    <w:semiHidden/>
    <w:unhideWhenUsed/>
    <w:rsid w:val="0096047C"/>
    <w:rPr>
      <w:sz w:val="18"/>
      <w:szCs w:val="18"/>
    </w:rPr>
  </w:style>
  <w:style w:type="character" w:customStyle="1" w:styleId="Char1">
    <w:name w:val="批注框文本 Char"/>
    <w:basedOn w:val="a0"/>
    <w:link w:val="a8"/>
    <w:uiPriority w:val="99"/>
    <w:semiHidden/>
    <w:rsid w:val="0096047C"/>
    <w:rPr>
      <w:sz w:val="18"/>
      <w:szCs w:val="18"/>
    </w:rPr>
  </w:style>
  <w:style w:type="character" w:styleId="a9">
    <w:name w:val="annotation reference"/>
    <w:basedOn w:val="a0"/>
    <w:uiPriority w:val="99"/>
    <w:rsid w:val="000F3DF7"/>
    <w:rPr>
      <w:sz w:val="16"/>
      <w:szCs w:val="16"/>
    </w:rPr>
  </w:style>
  <w:style w:type="paragraph" w:styleId="aa">
    <w:name w:val="annotation text"/>
    <w:basedOn w:val="a"/>
    <w:link w:val="Char2"/>
    <w:uiPriority w:val="99"/>
    <w:rsid w:val="000F3DF7"/>
    <w:rPr>
      <w:sz w:val="20"/>
      <w:szCs w:val="20"/>
    </w:rPr>
  </w:style>
  <w:style w:type="character" w:customStyle="1" w:styleId="Char2">
    <w:name w:val="批注文字 Char"/>
    <w:basedOn w:val="a0"/>
    <w:link w:val="aa"/>
    <w:uiPriority w:val="99"/>
    <w:rsid w:val="000F3DF7"/>
    <w:rPr>
      <w:sz w:val="20"/>
      <w:szCs w:val="20"/>
    </w:rPr>
  </w:style>
  <w:style w:type="paragraph" w:styleId="ab">
    <w:name w:val="annotation subject"/>
    <w:basedOn w:val="aa"/>
    <w:next w:val="aa"/>
    <w:link w:val="Char3"/>
    <w:uiPriority w:val="99"/>
    <w:semiHidden/>
    <w:unhideWhenUsed/>
    <w:rsid w:val="007F298F"/>
    <w:pPr>
      <w:jc w:val="left"/>
    </w:pPr>
    <w:rPr>
      <w:b/>
      <w:bCs/>
      <w:sz w:val="21"/>
      <w:szCs w:val="22"/>
    </w:rPr>
  </w:style>
  <w:style w:type="character" w:customStyle="1" w:styleId="Char3">
    <w:name w:val="批注主题 Char"/>
    <w:basedOn w:val="Char2"/>
    <w:link w:val="ab"/>
    <w:uiPriority w:val="99"/>
    <w:semiHidden/>
    <w:rsid w:val="007F298F"/>
    <w:rPr>
      <w:b/>
      <w:bCs/>
      <w:sz w:val="20"/>
      <w:szCs w:val="20"/>
    </w:rPr>
  </w:style>
  <w:style w:type="character" w:customStyle="1" w:styleId="4Char">
    <w:name w:val="标题 4 Char"/>
    <w:basedOn w:val="a0"/>
    <w:link w:val="4"/>
    <w:uiPriority w:val="9"/>
    <w:semiHidden/>
    <w:rsid w:val="00C4455E"/>
    <w:rPr>
      <w:rFonts w:asciiTheme="majorHAnsi" w:eastAsiaTheme="majorEastAsia" w:hAnsiTheme="majorHAnsi" w:cstheme="majorBidi"/>
      <w:b/>
      <w:bCs/>
      <w:sz w:val="28"/>
      <w:szCs w:val="28"/>
    </w:rPr>
  </w:style>
  <w:style w:type="paragraph" w:styleId="ac">
    <w:name w:val="Normal (Web)"/>
    <w:basedOn w:val="a"/>
    <w:uiPriority w:val="99"/>
    <w:unhideWhenUsed/>
    <w:rsid w:val="00C4455E"/>
    <w:pPr>
      <w:widowControl/>
      <w:spacing w:before="100" w:beforeAutospacing="1" w:after="100" w:afterAutospacing="1"/>
      <w:jc w:val="left"/>
    </w:pPr>
    <w:rPr>
      <w:rFonts w:ascii="宋体" w:eastAsia="宋体" w:hAnsi="宋体" w:cs="宋体"/>
      <w:kern w:val="0"/>
      <w:sz w:val="24"/>
      <w:szCs w:val="24"/>
    </w:rPr>
  </w:style>
  <w:style w:type="character" w:customStyle="1" w:styleId="math-inline">
    <w:name w:val="math-inline"/>
    <w:basedOn w:val="a0"/>
    <w:rsid w:val="00C4455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2049"/>
    <w:pPr>
      <w:widowControl w:val="0"/>
      <w:jc w:val="both"/>
    </w:pPr>
  </w:style>
  <w:style w:type="paragraph" w:styleId="4">
    <w:name w:val="heading 4"/>
    <w:basedOn w:val="a"/>
    <w:next w:val="a"/>
    <w:link w:val="4Char"/>
    <w:uiPriority w:val="9"/>
    <w:semiHidden/>
    <w:unhideWhenUsed/>
    <w:qFormat/>
    <w:rsid w:val="00C4455E"/>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CE19CC"/>
    <w:pPr>
      <w:tabs>
        <w:tab w:val="center" w:pos="4153"/>
        <w:tab w:val="right" w:pos="8306"/>
      </w:tabs>
      <w:snapToGrid w:val="0"/>
      <w:jc w:val="center"/>
    </w:pPr>
    <w:rPr>
      <w:sz w:val="18"/>
      <w:szCs w:val="18"/>
    </w:rPr>
  </w:style>
  <w:style w:type="character" w:customStyle="1" w:styleId="Char">
    <w:name w:val="页眉 Char"/>
    <w:basedOn w:val="a0"/>
    <w:link w:val="a3"/>
    <w:uiPriority w:val="99"/>
    <w:rsid w:val="00CE19CC"/>
    <w:rPr>
      <w:sz w:val="18"/>
      <w:szCs w:val="18"/>
    </w:rPr>
  </w:style>
  <w:style w:type="paragraph" w:styleId="a4">
    <w:name w:val="footer"/>
    <w:basedOn w:val="a"/>
    <w:link w:val="Char0"/>
    <w:uiPriority w:val="99"/>
    <w:unhideWhenUsed/>
    <w:rsid w:val="00CE19CC"/>
    <w:pPr>
      <w:tabs>
        <w:tab w:val="center" w:pos="4153"/>
        <w:tab w:val="right" w:pos="8306"/>
      </w:tabs>
      <w:snapToGrid w:val="0"/>
      <w:jc w:val="left"/>
    </w:pPr>
    <w:rPr>
      <w:sz w:val="18"/>
      <w:szCs w:val="18"/>
    </w:rPr>
  </w:style>
  <w:style w:type="character" w:customStyle="1" w:styleId="Char0">
    <w:name w:val="页脚 Char"/>
    <w:basedOn w:val="a0"/>
    <w:link w:val="a4"/>
    <w:uiPriority w:val="99"/>
    <w:rsid w:val="00CE19CC"/>
    <w:rPr>
      <w:sz w:val="18"/>
      <w:szCs w:val="18"/>
    </w:rPr>
  </w:style>
  <w:style w:type="paragraph" w:styleId="a5">
    <w:name w:val="List Paragraph"/>
    <w:basedOn w:val="a"/>
    <w:uiPriority w:val="34"/>
    <w:qFormat/>
    <w:rsid w:val="00A5202D"/>
    <w:pPr>
      <w:ind w:firstLineChars="200" w:firstLine="420"/>
    </w:pPr>
  </w:style>
  <w:style w:type="table" w:styleId="a6">
    <w:name w:val="Table Grid"/>
    <w:basedOn w:val="a1"/>
    <w:uiPriority w:val="39"/>
    <w:rsid w:val="00931B7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Revision"/>
    <w:hidden/>
    <w:uiPriority w:val="99"/>
    <w:semiHidden/>
    <w:rsid w:val="00625133"/>
  </w:style>
  <w:style w:type="paragraph" w:styleId="a8">
    <w:name w:val="Balloon Text"/>
    <w:basedOn w:val="a"/>
    <w:link w:val="Char1"/>
    <w:uiPriority w:val="99"/>
    <w:semiHidden/>
    <w:unhideWhenUsed/>
    <w:rsid w:val="0096047C"/>
    <w:rPr>
      <w:sz w:val="18"/>
      <w:szCs w:val="18"/>
    </w:rPr>
  </w:style>
  <w:style w:type="character" w:customStyle="1" w:styleId="Char1">
    <w:name w:val="批注框文本 Char"/>
    <w:basedOn w:val="a0"/>
    <w:link w:val="a8"/>
    <w:uiPriority w:val="99"/>
    <w:semiHidden/>
    <w:rsid w:val="0096047C"/>
    <w:rPr>
      <w:sz w:val="18"/>
      <w:szCs w:val="18"/>
    </w:rPr>
  </w:style>
  <w:style w:type="character" w:styleId="a9">
    <w:name w:val="annotation reference"/>
    <w:basedOn w:val="a0"/>
    <w:uiPriority w:val="99"/>
    <w:rsid w:val="000F3DF7"/>
    <w:rPr>
      <w:sz w:val="16"/>
      <w:szCs w:val="16"/>
    </w:rPr>
  </w:style>
  <w:style w:type="paragraph" w:styleId="aa">
    <w:name w:val="annotation text"/>
    <w:basedOn w:val="a"/>
    <w:link w:val="Char2"/>
    <w:uiPriority w:val="99"/>
    <w:rsid w:val="000F3DF7"/>
    <w:rPr>
      <w:sz w:val="20"/>
      <w:szCs w:val="20"/>
    </w:rPr>
  </w:style>
  <w:style w:type="character" w:customStyle="1" w:styleId="Char2">
    <w:name w:val="批注文字 Char"/>
    <w:basedOn w:val="a0"/>
    <w:link w:val="aa"/>
    <w:uiPriority w:val="99"/>
    <w:rsid w:val="000F3DF7"/>
    <w:rPr>
      <w:sz w:val="20"/>
      <w:szCs w:val="20"/>
    </w:rPr>
  </w:style>
  <w:style w:type="paragraph" w:styleId="ab">
    <w:name w:val="annotation subject"/>
    <w:basedOn w:val="aa"/>
    <w:next w:val="aa"/>
    <w:link w:val="Char3"/>
    <w:uiPriority w:val="99"/>
    <w:semiHidden/>
    <w:unhideWhenUsed/>
    <w:rsid w:val="007F298F"/>
    <w:pPr>
      <w:jc w:val="left"/>
    </w:pPr>
    <w:rPr>
      <w:b/>
      <w:bCs/>
      <w:sz w:val="21"/>
      <w:szCs w:val="22"/>
    </w:rPr>
  </w:style>
  <w:style w:type="character" w:customStyle="1" w:styleId="Char3">
    <w:name w:val="批注主题 Char"/>
    <w:basedOn w:val="Char2"/>
    <w:link w:val="ab"/>
    <w:uiPriority w:val="99"/>
    <w:semiHidden/>
    <w:rsid w:val="007F298F"/>
    <w:rPr>
      <w:b/>
      <w:bCs/>
      <w:sz w:val="20"/>
      <w:szCs w:val="20"/>
    </w:rPr>
  </w:style>
  <w:style w:type="character" w:customStyle="1" w:styleId="4Char">
    <w:name w:val="标题 4 Char"/>
    <w:basedOn w:val="a0"/>
    <w:link w:val="4"/>
    <w:uiPriority w:val="9"/>
    <w:semiHidden/>
    <w:rsid w:val="00C4455E"/>
    <w:rPr>
      <w:rFonts w:asciiTheme="majorHAnsi" w:eastAsiaTheme="majorEastAsia" w:hAnsiTheme="majorHAnsi" w:cstheme="majorBidi"/>
      <w:b/>
      <w:bCs/>
      <w:sz w:val="28"/>
      <w:szCs w:val="28"/>
    </w:rPr>
  </w:style>
  <w:style w:type="paragraph" w:styleId="ac">
    <w:name w:val="Normal (Web)"/>
    <w:basedOn w:val="a"/>
    <w:uiPriority w:val="99"/>
    <w:unhideWhenUsed/>
    <w:rsid w:val="00C4455E"/>
    <w:pPr>
      <w:widowControl/>
      <w:spacing w:before="100" w:beforeAutospacing="1" w:after="100" w:afterAutospacing="1"/>
      <w:jc w:val="left"/>
    </w:pPr>
    <w:rPr>
      <w:rFonts w:ascii="宋体" w:eastAsia="宋体" w:hAnsi="宋体" w:cs="宋体"/>
      <w:kern w:val="0"/>
      <w:sz w:val="24"/>
      <w:szCs w:val="24"/>
    </w:rPr>
  </w:style>
  <w:style w:type="character" w:customStyle="1" w:styleId="math-inline">
    <w:name w:val="math-inline"/>
    <w:basedOn w:val="a0"/>
    <w:rsid w:val="00C445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0570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e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2D4287-3F88-41C3-8DE0-C600F17449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232</TotalTime>
  <Pages>10</Pages>
  <Words>2197</Words>
  <Characters>12524</Characters>
  <Application>Microsoft Office Word</Application>
  <DocSecurity>0</DocSecurity>
  <Lines>104</Lines>
  <Paragraphs>29</Paragraphs>
  <ScaleCrop>false</ScaleCrop>
  <Company/>
  <LinksUpToDate>false</LinksUpToDate>
  <CharactersWithSpaces>14692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顾 韩彬</dc:creator>
  <cp:lastModifiedBy>H</cp:lastModifiedBy>
  <cp:revision>33</cp:revision>
  <cp:lastPrinted>2025-02-17T04:00:00Z</cp:lastPrinted>
  <dcterms:created xsi:type="dcterms:W3CDTF">2026-05-26T03:36:00Z</dcterms:created>
  <dcterms:modified xsi:type="dcterms:W3CDTF">2026-05-29T03:41:00Z</dcterms:modified>
</cp:coreProperties>
</file>