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21E73" w14:textId="77777777" w:rsidR="00BD6A7C" w:rsidRPr="0010000E" w:rsidRDefault="00DF7B5C">
      <w:pPr>
        <w:jc w:val="center"/>
        <w:rPr>
          <w:rFonts w:ascii="楷体" w:eastAsia="楷体" w:hAnsi="楷体"/>
          <w:b/>
          <w:sz w:val="32"/>
          <w:szCs w:val="32"/>
          <w:vertAlign w:val="superscript"/>
        </w:rPr>
      </w:pPr>
      <w:r w:rsidRPr="0010000E">
        <w:rPr>
          <w:rFonts w:ascii="黑体" w:eastAsia="黑体" w:hAnsi="黑体" w:hint="eastAsia"/>
          <w:b/>
          <w:sz w:val="32"/>
          <w:szCs w:val="32"/>
        </w:rPr>
        <w:t>飞秒激光激发水线产生太赫兹辐射的研究</w:t>
      </w:r>
    </w:p>
    <w:p w14:paraId="4FE6EDE7" w14:textId="77777777" w:rsidR="00BD6A7C" w:rsidRPr="006F2E28" w:rsidRDefault="00DF7B5C">
      <w:pPr>
        <w:spacing w:line="360" w:lineRule="auto"/>
        <w:jc w:val="center"/>
        <w:rPr>
          <w:rFonts w:ascii="楷体_GB2312" w:eastAsia="楷体_GB2312" w:hAnsi="楷体"/>
          <w:b/>
          <w:sz w:val="24"/>
        </w:rPr>
      </w:pPr>
      <w:r w:rsidRPr="006F2E28">
        <w:rPr>
          <w:rFonts w:ascii="楷体_GB2312" w:eastAsia="楷体_GB2312" w:hAnsi="楷体" w:hint="eastAsia"/>
          <w:b/>
          <w:sz w:val="24"/>
        </w:rPr>
        <w:t>贺广超</w:t>
      </w:r>
      <w:r w:rsidR="00AB0E74">
        <w:rPr>
          <w:rFonts w:ascii="楷体_GB2312" w:eastAsia="楷体_GB2312" w:hAnsi="楷体" w:hint="eastAsia"/>
          <w:b/>
          <w:sz w:val="24"/>
        </w:rPr>
        <w:t>，</w:t>
      </w:r>
      <w:r w:rsidRPr="006F2E28">
        <w:rPr>
          <w:rFonts w:ascii="楷体_GB2312" w:eastAsia="楷体_GB2312" w:hAnsi="楷体" w:hint="eastAsia"/>
          <w:b/>
          <w:sz w:val="24"/>
        </w:rPr>
        <w:t>常超</w:t>
      </w:r>
      <w:r w:rsidR="00AB0E74">
        <w:rPr>
          <w:rFonts w:ascii="楷体_GB2312" w:eastAsia="楷体_GB2312" w:hAnsi="楷体" w:hint="eastAsia"/>
          <w:b/>
          <w:sz w:val="24"/>
        </w:rPr>
        <w:t>，</w:t>
      </w:r>
      <w:r w:rsidRPr="006F2E28">
        <w:rPr>
          <w:rFonts w:ascii="楷体_GB2312" w:eastAsia="楷体_GB2312" w:hAnsi="楷体" w:hint="eastAsia"/>
          <w:b/>
          <w:sz w:val="24"/>
        </w:rPr>
        <w:t>张勇</w:t>
      </w:r>
      <w:r w:rsidR="00AB0E74">
        <w:rPr>
          <w:rFonts w:ascii="楷体_GB2312" w:eastAsia="楷体_GB2312" w:hAnsi="楷体" w:hint="eastAsia"/>
          <w:b/>
          <w:sz w:val="24"/>
        </w:rPr>
        <w:t>，</w:t>
      </w:r>
      <w:r w:rsidRPr="006F2E28">
        <w:rPr>
          <w:rFonts w:ascii="楷体_GB2312" w:eastAsia="楷体_GB2312" w:hAnsi="楷体" w:hint="eastAsia"/>
          <w:b/>
          <w:sz w:val="24"/>
        </w:rPr>
        <w:t>李立容</w:t>
      </w:r>
    </w:p>
    <w:p w14:paraId="6941A5BC" w14:textId="77777777" w:rsidR="00BD6A7C" w:rsidRPr="000D00A3" w:rsidRDefault="00DF7B5C">
      <w:pPr>
        <w:spacing w:line="360" w:lineRule="auto"/>
        <w:jc w:val="center"/>
        <w:rPr>
          <w:rFonts w:asciiTheme="majorEastAsia" w:eastAsiaTheme="majorEastAsia" w:hAnsiTheme="majorEastAsia"/>
          <w:sz w:val="15"/>
          <w:szCs w:val="15"/>
        </w:rPr>
      </w:pPr>
      <w:r w:rsidRPr="000D00A3">
        <w:rPr>
          <w:rFonts w:asciiTheme="majorEastAsia" w:eastAsiaTheme="majorEastAsia" w:hAnsiTheme="majorEastAsia" w:hint="eastAsia"/>
          <w:sz w:val="15"/>
          <w:szCs w:val="15"/>
        </w:rPr>
        <w:t>(昆明理工大学 信息工程与自动化学院，昆明 650000)</w:t>
      </w:r>
    </w:p>
    <w:p w14:paraId="16800FF1" w14:textId="77777777" w:rsidR="00BD6A7C" w:rsidRPr="006F2E28" w:rsidRDefault="00DF7B5C">
      <w:pPr>
        <w:rPr>
          <w:rFonts w:ascii="楷体_GB2312" w:eastAsia="楷体_GB2312"/>
          <w:sz w:val="18"/>
          <w:szCs w:val="18"/>
        </w:rPr>
      </w:pPr>
      <w:r w:rsidRPr="006F2E28">
        <w:rPr>
          <w:rFonts w:ascii="楷体_GB2312" w:eastAsia="楷体_GB2312" w:hint="eastAsia"/>
          <w:b/>
          <w:sz w:val="18"/>
          <w:szCs w:val="18"/>
        </w:rPr>
        <w:t>摘要：</w:t>
      </w:r>
      <w:bookmarkStart w:id="0" w:name="OLE_LINK4"/>
      <w:bookmarkStart w:id="1" w:name="OLE_LINK3"/>
      <w:r w:rsidR="003A7C6E">
        <w:rPr>
          <w:rFonts w:ascii="楷体_GB2312" w:eastAsia="楷体_GB2312" w:hint="eastAsia"/>
          <w:sz w:val="18"/>
          <w:szCs w:val="18"/>
        </w:rPr>
        <w:t>为了进一步探究飞秒激光激发水线产生太赫兹</w:t>
      </w:r>
      <w:r w:rsidR="004727F1">
        <w:rPr>
          <w:rFonts w:ascii="楷体_GB2312" w:eastAsia="楷体_GB2312" w:hint="eastAsia"/>
          <w:sz w:val="18"/>
          <w:szCs w:val="18"/>
        </w:rPr>
        <w:t>辐射的影响因素，通过</w:t>
      </w:r>
      <w:r w:rsidR="004727F1">
        <w:rPr>
          <w:rFonts w:ascii="楷体_GB2312" w:eastAsia="楷体_GB2312"/>
          <w:sz w:val="18"/>
          <w:szCs w:val="18"/>
        </w:rPr>
        <w:t>实验研究了</w:t>
      </w:r>
      <w:r w:rsidRPr="006F2E28">
        <w:rPr>
          <w:rFonts w:ascii="楷体_GB2312" w:eastAsia="楷体_GB2312"/>
          <w:sz w:val="18"/>
          <w:szCs w:val="18"/>
        </w:rPr>
        <w:t>激光功率、激光焦点与水线相对位置、水线温度等因素对太赫兹辐射功率的影响，</w:t>
      </w:r>
      <w:r w:rsidR="0014374F">
        <w:rPr>
          <w:rFonts w:ascii="楷体_GB2312" w:eastAsia="楷体_GB2312"/>
          <w:sz w:val="18"/>
          <w:szCs w:val="18"/>
        </w:rPr>
        <w:t>结果表明：激光功率升高，太赫兹辐射功率随之升高，</w:t>
      </w:r>
      <w:r w:rsidRPr="006F2E28">
        <w:rPr>
          <w:rFonts w:ascii="楷体_GB2312" w:eastAsia="楷体_GB2312"/>
          <w:sz w:val="18"/>
          <w:szCs w:val="18"/>
        </w:rPr>
        <w:t>转换效率却在降低；水线</w:t>
      </w:r>
      <w:r w:rsidR="001214F2">
        <w:rPr>
          <w:rFonts w:ascii="楷体_GB2312" w:eastAsia="楷体_GB2312"/>
          <w:sz w:val="18"/>
          <w:szCs w:val="18"/>
        </w:rPr>
        <w:t>边缘比水线中心辐射出的</w:t>
      </w:r>
      <w:r w:rsidR="003A7C6E">
        <w:rPr>
          <w:rFonts w:ascii="楷体_GB2312" w:eastAsia="楷体_GB2312"/>
          <w:sz w:val="18"/>
          <w:szCs w:val="18"/>
        </w:rPr>
        <w:t>太赫兹波</w:t>
      </w:r>
      <w:r w:rsidR="001214F2">
        <w:rPr>
          <w:rFonts w:ascii="楷体_GB2312" w:eastAsia="楷体_GB2312"/>
          <w:sz w:val="18"/>
          <w:szCs w:val="18"/>
        </w:rPr>
        <w:t>功率高；水线温度的升高</w:t>
      </w:r>
      <w:r w:rsidR="00A35DF8">
        <w:rPr>
          <w:rFonts w:ascii="楷体_GB2312" w:eastAsia="楷体_GB2312"/>
          <w:sz w:val="18"/>
          <w:szCs w:val="18"/>
        </w:rPr>
        <w:t>，</w:t>
      </w:r>
      <w:r w:rsidR="001214F2">
        <w:rPr>
          <w:rFonts w:ascii="楷体_GB2312" w:eastAsia="楷体_GB2312"/>
          <w:sz w:val="18"/>
          <w:szCs w:val="18"/>
        </w:rPr>
        <w:t>提高了水线中心辐射出太赫兹波功率</w:t>
      </w:r>
      <w:r w:rsidRPr="006F2E28">
        <w:rPr>
          <w:rFonts w:ascii="楷体_GB2312" w:eastAsia="楷体_GB2312"/>
          <w:sz w:val="18"/>
          <w:szCs w:val="18"/>
        </w:rPr>
        <w:t>。</w:t>
      </w:r>
      <w:r w:rsidR="0014374F">
        <w:rPr>
          <w:rFonts w:ascii="楷体_GB2312" w:eastAsia="楷体_GB2312" w:hint="eastAsia"/>
          <w:sz w:val="18"/>
          <w:szCs w:val="18"/>
        </w:rPr>
        <w:t>建立水线与</w:t>
      </w:r>
      <w:r w:rsidRPr="006F2E28">
        <w:rPr>
          <w:rFonts w:ascii="楷体_GB2312" w:eastAsia="楷体_GB2312" w:hint="eastAsia"/>
          <w:sz w:val="18"/>
          <w:szCs w:val="18"/>
        </w:rPr>
        <w:t>邻近空气域</w:t>
      </w:r>
      <w:bookmarkEnd w:id="0"/>
      <w:bookmarkEnd w:id="1"/>
      <w:r w:rsidR="0014374F">
        <w:rPr>
          <w:rFonts w:ascii="楷体_GB2312" w:eastAsia="楷体_GB2312" w:hint="eastAsia"/>
          <w:sz w:val="18"/>
          <w:szCs w:val="18"/>
        </w:rPr>
        <w:t>的二维平面模型，并计算了太赫兹电场强度的分布情况，</w:t>
      </w:r>
      <w:r w:rsidR="001214F2">
        <w:rPr>
          <w:rFonts w:ascii="楷体_GB2312" w:eastAsia="楷体_GB2312" w:hint="eastAsia"/>
          <w:sz w:val="18"/>
          <w:szCs w:val="18"/>
        </w:rPr>
        <w:t>计算结果表明：</w:t>
      </w:r>
      <w:r w:rsidRPr="006F2E28">
        <w:rPr>
          <w:rFonts w:ascii="楷体_GB2312" w:eastAsia="楷体_GB2312" w:hint="eastAsia"/>
          <w:sz w:val="18"/>
          <w:szCs w:val="18"/>
        </w:rPr>
        <w:t>太赫兹波频率的增大，辐射至空气中的太赫兹波电场强度也在增大。</w:t>
      </w:r>
    </w:p>
    <w:p w14:paraId="49F04094" w14:textId="77777777" w:rsidR="00BD6A7C" w:rsidRPr="006F2E28" w:rsidRDefault="00DF7B5C">
      <w:pPr>
        <w:rPr>
          <w:sz w:val="18"/>
          <w:szCs w:val="18"/>
        </w:rPr>
      </w:pPr>
      <w:r w:rsidRPr="006F2E28">
        <w:rPr>
          <w:rFonts w:ascii="楷体_GB2312" w:eastAsia="楷体_GB2312" w:hint="eastAsia"/>
          <w:b/>
          <w:sz w:val="18"/>
          <w:szCs w:val="18"/>
        </w:rPr>
        <w:t>关键词：</w:t>
      </w:r>
      <w:r w:rsidRPr="006F2E28">
        <w:rPr>
          <w:rFonts w:ascii="楷体_GB2312" w:eastAsia="楷体_GB2312" w:hint="eastAsia"/>
          <w:sz w:val="18"/>
          <w:szCs w:val="18"/>
        </w:rPr>
        <w:t>飞秒激光；太赫兹液体源；太赫兹辐射；</w:t>
      </w:r>
      <w:r w:rsidRPr="006F2E28">
        <w:rPr>
          <w:sz w:val="18"/>
          <w:szCs w:val="18"/>
        </w:rPr>
        <w:t xml:space="preserve"> </w:t>
      </w:r>
      <w:r w:rsidRPr="006F2E28">
        <w:rPr>
          <w:rFonts w:ascii="楷体_GB2312" w:eastAsia="楷体_GB2312"/>
          <w:sz w:val="18"/>
          <w:szCs w:val="18"/>
        </w:rPr>
        <w:t>水线</w:t>
      </w:r>
    </w:p>
    <w:p w14:paraId="20EA582B" w14:textId="77777777" w:rsidR="00BD6A7C" w:rsidRPr="000D00A3" w:rsidRDefault="00DF7B5C">
      <w:pPr>
        <w:spacing w:line="360" w:lineRule="auto"/>
        <w:jc w:val="center"/>
        <w:rPr>
          <w:rFonts w:eastAsia="黑体"/>
          <w:b/>
          <w:sz w:val="32"/>
          <w:szCs w:val="36"/>
        </w:rPr>
      </w:pPr>
      <w:r w:rsidRPr="000D00A3">
        <w:rPr>
          <w:rFonts w:eastAsia="黑体"/>
          <w:b/>
          <w:sz w:val="32"/>
          <w:szCs w:val="36"/>
        </w:rPr>
        <w:t>Study on terahertz radiation generated by femtosecond laser excitation of water line</w:t>
      </w:r>
    </w:p>
    <w:p w14:paraId="59451A66" w14:textId="77777777" w:rsidR="00BD6A7C" w:rsidRPr="000D00A3" w:rsidRDefault="00DF7B5C">
      <w:pPr>
        <w:spacing w:line="360" w:lineRule="auto"/>
        <w:jc w:val="center"/>
        <w:rPr>
          <w:b/>
          <w:szCs w:val="21"/>
        </w:rPr>
      </w:pPr>
      <w:r w:rsidRPr="000D00A3">
        <w:rPr>
          <w:rFonts w:eastAsia="黑体"/>
          <w:b/>
          <w:szCs w:val="21"/>
        </w:rPr>
        <w:t>HE Guangchao,CHANG Chao,</w:t>
      </w:r>
      <w:r w:rsidRPr="000D00A3">
        <w:rPr>
          <w:b/>
          <w:szCs w:val="21"/>
        </w:rPr>
        <w:t>ZHANG Yong,LI Lirong</w:t>
      </w:r>
    </w:p>
    <w:p w14:paraId="4B129E69" w14:textId="77777777" w:rsidR="00BD6A7C" w:rsidRPr="0010000E" w:rsidRDefault="00DF7B5C">
      <w:pPr>
        <w:spacing w:line="360" w:lineRule="auto"/>
        <w:jc w:val="center"/>
        <w:rPr>
          <w:b/>
          <w:sz w:val="15"/>
          <w:szCs w:val="15"/>
        </w:rPr>
      </w:pPr>
      <w:r w:rsidRPr="0010000E">
        <w:rPr>
          <w:rFonts w:hint="eastAsia"/>
          <w:b/>
          <w:sz w:val="15"/>
          <w:szCs w:val="15"/>
        </w:rPr>
        <w:t>(Faculty of Information and Automating,Kunming University of Science and Technology, Kunming 650000,China)</w:t>
      </w:r>
    </w:p>
    <w:p w14:paraId="2453F671" w14:textId="77777777" w:rsidR="00EC36DC" w:rsidRDefault="00DF7B5C">
      <w:pPr>
        <w:rPr>
          <w:sz w:val="18"/>
          <w:szCs w:val="18"/>
        </w:rPr>
      </w:pPr>
      <w:r w:rsidRPr="006F2E28">
        <w:rPr>
          <w:rFonts w:hint="eastAsia"/>
          <w:sz w:val="18"/>
          <w:szCs w:val="18"/>
        </w:rPr>
        <w:t>Abstract:</w:t>
      </w:r>
      <w:r w:rsidR="00EC36DC">
        <w:rPr>
          <w:rFonts w:hint="eastAsia"/>
          <w:sz w:val="18"/>
          <w:szCs w:val="18"/>
        </w:rPr>
        <w:t xml:space="preserve"> </w:t>
      </w:r>
      <w:r w:rsidR="00EC36DC" w:rsidRPr="00EC36DC">
        <w:rPr>
          <w:sz w:val="18"/>
          <w:szCs w:val="18"/>
        </w:rPr>
        <w:t>In order to further investigate the factors influencing the terahertz radiation generated by femtosecond laser excitation of the water line, the influence of laser power, the relative position of the laser focus and the water line, and the temperature of the water line on the terahertz radiation power were experimentally investigated.</w:t>
      </w:r>
      <w:r w:rsidR="00F37FE4" w:rsidRPr="00F37FE4">
        <w:rPr>
          <w:sz w:val="18"/>
          <w:szCs w:val="18"/>
        </w:rPr>
        <w:t>The results show that as the laser power increases, the terahertz radiation power increases, but the conversion efficiency decreases. The power of the terahertz wave radiated from the edge of the waterline is higher than that from the centre of the waterline. As the waterline temperature increases, the terahertz wave power radiated from the centre of the waterline increases.</w:t>
      </w:r>
      <w:r w:rsidR="00F37FE4" w:rsidRPr="00F37FE4">
        <w:t xml:space="preserve"> </w:t>
      </w:r>
      <w:r w:rsidR="00F37FE4" w:rsidRPr="00F37FE4">
        <w:rPr>
          <w:sz w:val="18"/>
          <w:szCs w:val="18"/>
        </w:rPr>
        <w:t>A two-dimensional plane model of the water line and the adjacent air domain was constructed, and the distribution of terahertz electric field intensity was calculated. The calculation results showed that the terahertz electric field intensity radiated into the air also increased with the increase of the terahertz wave frequency.</w:t>
      </w:r>
    </w:p>
    <w:p w14:paraId="44220DCA" w14:textId="581B19A5" w:rsidR="00BD6A7C" w:rsidRDefault="00DF7B5C">
      <w:pPr>
        <w:rPr>
          <w:sz w:val="18"/>
          <w:szCs w:val="18"/>
        </w:rPr>
      </w:pPr>
      <w:r w:rsidRPr="006F2E28">
        <w:rPr>
          <w:rFonts w:hint="eastAsia"/>
          <w:b/>
          <w:sz w:val="18"/>
          <w:szCs w:val="18"/>
        </w:rPr>
        <w:t>Key words:</w:t>
      </w:r>
      <w:r w:rsidRPr="006F2E28">
        <w:rPr>
          <w:sz w:val="18"/>
          <w:szCs w:val="18"/>
        </w:rPr>
        <w:t xml:space="preserve"> Femtosecond laser</w:t>
      </w:r>
      <w:r w:rsidRPr="006F2E28">
        <w:rPr>
          <w:rFonts w:hint="eastAsia"/>
          <w:sz w:val="18"/>
          <w:szCs w:val="18"/>
        </w:rPr>
        <w:t>;</w:t>
      </w:r>
      <w:r w:rsidRPr="006F2E28">
        <w:rPr>
          <w:sz w:val="18"/>
          <w:szCs w:val="18"/>
        </w:rPr>
        <w:t>Terahertz liquid source</w:t>
      </w:r>
      <w:r w:rsidRPr="006F2E28">
        <w:rPr>
          <w:rFonts w:hint="eastAsia"/>
          <w:sz w:val="18"/>
          <w:szCs w:val="18"/>
        </w:rPr>
        <w:t>;</w:t>
      </w:r>
      <w:r w:rsidRPr="006F2E28">
        <w:t xml:space="preserve"> </w:t>
      </w:r>
      <w:r w:rsidRPr="006F2E28">
        <w:rPr>
          <w:rFonts w:hint="eastAsia"/>
          <w:sz w:val="18"/>
          <w:szCs w:val="18"/>
        </w:rPr>
        <w:t>T</w:t>
      </w:r>
      <w:r w:rsidRPr="006F2E28">
        <w:rPr>
          <w:sz w:val="18"/>
          <w:szCs w:val="18"/>
        </w:rPr>
        <w:t>erahertz radiation</w:t>
      </w:r>
      <w:r w:rsidRPr="006F2E28">
        <w:rPr>
          <w:rFonts w:hint="eastAsia"/>
          <w:sz w:val="18"/>
          <w:szCs w:val="18"/>
        </w:rPr>
        <w:t>;</w:t>
      </w:r>
      <w:r w:rsidRPr="006F2E28">
        <w:t xml:space="preserve"> </w:t>
      </w:r>
      <w:r w:rsidRPr="006F2E28">
        <w:rPr>
          <w:sz w:val="18"/>
          <w:szCs w:val="18"/>
        </w:rPr>
        <w:t>Waterline</w:t>
      </w:r>
    </w:p>
    <w:p w14:paraId="22B3A93B" w14:textId="77777777" w:rsidR="00BB659C" w:rsidRPr="006F2E28" w:rsidRDefault="00BB659C">
      <w:pPr>
        <w:rPr>
          <w:sz w:val="18"/>
          <w:szCs w:val="18"/>
        </w:rPr>
      </w:pPr>
    </w:p>
    <w:p w14:paraId="6977D5D2" w14:textId="77777777" w:rsidR="00BD6A7C" w:rsidRPr="0010000E" w:rsidRDefault="00DF7B5C">
      <w:pPr>
        <w:spacing w:line="360" w:lineRule="auto"/>
        <w:rPr>
          <w:rFonts w:asciiTheme="majorEastAsia" w:eastAsiaTheme="majorEastAsia" w:hAnsiTheme="majorEastAsia"/>
          <w:b/>
          <w:sz w:val="24"/>
        </w:rPr>
      </w:pPr>
      <w:r w:rsidRPr="0010000E">
        <w:rPr>
          <w:rFonts w:eastAsiaTheme="majorEastAsia"/>
          <w:b/>
          <w:sz w:val="24"/>
        </w:rPr>
        <w:t>0</w:t>
      </w:r>
      <w:r w:rsidRPr="0010000E">
        <w:rPr>
          <w:rFonts w:asciiTheme="majorEastAsia" w:eastAsiaTheme="majorEastAsia" w:hAnsiTheme="majorEastAsia"/>
          <w:b/>
          <w:sz w:val="24"/>
        </w:rPr>
        <w:t>引言</w:t>
      </w:r>
    </w:p>
    <w:p w14:paraId="3552D885" w14:textId="77777777" w:rsidR="00BD6A7C" w:rsidRPr="006F2E28" w:rsidRDefault="00DF7B5C">
      <w:pPr>
        <w:ind w:firstLineChars="200" w:firstLine="420"/>
        <w:rPr>
          <w:rFonts w:ascii="宋体" w:hAnsi="宋体"/>
          <w:szCs w:val="21"/>
        </w:rPr>
      </w:pPr>
      <w:r w:rsidRPr="006F2E28">
        <w:rPr>
          <w:rFonts w:ascii="宋体" w:hAnsi="宋体"/>
          <w:szCs w:val="21"/>
        </w:rPr>
        <w:t>飞秒激光激发固体</w:t>
      </w:r>
      <w:r w:rsidRPr="006F2E28">
        <w:rPr>
          <w:rFonts w:ascii="宋体" w:hAnsi="宋体"/>
          <w:szCs w:val="21"/>
          <w:vertAlign w:val="superscript"/>
        </w:rPr>
        <w:t>[1-4]</w:t>
      </w:r>
      <w:r w:rsidRPr="006F2E28">
        <w:rPr>
          <w:rFonts w:ascii="宋体" w:hAnsi="宋体"/>
          <w:szCs w:val="21"/>
        </w:rPr>
        <w:t>和气体</w:t>
      </w:r>
      <w:r w:rsidRPr="006F2E28">
        <w:rPr>
          <w:rFonts w:ascii="宋体" w:hAnsi="宋体"/>
          <w:szCs w:val="21"/>
          <w:vertAlign w:val="superscript"/>
        </w:rPr>
        <w:t>[5-15]</w:t>
      </w:r>
      <w:r w:rsidR="00982249" w:rsidRPr="006F2E28">
        <w:rPr>
          <w:rFonts w:ascii="宋体" w:hAnsi="宋体"/>
          <w:szCs w:val="21"/>
        </w:rPr>
        <w:t>产生太赫兹辐射的相关研究已</w:t>
      </w:r>
      <w:r w:rsidRPr="006F2E28">
        <w:rPr>
          <w:rFonts w:ascii="宋体" w:hAnsi="宋体"/>
          <w:szCs w:val="21"/>
        </w:rPr>
        <w:t>历经多年。然而</w:t>
      </w:r>
      <w:r w:rsidR="0044218B">
        <w:rPr>
          <w:rFonts w:ascii="宋体" w:hAnsi="宋体" w:hint="eastAsia"/>
          <w:szCs w:val="21"/>
        </w:rPr>
        <w:t>，</w:t>
      </w:r>
      <w:r w:rsidRPr="006F2E28">
        <w:rPr>
          <w:rFonts w:ascii="宋体" w:hAnsi="宋体"/>
          <w:szCs w:val="21"/>
        </w:rPr>
        <w:t>由于水对太赫兹辐射</w:t>
      </w:r>
      <w:r w:rsidR="0044218B" w:rsidRPr="006F2E28">
        <w:rPr>
          <w:rFonts w:ascii="宋体" w:hAnsi="宋体"/>
          <w:szCs w:val="21"/>
        </w:rPr>
        <w:t>强</w:t>
      </w:r>
      <w:r w:rsidRPr="006F2E28">
        <w:rPr>
          <w:rFonts w:ascii="宋体" w:hAnsi="宋体"/>
          <w:szCs w:val="21"/>
        </w:rPr>
        <w:t>吸收</w:t>
      </w:r>
      <w:r w:rsidR="0044218B" w:rsidRPr="006F2E28">
        <w:rPr>
          <w:rFonts w:ascii="宋体" w:hAnsi="宋体"/>
          <w:szCs w:val="21"/>
        </w:rPr>
        <w:t>的</w:t>
      </w:r>
      <w:r w:rsidRPr="006F2E28">
        <w:rPr>
          <w:rFonts w:ascii="宋体" w:hAnsi="宋体"/>
          <w:szCs w:val="21"/>
        </w:rPr>
        <w:t>特性，被认为不可能产生太赫兹辐射，因此在较长的一段时间内忽视了对液态水</w:t>
      </w:r>
      <w:r w:rsidR="0044218B">
        <w:rPr>
          <w:rFonts w:ascii="宋体" w:hAnsi="宋体" w:hint="eastAsia"/>
          <w:szCs w:val="21"/>
        </w:rPr>
        <w:t>的</w:t>
      </w:r>
      <w:r w:rsidR="00464E0C">
        <w:rPr>
          <w:rFonts w:ascii="宋体" w:hAnsi="宋体"/>
          <w:szCs w:val="21"/>
        </w:rPr>
        <w:t>研究。固体</w:t>
      </w:r>
      <w:r w:rsidR="00464E0C">
        <w:rPr>
          <w:rFonts w:ascii="宋体" w:hAnsi="宋体" w:hint="eastAsia"/>
          <w:szCs w:val="21"/>
        </w:rPr>
        <w:t>的</w:t>
      </w:r>
      <w:r w:rsidRPr="006F2E28">
        <w:rPr>
          <w:rFonts w:ascii="宋体" w:hAnsi="宋体"/>
          <w:szCs w:val="21"/>
        </w:rPr>
        <w:t>损伤阈值是强太赫兹波激发的最大限制因素，而流动的液体不</w:t>
      </w:r>
      <w:r w:rsidR="008D379F" w:rsidRPr="006F2E28">
        <w:rPr>
          <w:rFonts w:ascii="宋体" w:hAnsi="宋体"/>
          <w:szCs w:val="21"/>
        </w:rPr>
        <w:t>存在损伤阈值，每一个激光脉冲都能与全新的液体相互作用。而且</w:t>
      </w:r>
      <w:r w:rsidR="00464E0C">
        <w:rPr>
          <w:rFonts w:ascii="宋体" w:hAnsi="宋体" w:hint="eastAsia"/>
          <w:szCs w:val="21"/>
        </w:rPr>
        <w:t>，</w:t>
      </w:r>
      <w:r w:rsidR="008D379F" w:rsidRPr="006F2E28">
        <w:rPr>
          <w:rFonts w:ascii="宋体" w:hAnsi="宋体"/>
          <w:szCs w:val="21"/>
        </w:rPr>
        <w:t>相比于</w:t>
      </w:r>
      <w:r w:rsidRPr="006F2E28">
        <w:rPr>
          <w:rFonts w:ascii="宋体" w:hAnsi="宋体"/>
          <w:szCs w:val="21"/>
        </w:rPr>
        <w:t>气体，液体的密度高，这意味着在一定的空间区域范围内光与液态分子相互作用将更加充分，从而有利于</w:t>
      </w:r>
      <w:r w:rsidR="00464E0C">
        <w:rPr>
          <w:rFonts w:ascii="宋体" w:hAnsi="宋体" w:hint="eastAsia"/>
          <w:szCs w:val="21"/>
        </w:rPr>
        <w:t>产生</w:t>
      </w:r>
      <w:r w:rsidRPr="006F2E28">
        <w:rPr>
          <w:rFonts w:ascii="宋体" w:hAnsi="宋体"/>
          <w:szCs w:val="21"/>
        </w:rPr>
        <w:t>出强度更高的太赫兹辐射。</w:t>
      </w:r>
      <w:r w:rsidRPr="006F2E28">
        <w:rPr>
          <w:rFonts w:ascii="宋体" w:hAnsi="宋体" w:hint="eastAsia"/>
          <w:szCs w:val="21"/>
        </w:rPr>
        <w:t>2017年</w:t>
      </w:r>
      <w:r w:rsidR="00E212E9">
        <w:rPr>
          <w:rFonts w:ascii="宋体" w:hAnsi="宋体" w:hint="eastAsia"/>
          <w:szCs w:val="21"/>
        </w:rPr>
        <w:t>，</w:t>
      </w:r>
      <w:r w:rsidRPr="006F2E28">
        <w:rPr>
          <w:szCs w:val="21"/>
        </w:rPr>
        <w:t>Dey</w:t>
      </w:r>
      <w:r w:rsidRPr="006F2E28">
        <w:rPr>
          <w:rFonts w:ascii="宋体" w:hAnsi="宋体"/>
          <w:szCs w:val="21"/>
        </w:rPr>
        <w:t>等人</w:t>
      </w:r>
      <w:r w:rsidR="007D00D3" w:rsidRPr="006F2E28">
        <w:rPr>
          <w:rFonts w:ascii="宋体" w:hAnsi="宋体"/>
          <w:szCs w:val="21"/>
          <w:vertAlign w:val="superscript"/>
        </w:rPr>
        <w:t>[16]</w:t>
      </w:r>
      <w:r w:rsidRPr="006F2E28">
        <w:rPr>
          <w:rFonts w:ascii="宋体" w:hAnsi="宋体"/>
          <w:szCs w:val="21"/>
        </w:rPr>
        <w:t>报道了飞秒激光聚焦于充满液态水的石英槽（石英槽长度</w:t>
      </w:r>
      <w:r w:rsidRPr="006F2E28">
        <w:rPr>
          <w:szCs w:val="21"/>
        </w:rPr>
        <w:t>50mm</w:t>
      </w:r>
      <w:r w:rsidRPr="006F2E28">
        <w:rPr>
          <w:rFonts w:ascii="宋体" w:hAnsi="宋体"/>
          <w:szCs w:val="21"/>
        </w:rPr>
        <w:t>）中，由于液体中光谱的展宽效应，产生了宽带太赫兹辐射</w:t>
      </w:r>
      <w:r w:rsidR="00D2388A" w:rsidRPr="006F2E28">
        <w:rPr>
          <w:rFonts w:ascii="宋体" w:hAnsi="宋体"/>
          <w:szCs w:val="21"/>
        </w:rPr>
        <w:t>。另一项研究中表明，飞秒</w:t>
      </w:r>
      <w:r w:rsidRPr="006F2E28">
        <w:rPr>
          <w:rFonts w:ascii="宋体" w:hAnsi="宋体"/>
          <w:szCs w:val="21"/>
        </w:rPr>
        <w:t>激光</w:t>
      </w:r>
      <w:r w:rsidR="00D2388A" w:rsidRPr="006F2E28">
        <w:rPr>
          <w:rFonts w:ascii="宋体" w:hAnsi="宋体"/>
          <w:szCs w:val="21"/>
        </w:rPr>
        <w:t>脉冲</w:t>
      </w:r>
      <w:r w:rsidRPr="006F2E28">
        <w:rPr>
          <w:rFonts w:ascii="宋体" w:hAnsi="宋体"/>
          <w:szCs w:val="21"/>
        </w:rPr>
        <w:t>激发</w:t>
      </w:r>
      <w:r w:rsidRPr="006F2E28">
        <w:rPr>
          <w:rFonts w:hint="eastAsia"/>
          <w:szCs w:val="21"/>
        </w:rPr>
        <w:t>177</w:t>
      </w:r>
      <w:r w:rsidRPr="006F2E28">
        <w:rPr>
          <w:szCs w:val="21"/>
        </w:rPr>
        <w:t>μm</w:t>
      </w:r>
      <w:r w:rsidRPr="006F2E28">
        <w:rPr>
          <w:rFonts w:ascii="宋体" w:hAnsi="宋体"/>
          <w:szCs w:val="21"/>
        </w:rPr>
        <w:t>厚度的水膜时，产生了强于空气等离子</w:t>
      </w:r>
      <w:r w:rsidR="00D2388A" w:rsidRPr="006F2E28">
        <w:rPr>
          <w:rFonts w:ascii="宋体" w:hAnsi="宋体"/>
          <w:szCs w:val="21"/>
        </w:rPr>
        <w:t>体</w:t>
      </w:r>
      <w:r w:rsidRPr="006F2E28">
        <w:rPr>
          <w:rFonts w:ascii="宋体" w:hAnsi="宋体"/>
          <w:szCs w:val="21"/>
        </w:rPr>
        <w:t>激发的宽带太赫兹波</w:t>
      </w:r>
      <w:r w:rsidRPr="006F2E28">
        <w:rPr>
          <w:rFonts w:ascii="宋体" w:hAnsi="宋体"/>
          <w:szCs w:val="21"/>
          <w:vertAlign w:val="superscript"/>
        </w:rPr>
        <w:t>[17]</w:t>
      </w:r>
      <w:r w:rsidRPr="006F2E28">
        <w:rPr>
          <w:rFonts w:ascii="宋体" w:hAnsi="宋体"/>
          <w:szCs w:val="21"/>
        </w:rPr>
        <w:t>。</w:t>
      </w:r>
      <w:r w:rsidRPr="006F2E28">
        <w:rPr>
          <w:szCs w:val="21"/>
        </w:rPr>
        <w:t>2019</w:t>
      </w:r>
      <w:r w:rsidRPr="006F2E28">
        <w:rPr>
          <w:rFonts w:ascii="宋体" w:hAnsi="宋体"/>
          <w:szCs w:val="21"/>
        </w:rPr>
        <w:t>年</w:t>
      </w:r>
      <w:r w:rsidR="00E212E9">
        <w:rPr>
          <w:rFonts w:ascii="宋体" w:hAnsi="宋体" w:hint="eastAsia"/>
          <w:szCs w:val="21"/>
        </w:rPr>
        <w:t>，</w:t>
      </w:r>
      <w:r w:rsidRPr="006F2E28">
        <w:rPr>
          <w:szCs w:val="21"/>
        </w:rPr>
        <w:t>Zhang</w:t>
      </w:r>
      <w:r w:rsidRPr="006F2E28">
        <w:rPr>
          <w:rFonts w:ascii="宋体" w:hAnsi="宋体"/>
          <w:szCs w:val="21"/>
        </w:rPr>
        <w:t>等人</w:t>
      </w:r>
      <w:r w:rsidR="007D00D3" w:rsidRPr="006F2E28">
        <w:rPr>
          <w:rFonts w:ascii="宋体" w:hAnsi="宋体"/>
          <w:szCs w:val="21"/>
          <w:vertAlign w:val="superscript"/>
        </w:rPr>
        <w:t>[18]</w:t>
      </w:r>
      <w:r w:rsidRPr="006F2E28">
        <w:rPr>
          <w:rFonts w:ascii="宋体" w:hAnsi="宋体"/>
          <w:szCs w:val="21"/>
        </w:rPr>
        <w:t>首次报道了飞秒激光激发</w:t>
      </w:r>
      <w:r w:rsidRPr="006F2E28">
        <w:rPr>
          <w:szCs w:val="21"/>
        </w:rPr>
        <w:t>200μm</w:t>
      </w:r>
      <w:r w:rsidRPr="006F2E28">
        <w:rPr>
          <w:rFonts w:ascii="宋体" w:hAnsi="宋体"/>
          <w:szCs w:val="21"/>
        </w:rPr>
        <w:t>的水线产生强太赫兹波的研究</w:t>
      </w:r>
      <w:r w:rsidR="00464E0C">
        <w:rPr>
          <w:rFonts w:ascii="宋体" w:hAnsi="宋体" w:hint="eastAsia"/>
          <w:szCs w:val="21"/>
        </w:rPr>
        <w:t>。2</w:t>
      </w:r>
      <w:r w:rsidR="00464E0C">
        <w:rPr>
          <w:rFonts w:ascii="宋体" w:hAnsi="宋体"/>
          <w:szCs w:val="21"/>
        </w:rPr>
        <w:t>020</w:t>
      </w:r>
      <w:r w:rsidR="00464E0C">
        <w:rPr>
          <w:rFonts w:ascii="宋体" w:hAnsi="宋体" w:hint="eastAsia"/>
          <w:szCs w:val="21"/>
        </w:rPr>
        <w:t>年</w:t>
      </w:r>
      <w:r w:rsidRPr="006F2E28">
        <w:rPr>
          <w:rFonts w:ascii="宋体" w:hAnsi="宋体"/>
          <w:szCs w:val="21"/>
        </w:rPr>
        <w:t>，</w:t>
      </w:r>
      <w:r w:rsidRPr="006F2E28">
        <w:rPr>
          <w:szCs w:val="21"/>
        </w:rPr>
        <w:t>Feng</w:t>
      </w:r>
      <w:r w:rsidRPr="006F2E28">
        <w:rPr>
          <w:rFonts w:ascii="宋体" w:hAnsi="宋体"/>
          <w:szCs w:val="21"/>
        </w:rPr>
        <w:t>等人</w:t>
      </w:r>
      <w:r w:rsidR="007D00D3" w:rsidRPr="006F2E28">
        <w:rPr>
          <w:rFonts w:ascii="宋体" w:hAnsi="宋体"/>
          <w:szCs w:val="21"/>
          <w:vertAlign w:val="superscript"/>
        </w:rPr>
        <w:t>[19]</w:t>
      </w:r>
      <w:r w:rsidRPr="006F2E28">
        <w:rPr>
          <w:rFonts w:ascii="宋体" w:hAnsi="宋体"/>
          <w:szCs w:val="21"/>
        </w:rPr>
        <w:t>提出了二维偶极子阵列模型来阐述太赫兹电场强度的变化机制，认为整个偶极子阵列辐射出的太赫兹波电场强度</w:t>
      </w:r>
      <w:r w:rsidR="00464E0C">
        <w:rPr>
          <w:rFonts w:ascii="宋体" w:hAnsi="宋体" w:hint="eastAsia"/>
          <w:szCs w:val="21"/>
        </w:rPr>
        <w:t>和</w:t>
      </w:r>
      <w:r w:rsidRPr="006F2E28">
        <w:rPr>
          <w:rFonts w:ascii="宋体" w:hAnsi="宋体"/>
          <w:szCs w:val="21"/>
        </w:rPr>
        <w:t>液线对太赫兹辐射的透射率是影响最终测得的太赫兹电场强度的</w:t>
      </w:r>
      <w:r w:rsidR="00464E0C">
        <w:rPr>
          <w:rFonts w:ascii="宋体" w:hAnsi="宋体" w:hint="eastAsia"/>
          <w:szCs w:val="21"/>
        </w:rPr>
        <w:t>2</w:t>
      </w:r>
      <w:r w:rsidRPr="006F2E28">
        <w:rPr>
          <w:rFonts w:ascii="宋体" w:hAnsi="宋体"/>
          <w:szCs w:val="21"/>
        </w:rPr>
        <w:t>个关键因素。</w:t>
      </w:r>
    </w:p>
    <w:p w14:paraId="46492A20" w14:textId="7F324173" w:rsidR="00BD6A7C" w:rsidRDefault="00DF7B5C">
      <w:pPr>
        <w:ind w:firstLineChars="200" w:firstLine="420"/>
        <w:rPr>
          <w:szCs w:val="21"/>
        </w:rPr>
      </w:pPr>
      <w:r w:rsidRPr="006F2E28">
        <w:rPr>
          <w:rFonts w:ascii="宋体" w:hAnsi="宋体"/>
          <w:szCs w:val="21"/>
        </w:rPr>
        <w:t>在上述已报道的研究中，</w:t>
      </w:r>
      <w:r w:rsidRPr="006F2E28">
        <w:rPr>
          <w:rFonts w:ascii="宋体" w:hAnsi="宋体" w:hint="eastAsia"/>
          <w:szCs w:val="21"/>
        </w:rPr>
        <w:t>激发介质从石英槽中静置的液态水到流动状态的水膜、水线其</w:t>
      </w:r>
      <w:r w:rsidR="00215F92">
        <w:rPr>
          <w:rFonts w:ascii="宋体" w:hAnsi="宋体" w:hint="eastAsia"/>
          <w:szCs w:val="21"/>
        </w:rPr>
        <w:t>形态结构</w:t>
      </w:r>
      <w:r w:rsidRPr="006F2E28">
        <w:rPr>
          <w:rFonts w:ascii="宋体" w:hAnsi="宋体" w:hint="eastAsia"/>
          <w:szCs w:val="21"/>
        </w:rPr>
        <w:t>进一步得到优化</w:t>
      </w:r>
      <w:r w:rsidR="00700048">
        <w:rPr>
          <w:rFonts w:ascii="宋体" w:hAnsi="宋体" w:hint="eastAsia"/>
          <w:szCs w:val="21"/>
        </w:rPr>
        <w:t>，</w:t>
      </w:r>
      <w:r w:rsidR="00DC1427">
        <w:rPr>
          <w:rFonts w:ascii="宋体" w:hAnsi="宋体" w:hint="eastAsia"/>
          <w:szCs w:val="21"/>
        </w:rPr>
        <w:t>并且</w:t>
      </w:r>
      <w:r w:rsidRPr="006F2E28">
        <w:rPr>
          <w:rFonts w:ascii="宋体" w:hAnsi="宋体" w:hint="eastAsia"/>
          <w:szCs w:val="21"/>
        </w:rPr>
        <w:t>为了尽量减少水对太赫兹的辐射的强吸收作用，水膜的厚度</w:t>
      </w:r>
      <w:r w:rsidR="00193A98">
        <w:rPr>
          <w:rFonts w:ascii="宋体" w:hAnsi="宋体" w:hint="eastAsia"/>
          <w:szCs w:val="21"/>
        </w:rPr>
        <w:lastRenderedPageBreak/>
        <w:t>和水线的直径</w:t>
      </w:r>
      <w:r w:rsidRPr="006F2E28">
        <w:rPr>
          <w:rFonts w:ascii="宋体" w:hAnsi="宋体" w:hint="eastAsia"/>
          <w:szCs w:val="21"/>
        </w:rPr>
        <w:t>尺寸均控制在</w:t>
      </w:r>
      <w:r w:rsidR="00193A98">
        <w:rPr>
          <w:szCs w:val="21"/>
        </w:rPr>
        <w:t>100</w:t>
      </w:r>
      <w:r w:rsidRPr="006F2E28">
        <w:rPr>
          <w:szCs w:val="21"/>
        </w:rPr>
        <w:t>~500μm</w:t>
      </w:r>
      <w:r w:rsidRPr="006F2E28">
        <w:rPr>
          <w:rFonts w:ascii="宋体" w:hAnsi="宋体" w:hint="eastAsia"/>
          <w:szCs w:val="21"/>
        </w:rPr>
        <w:t>。同时</w:t>
      </w:r>
      <w:r w:rsidR="00193A98">
        <w:rPr>
          <w:rFonts w:ascii="宋体" w:hAnsi="宋体" w:hint="eastAsia"/>
          <w:szCs w:val="21"/>
        </w:rPr>
        <w:t>，</w:t>
      </w:r>
      <w:r w:rsidRPr="006F2E28">
        <w:rPr>
          <w:rFonts w:ascii="宋体" w:hAnsi="宋体" w:hint="eastAsia"/>
          <w:szCs w:val="21"/>
        </w:rPr>
        <w:t>上述</w:t>
      </w:r>
      <w:r w:rsidR="008C2769">
        <w:rPr>
          <w:rFonts w:ascii="宋体" w:hAnsi="宋体" w:hint="eastAsia"/>
          <w:szCs w:val="21"/>
        </w:rPr>
        <w:t>已有的</w:t>
      </w:r>
      <w:r w:rsidRPr="006F2E28">
        <w:rPr>
          <w:rFonts w:ascii="宋体" w:hAnsi="宋体" w:hint="eastAsia"/>
          <w:szCs w:val="21"/>
        </w:rPr>
        <w:t>实验研究</w:t>
      </w:r>
      <w:r w:rsidRPr="006F2E28">
        <w:rPr>
          <w:rFonts w:ascii="宋体" w:hAnsi="宋体"/>
          <w:szCs w:val="21"/>
        </w:rPr>
        <w:t>均未涉及液态水温度的变化对辐射出太赫兹波功率的影响。因此，本文将水线温度纳入实验研究范围，结合激光焦点与水线的相对位置、水线直径及水线温度</w:t>
      </w:r>
      <w:r w:rsidR="00DC1427">
        <w:rPr>
          <w:rFonts w:ascii="宋体" w:hAnsi="宋体" w:hint="eastAsia"/>
          <w:szCs w:val="21"/>
        </w:rPr>
        <w:t>3</w:t>
      </w:r>
      <w:r w:rsidRPr="006F2E28">
        <w:rPr>
          <w:rFonts w:ascii="宋体" w:hAnsi="宋体"/>
          <w:szCs w:val="21"/>
        </w:rPr>
        <w:t>个影响因素出发进行实验研究，</w:t>
      </w:r>
      <w:r w:rsidR="00995D28">
        <w:rPr>
          <w:rFonts w:ascii="宋体" w:hAnsi="宋体" w:hint="eastAsia"/>
          <w:szCs w:val="21"/>
        </w:rPr>
        <w:t>并</w:t>
      </w:r>
      <w:r w:rsidRPr="006F2E28">
        <w:rPr>
          <w:rFonts w:ascii="宋体" w:hAnsi="宋体"/>
          <w:szCs w:val="21"/>
        </w:rPr>
        <w:t>使用</w:t>
      </w:r>
      <w:r w:rsidRPr="006F2E28">
        <w:rPr>
          <w:szCs w:val="21"/>
        </w:rPr>
        <w:t>COMSOL 6.0</w:t>
      </w:r>
      <w:r w:rsidRPr="006F2E28">
        <w:rPr>
          <w:rFonts w:hint="eastAsia"/>
          <w:szCs w:val="21"/>
        </w:rPr>
        <w:t>软件</w:t>
      </w:r>
      <w:r w:rsidR="00995D28">
        <w:rPr>
          <w:rFonts w:ascii="宋体" w:hAnsi="宋体" w:hint="eastAsia"/>
          <w:szCs w:val="21"/>
        </w:rPr>
        <w:t>建立水线与邻近空气域的二维平面模型，分析</w:t>
      </w:r>
      <w:r w:rsidRPr="006F2E28">
        <w:rPr>
          <w:rFonts w:ascii="宋体" w:hAnsi="宋体" w:hint="eastAsia"/>
          <w:szCs w:val="21"/>
        </w:rPr>
        <w:t>该模型所在计算域内频率为</w:t>
      </w:r>
      <w:r w:rsidR="00995D28">
        <w:rPr>
          <w:szCs w:val="21"/>
        </w:rPr>
        <w:t>0.1</w:t>
      </w:r>
      <w:r w:rsidRPr="006F2E28">
        <w:rPr>
          <w:szCs w:val="21"/>
        </w:rPr>
        <w:t>~1.0THz</w:t>
      </w:r>
      <w:r w:rsidRPr="006F2E28">
        <w:rPr>
          <w:szCs w:val="21"/>
        </w:rPr>
        <w:t>的太赫兹波电场强度的分布情况。</w:t>
      </w:r>
    </w:p>
    <w:p w14:paraId="7FE1F639" w14:textId="77777777" w:rsidR="00E212E9" w:rsidRPr="006F2E28" w:rsidRDefault="00E212E9">
      <w:pPr>
        <w:ind w:firstLineChars="200" w:firstLine="420"/>
        <w:rPr>
          <w:szCs w:val="21"/>
        </w:rPr>
      </w:pPr>
    </w:p>
    <w:p w14:paraId="3BF4DBA6" w14:textId="6BDB577E" w:rsidR="00BD6A7C" w:rsidRDefault="00296E1E">
      <w:pPr>
        <w:spacing w:line="360" w:lineRule="auto"/>
        <w:rPr>
          <w:rFonts w:asciiTheme="majorEastAsia" w:eastAsiaTheme="majorEastAsia" w:hAnsiTheme="majorEastAsia"/>
          <w:b/>
          <w:sz w:val="24"/>
        </w:rPr>
      </w:pPr>
      <w:r w:rsidRPr="00296E1E">
        <w:rPr>
          <w:rFonts w:asciiTheme="majorEastAsia" w:eastAsiaTheme="majorEastAsia" w:hAnsiTheme="majorEastAsia"/>
          <w:b/>
          <w:sz w:val="24"/>
        </w:rPr>
        <w:t>1</w:t>
      </w:r>
      <w:r w:rsidR="00DF7B5C" w:rsidRPr="006F2E28">
        <w:rPr>
          <w:rFonts w:asciiTheme="majorEastAsia" w:eastAsiaTheme="majorEastAsia" w:hAnsiTheme="majorEastAsia"/>
          <w:b/>
          <w:sz w:val="24"/>
        </w:rPr>
        <w:t xml:space="preserve"> 实验</w:t>
      </w:r>
      <w:r w:rsidR="003E68EE">
        <w:rPr>
          <w:rFonts w:asciiTheme="majorEastAsia" w:eastAsiaTheme="majorEastAsia" w:hAnsiTheme="majorEastAsia" w:hint="eastAsia"/>
          <w:b/>
          <w:sz w:val="24"/>
        </w:rPr>
        <w:t>研究</w:t>
      </w:r>
    </w:p>
    <w:p w14:paraId="085B01B0" w14:textId="3B1FC28D" w:rsidR="00BE4EB2" w:rsidRPr="00FE0D3B" w:rsidRDefault="00BE4EB2" w:rsidP="008C2769">
      <w:pPr>
        <w:ind w:firstLine="420"/>
        <w:rPr>
          <w:color w:val="000000" w:themeColor="text1"/>
          <w:szCs w:val="21"/>
        </w:rPr>
      </w:pPr>
      <w:r w:rsidRPr="00FE0D3B">
        <w:rPr>
          <w:rFonts w:asciiTheme="majorEastAsia" w:eastAsiaTheme="majorEastAsia" w:hAnsiTheme="majorEastAsia" w:hint="eastAsia"/>
          <w:color w:val="000000" w:themeColor="text1"/>
          <w:szCs w:val="21"/>
        </w:rPr>
        <w:t>本</w:t>
      </w:r>
      <w:r w:rsidRPr="00FE0D3B">
        <w:rPr>
          <w:rFonts w:asciiTheme="majorEastAsia" w:eastAsiaTheme="majorEastAsia" w:hAnsiTheme="majorEastAsia"/>
          <w:color w:val="000000" w:themeColor="text1"/>
          <w:szCs w:val="21"/>
        </w:rPr>
        <w:t>文首</w:t>
      </w:r>
      <w:r w:rsidRPr="00FE0D3B">
        <w:rPr>
          <w:rFonts w:asciiTheme="majorEastAsia" w:eastAsiaTheme="majorEastAsia" w:hAnsiTheme="majorEastAsia" w:hint="eastAsia"/>
          <w:color w:val="000000" w:themeColor="text1"/>
          <w:szCs w:val="21"/>
        </w:rPr>
        <w:t>先</w:t>
      </w:r>
      <w:r w:rsidRPr="00FE0D3B">
        <w:rPr>
          <w:rFonts w:asciiTheme="majorEastAsia" w:eastAsiaTheme="majorEastAsia" w:hAnsiTheme="majorEastAsia"/>
          <w:color w:val="000000" w:themeColor="text1"/>
          <w:szCs w:val="21"/>
        </w:rPr>
        <w:t>设计实验光路</w:t>
      </w:r>
      <w:r w:rsidRPr="00FE0D3B">
        <w:rPr>
          <w:rFonts w:asciiTheme="majorEastAsia" w:eastAsiaTheme="majorEastAsia" w:hAnsiTheme="majorEastAsia" w:hint="eastAsia"/>
          <w:color w:val="000000" w:themeColor="text1"/>
          <w:szCs w:val="21"/>
        </w:rPr>
        <w:t>图</w:t>
      </w:r>
      <w:r w:rsidR="008C2769">
        <w:rPr>
          <w:rFonts w:asciiTheme="majorEastAsia" w:eastAsiaTheme="majorEastAsia" w:hAnsiTheme="majorEastAsia" w:hint="eastAsia"/>
          <w:color w:val="000000" w:themeColor="text1"/>
          <w:szCs w:val="21"/>
        </w:rPr>
        <w:t>，搭建了液线循环</w:t>
      </w:r>
      <w:r w:rsidR="00F254F9">
        <w:rPr>
          <w:rFonts w:asciiTheme="majorEastAsia" w:eastAsiaTheme="majorEastAsia" w:hAnsiTheme="majorEastAsia" w:hint="eastAsia"/>
          <w:color w:val="000000" w:themeColor="text1"/>
          <w:szCs w:val="21"/>
        </w:rPr>
        <w:t>系统</w:t>
      </w:r>
      <w:r w:rsidRPr="00FE0D3B">
        <w:rPr>
          <w:rFonts w:asciiTheme="majorEastAsia" w:eastAsiaTheme="majorEastAsia" w:hAnsiTheme="majorEastAsia"/>
          <w:color w:val="000000" w:themeColor="text1"/>
          <w:szCs w:val="21"/>
        </w:rPr>
        <w:t>，</w:t>
      </w:r>
      <w:r w:rsidR="008C2769">
        <w:rPr>
          <w:rFonts w:asciiTheme="majorEastAsia" w:eastAsiaTheme="majorEastAsia" w:hAnsiTheme="majorEastAsia" w:hint="eastAsia"/>
          <w:color w:val="000000" w:themeColor="text1"/>
          <w:szCs w:val="21"/>
        </w:rPr>
        <w:t>并使用热释电探测器</w:t>
      </w:r>
      <w:r w:rsidR="00FE0D3B" w:rsidRPr="00FE0D3B">
        <w:rPr>
          <w:rFonts w:ascii="宋体" w:hAnsi="宋体" w:hint="eastAsia"/>
          <w:color w:val="000000" w:themeColor="text1"/>
          <w:szCs w:val="21"/>
        </w:rPr>
        <w:t>对</w:t>
      </w:r>
      <w:r w:rsidRPr="00FE0D3B">
        <w:rPr>
          <w:color w:val="000000" w:themeColor="text1"/>
          <w:szCs w:val="21"/>
        </w:rPr>
        <w:t>激光焦点在水线中的位置变化</w:t>
      </w:r>
      <w:r w:rsidRPr="00FE0D3B">
        <w:rPr>
          <w:rFonts w:ascii="宋体" w:hAnsi="宋体"/>
          <w:color w:val="000000" w:themeColor="text1"/>
          <w:szCs w:val="21"/>
        </w:rPr>
        <w:t>、水线直径及水线温度</w:t>
      </w:r>
      <w:r w:rsidRPr="00FE0D3B">
        <w:rPr>
          <w:rFonts w:ascii="宋体" w:hAnsi="宋体" w:hint="eastAsia"/>
          <w:color w:val="000000" w:themeColor="text1"/>
          <w:szCs w:val="21"/>
        </w:rPr>
        <w:t>3</w:t>
      </w:r>
      <w:r w:rsidRPr="00FE0D3B">
        <w:rPr>
          <w:rFonts w:ascii="宋体" w:hAnsi="宋体"/>
          <w:color w:val="000000" w:themeColor="text1"/>
          <w:szCs w:val="21"/>
        </w:rPr>
        <w:t>个影响因素</w:t>
      </w:r>
      <w:r w:rsidR="008C2769">
        <w:rPr>
          <w:rFonts w:ascii="宋体" w:hAnsi="宋体" w:hint="eastAsia"/>
          <w:color w:val="000000" w:themeColor="text1"/>
          <w:szCs w:val="21"/>
        </w:rPr>
        <w:t>下的太赫兹辐射功率</w:t>
      </w:r>
      <w:r w:rsidRPr="00FE0D3B">
        <w:rPr>
          <w:rFonts w:ascii="宋体" w:hAnsi="宋体"/>
          <w:color w:val="000000" w:themeColor="text1"/>
          <w:szCs w:val="21"/>
        </w:rPr>
        <w:t>进行</w:t>
      </w:r>
      <w:r w:rsidR="008C2769">
        <w:rPr>
          <w:rFonts w:ascii="宋体" w:hAnsi="宋体" w:hint="eastAsia"/>
          <w:color w:val="000000" w:themeColor="text1"/>
          <w:szCs w:val="21"/>
        </w:rPr>
        <w:t>相关</w:t>
      </w:r>
      <w:r w:rsidRPr="00FE0D3B">
        <w:rPr>
          <w:rFonts w:ascii="宋体" w:hAnsi="宋体"/>
          <w:color w:val="000000" w:themeColor="text1"/>
          <w:szCs w:val="21"/>
        </w:rPr>
        <w:t>实验</w:t>
      </w:r>
      <w:r w:rsidR="00FE0D3B" w:rsidRPr="00FE0D3B">
        <w:rPr>
          <w:rFonts w:ascii="宋体" w:hAnsi="宋体" w:hint="eastAsia"/>
          <w:color w:val="000000" w:themeColor="text1"/>
          <w:szCs w:val="21"/>
        </w:rPr>
        <w:t>研究</w:t>
      </w:r>
      <w:r w:rsidR="008C2769">
        <w:rPr>
          <w:rFonts w:ascii="宋体" w:hAnsi="宋体" w:hint="eastAsia"/>
          <w:color w:val="000000" w:themeColor="text1"/>
          <w:szCs w:val="21"/>
        </w:rPr>
        <w:t>及测量数据</w:t>
      </w:r>
      <w:r w:rsidR="00FE0D3B" w:rsidRPr="00FE0D3B">
        <w:rPr>
          <w:rFonts w:ascii="宋体" w:hAnsi="宋体"/>
          <w:color w:val="000000" w:themeColor="text1"/>
          <w:szCs w:val="21"/>
        </w:rPr>
        <w:t>。</w:t>
      </w:r>
      <w:r w:rsidR="008C2769" w:rsidRPr="008C2769">
        <w:rPr>
          <w:rFonts w:ascii="宋体" w:hAnsi="宋体" w:hint="eastAsia"/>
          <w:color w:val="000000" w:themeColor="text1"/>
          <w:szCs w:val="21"/>
        </w:rPr>
        <w:t>通过深入探讨这些因素之间的相互关系，我们将更全面地理解液态介质产生太赫兹辐射的机制，并有望为优化实验条件、提高辐射效率提供有益的信息。这一研究将有助于拓展对太赫兹辐射产生过程的认识，并为相关领域的进一步研究和应用奠定基础。</w:t>
      </w:r>
    </w:p>
    <w:p w14:paraId="0E132034" w14:textId="7F124A20" w:rsidR="003E68EE" w:rsidRPr="006F2E28" w:rsidRDefault="003E68EE">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2.1 实验</w:t>
      </w:r>
      <w:r>
        <w:rPr>
          <w:rFonts w:asciiTheme="majorEastAsia" w:eastAsiaTheme="majorEastAsia" w:hAnsiTheme="majorEastAsia"/>
          <w:b/>
          <w:sz w:val="24"/>
        </w:rPr>
        <w:t>光路图设计</w:t>
      </w:r>
    </w:p>
    <w:p w14:paraId="3B9B415A" w14:textId="2AC6A630" w:rsidR="00BD6A7C" w:rsidRPr="006F2E28" w:rsidRDefault="003E68EE" w:rsidP="00070131">
      <w:pPr>
        <w:ind w:firstLineChars="200" w:firstLine="420"/>
        <w:rPr>
          <w:szCs w:val="21"/>
        </w:rPr>
      </w:pPr>
      <w:r w:rsidRPr="00AC11E1">
        <w:rPr>
          <w:szCs w:val="21"/>
        </w:rPr>
        <w:t>本文</w:t>
      </w:r>
      <w:r w:rsidR="00DF7B5C" w:rsidRPr="00AC11E1">
        <w:rPr>
          <w:szCs w:val="21"/>
        </w:rPr>
        <w:t>实验光路图如图</w:t>
      </w:r>
      <w:r w:rsidR="00DF7B5C" w:rsidRPr="00AC11E1">
        <w:rPr>
          <w:szCs w:val="21"/>
        </w:rPr>
        <w:t>1</w:t>
      </w:r>
      <w:r w:rsidR="00DF7B5C" w:rsidRPr="00AC11E1">
        <w:rPr>
          <w:szCs w:val="21"/>
        </w:rPr>
        <w:t>所示，</w:t>
      </w:r>
      <w:r w:rsidR="00AC11E1" w:rsidRPr="00AC11E1">
        <w:rPr>
          <w:szCs w:val="21"/>
        </w:rPr>
        <w:t>激励激光系统主要使用美国</w:t>
      </w:r>
      <w:r w:rsidR="00AC11E1" w:rsidRPr="00AC11E1">
        <w:rPr>
          <w:szCs w:val="21"/>
        </w:rPr>
        <w:t>Spectra-Physics</w:t>
      </w:r>
      <w:r w:rsidR="00AC11E1" w:rsidRPr="00AC11E1">
        <w:rPr>
          <w:szCs w:val="21"/>
        </w:rPr>
        <w:t>公司生产的</w:t>
      </w:r>
      <w:r w:rsidR="00AC11E1" w:rsidRPr="00AC11E1">
        <w:rPr>
          <w:szCs w:val="21"/>
        </w:rPr>
        <w:t>Spitfire Ace-35F</w:t>
      </w:r>
      <w:r w:rsidR="00AC11E1" w:rsidRPr="00AC11E1">
        <w:rPr>
          <w:szCs w:val="21"/>
        </w:rPr>
        <w:t>超快飞秒激光系统，为实验提供功率适中、稳定的激励激光</w:t>
      </w:r>
      <w:r w:rsidR="00DF7B5C" w:rsidRPr="00AC11E1">
        <w:rPr>
          <w:szCs w:val="21"/>
        </w:rPr>
        <w:t>，其中心波长为</w:t>
      </w:r>
      <w:r w:rsidR="00DF7B5C" w:rsidRPr="00AC11E1">
        <w:rPr>
          <w:szCs w:val="21"/>
        </w:rPr>
        <w:t>800nm</w:t>
      </w:r>
      <w:r w:rsidR="00DF7B5C" w:rsidRPr="00AC11E1">
        <w:rPr>
          <w:szCs w:val="21"/>
        </w:rPr>
        <w:t>，功率最高可达</w:t>
      </w:r>
      <w:r w:rsidR="00DF7B5C" w:rsidRPr="00AC11E1">
        <w:rPr>
          <w:szCs w:val="21"/>
        </w:rPr>
        <w:t>6W</w:t>
      </w:r>
      <w:r w:rsidR="00DF7B5C" w:rsidRPr="00AC11E1">
        <w:rPr>
          <w:szCs w:val="21"/>
        </w:rPr>
        <w:t>，重复频率为</w:t>
      </w:r>
      <w:r w:rsidR="00DF7B5C" w:rsidRPr="00AC11E1">
        <w:rPr>
          <w:szCs w:val="21"/>
        </w:rPr>
        <w:t>1kHz</w:t>
      </w:r>
      <w:r w:rsidR="00DF7B5C" w:rsidRPr="00AC11E1">
        <w:rPr>
          <w:szCs w:val="21"/>
        </w:rPr>
        <w:t>，脉冲持续时间为</w:t>
      </w:r>
      <w:r w:rsidR="00DF7B5C" w:rsidRPr="00AC11E1">
        <w:rPr>
          <w:szCs w:val="21"/>
        </w:rPr>
        <w:t>35fs</w:t>
      </w:r>
      <w:r w:rsidR="00DF7B5C" w:rsidRPr="00AC11E1">
        <w:rPr>
          <w:szCs w:val="21"/>
        </w:rPr>
        <w:t>。激励激光沿</w:t>
      </w:r>
      <w:r w:rsidR="00DF7B5C" w:rsidRPr="00AC11E1">
        <w:rPr>
          <w:szCs w:val="21"/>
        </w:rPr>
        <w:t>z</w:t>
      </w:r>
      <w:r w:rsidR="00DF7B5C" w:rsidRPr="00AC11E1">
        <w:rPr>
          <w:szCs w:val="21"/>
        </w:rPr>
        <w:t>轴正方向传播，通过焦距为</w:t>
      </w:r>
      <w:r w:rsidR="00DF7B5C" w:rsidRPr="00AC11E1">
        <w:rPr>
          <w:szCs w:val="21"/>
        </w:rPr>
        <w:t>50.8mm</w:t>
      </w:r>
      <w:r w:rsidR="00DF7B5C" w:rsidRPr="00AC11E1">
        <w:rPr>
          <w:szCs w:val="21"/>
        </w:rPr>
        <w:t>的凸透镜被聚焦到水线中，并在水线内部产生等离子体。从等离子体辐射出的太赫兹波，经过一对离轴抛物境（</w:t>
      </w:r>
      <w:r w:rsidR="00DF7B5C" w:rsidRPr="00AC11E1">
        <w:rPr>
          <w:szCs w:val="21"/>
        </w:rPr>
        <w:t>PM1</w:t>
      </w:r>
      <w:r w:rsidR="00E377C8" w:rsidRPr="00AC11E1">
        <w:rPr>
          <w:szCs w:val="21"/>
        </w:rPr>
        <w:t>、</w:t>
      </w:r>
      <w:r w:rsidR="00DF7B5C" w:rsidRPr="00AC11E1">
        <w:rPr>
          <w:szCs w:val="21"/>
        </w:rPr>
        <w:t>PM2</w:t>
      </w:r>
      <w:r w:rsidR="00DF7B5C" w:rsidRPr="00AC11E1">
        <w:rPr>
          <w:szCs w:val="21"/>
        </w:rPr>
        <w:t>）收集并准直，最后聚焦至热释电探测器以测量太赫兹辐射功率。</w:t>
      </w:r>
      <w:r w:rsidR="00AC11E1">
        <w:rPr>
          <w:rFonts w:hint="eastAsia"/>
          <w:szCs w:val="21"/>
        </w:rPr>
        <w:t>热释电探测器由加拿大</w:t>
      </w:r>
      <w:r w:rsidR="00AC11E1" w:rsidRPr="00AC11E1">
        <w:rPr>
          <w:szCs w:val="21"/>
        </w:rPr>
        <w:t>Gentec-EO</w:t>
      </w:r>
      <w:r w:rsidR="00AC11E1" w:rsidRPr="00AC11E1">
        <w:rPr>
          <w:rFonts w:hint="eastAsia"/>
          <w:szCs w:val="21"/>
        </w:rPr>
        <w:t>公司生产的</w:t>
      </w:r>
      <w:r w:rsidR="00AC11E1" w:rsidRPr="00AC11E1">
        <w:rPr>
          <w:rFonts w:hint="eastAsia"/>
          <w:szCs w:val="21"/>
        </w:rPr>
        <w:t>T-RAD</w:t>
      </w:r>
      <w:r w:rsidR="00AC11E1" w:rsidRPr="00AC11E1">
        <w:rPr>
          <w:rFonts w:hint="eastAsia"/>
          <w:szCs w:val="21"/>
        </w:rPr>
        <w:t>（</w:t>
      </w:r>
      <w:r w:rsidR="00AC11E1" w:rsidRPr="00AC11E1">
        <w:rPr>
          <w:rFonts w:hint="eastAsia"/>
          <w:szCs w:val="21"/>
        </w:rPr>
        <w:t>DB-15</w:t>
      </w:r>
      <w:r w:rsidR="00AC11E1" w:rsidRPr="00AC11E1">
        <w:rPr>
          <w:rFonts w:hint="eastAsia"/>
          <w:szCs w:val="21"/>
        </w:rPr>
        <w:t>）太赫兹辐射计</w:t>
      </w:r>
      <w:r w:rsidR="00AC11E1">
        <w:rPr>
          <w:rFonts w:hint="eastAsia"/>
          <w:szCs w:val="21"/>
        </w:rPr>
        <w:t>，辅以相关配套软件对太赫兹辐射功率进行测量并显示，实验时太赫兹辐射功率测量界面如下图</w:t>
      </w:r>
      <w:r w:rsidR="00AC11E1">
        <w:rPr>
          <w:rFonts w:hint="eastAsia"/>
          <w:szCs w:val="21"/>
        </w:rPr>
        <w:t>2</w:t>
      </w:r>
      <w:r w:rsidR="00AC11E1">
        <w:rPr>
          <w:rFonts w:hint="eastAsia"/>
          <w:szCs w:val="21"/>
        </w:rPr>
        <w:t>所示。</w:t>
      </w:r>
      <w:r w:rsidR="009E3B63" w:rsidRPr="00AC11E1">
        <w:rPr>
          <w:szCs w:val="21"/>
        </w:rPr>
        <w:t>为了提高太赫兹信号的信噪比，</w:t>
      </w:r>
      <w:r w:rsidR="00DF7B5C" w:rsidRPr="00AC11E1">
        <w:rPr>
          <w:szCs w:val="21"/>
        </w:rPr>
        <w:t>在热释电探测器前安装了斩波器和特氟龙滤波片</w:t>
      </w:r>
      <w:r w:rsidR="009E3B63" w:rsidRPr="00AC11E1">
        <w:rPr>
          <w:szCs w:val="21"/>
        </w:rPr>
        <w:t>，特氟龙滤波片</w:t>
      </w:r>
      <w:r w:rsidR="00DF7B5C" w:rsidRPr="00AC11E1">
        <w:rPr>
          <w:szCs w:val="21"/>
        </w:rPr>
        <w:t>用于滤除其余的杂光。流动平稳的水线由液体循环系统提供，通过更换液体循环系统出水口针头的尺寸可以改变水线的直径。液体循环系统还可以对实验所用的去离子水进行加热和冷却以改变水线的温度。激光焦点与水线相对位置的改变则是通过调节三维移动平移台，控制水线沿</w:t>
      </w:r>
      <w:r w:rsidR="00DF7B5C" w:rsidRPr="00AC11E1">
        <w:rPr>
          <w:szCs w:val="21"/>
        </w:rPr>
        <w:t>x</w:t>
      </w:r>
      <w:r w:rsidR="00DF7B5C" w:rsidRPr="00AC11E1">
        <w:rPr>
          <w:szCs w:val="21"/>
        </w:rPr>
        <w:t>轴移动的距离，进而使得激光聚集在水线内不同的位置</w:t>
      </w:r>
      <w:r w:rsidR="00DF7B5C" w:rsidRPr="006F2E28">
        <w:rPr>
          <w:rFonts w:hint="eastAsia"/>
          <w:szCs w:val="21"/>
        </w:rPr>
        <w:t>。</w:t>
      </w:r>
    </w:p>
    <w:p w14:paraId="4E26EF90" w14:textId="05A7FFC7" w:rsidR="00BD6A7C" w:rsidRPr="006F2E28" w:rsidRDefault="008C2769">
      <w:pPr>
        <w:spacing w:line="360" w:lineRule="auto"/>
        <w:jc w:val="center"/>
        <w:rPr>
          <w:szCs w:val="21"/>
        </w:rPr>
      </w:pPr>
      <w:r>
        <w:rPr>
          <w:noProof/>
        </w:rPr>
        <w:drawing>
          <wp:inline distT="0" distB="0" distL="0" distR="0" wp14:anchorId="190C3762" wp14:editId="7020AEC4">
            <wp:extent cx="4663101" cy="224790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67668" cy="2250102"/>
                    </a:xfrm>
                    <a:prstGeom prst="rect">
                      <a:avLst/>
                    </a:prstGeom>
                  </pic:spPr>
                </pic:pic>
              </a:graphicData>
            </a:graphic>
          </wp:inline>
        </w:drawing>
      </w:r>
    </w:p>
    <w:p w14:paraId="46C1474C" w14:textId="77777777" w:rsidR="00BD6A7C" w:rsidRPr="005F74ED" w:rsidRDefault="00DF7B5C">
      <w:pPr>
        <w:spacing w:line="360" w:lineRule="auto"/>
        <w:jc w:val="center"/>
        <w:rPr>
          <w:b/>
          <w:sz w:val="15"/>
          <w:szCs w:val="15"/>
        </w:rPr>
      </w:pPr>
      <w:r w:rsidRPr="005F74ED">
        <w:rPr>
          <w:b/>
          <w:sz w:val="15"/>
          <w:szCs w:val="15"/>
        </w:rPr>
        <w:t>图</w:t>
      </w:r>
      <w:r w:rsidRPr="005F74ED">
        <w:rPr>
          <w:rFonts w:hint="eastAsia"/>
          <w:b/>
          <w:sz w:val="15"/>
          <w:szCs w:val="15"/>
        </w:rPr>
        <w:t>1</w:t>
      </w:r>
      <w:r w:rsidRPr="005F74ED">
        <w:rPr>
          <w:rFonts w:hint="eastAsia"/>
          <w:b/>
          <w:sz w:val="15"/>
          <w:szCs w:val="15"/>
        </w:rPr>
        <w:t>实验光路示意图</w:t>
      </w:r>
    </w:p>
    <w:p w14:paraId="1B2BCBFC" w14:textId="54D2FDA0" w:rsidR="00F254F9" w:rsidRDefault="00AC11E1" w:rsidP="00EB5857">
      <w:pPr>
        <w:spacing w:line="360" w:lineRule="auto"/>
        <w:jc w:val="center"/>
        <w:rPr>
          <w:rFonts w:asciiTheme="majorEastAsia" w:eastAsiaTheme="majorEastAsia" w:hAnsiTheme="majorEastAsia"/>
          <w:b/>
          <w:sz w:val="24"/>
        </w:rPr>
      </w:pPr>
      <w:r>
        <w:rPr>
          <w:rFonts w:asciiTheme="majorEastAsia" w:eastAsiaTheme="majorEastAsia" w:hAnsiTheme="majorEastAsia"/>
          <w:b/>
          <w:noProof/>
          <w:sz w:val="24"/>
        </w:rPr>
        <w:lastRenderedPageBreak/>
        <w:drawing>
          <wp:inline distT="0" distB="0" distL="0" distR="0" wp14:anchorId="206B3271" wp14:editId="7E23A512">
            <wp:extent cx="4573540" cy="25908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5432" cy="2597536"/>
                    </a:xfrm>
                    <a:prstGeom prst="rect">
                      <a:avLst/>
                    </a:prstGeom>
                    <a:noFill/>
                  </pic:spPr>
                </pic:pic>
              </a:graphicData>
            </a:graphic>
          </wp:inline>
        </w:drawing>
      </w:r>
    </w:p>
    <w:p w14:paraId="3D58CAD4" w14:textId="0D5EBD51" w:rsidR="00EB5857" w:rsidRPr="00EB5857" w:rsidRDefault="00EB5857" w:rsidP="00EB5857">
      <w:pPr>
        <w:spacing w:line="360" w:lineRule="auto"/>
        <w:jc w:val="center"/>
        <w:rPr>
          <w:rFonts w:asciiTheme="majorEastAsia" w:eastAsiaTheme="majorEastAsia" w:hAnsiTheme="majorEastAsia"/>
          <w:b/>
          <w:sz w:val="15"/>
          <w:szCs w:val="15"/>
        </w:rPr>
      </w:pPr>
      <w:r w:rsidRPr="00EB5857">
        <w:rPr>
          <w:rFonts w:asciiTheme="majorEastAsia" w:eastAsiaTheme="majorEastAsia" w:hAnsiTheme="majorEastAsia" w:hint="eastAsia"/>
          <w:b/>
          <w:sz w:val="15"/>
          <w:szCs w:val="15"/>
        </w:rPr>
        <w:t>图2太赫兹辐射功率测量界面</w:t>
      </w:r>
    </w:p>
    <w:p w14:paraId="2590DEE3" w14:textId="7A3D3D23" w:rsidR="00F254F9" w:rsidRDefault="00F254F9">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2</w:t>
      </w:r>
      <w:r>
        <w:rPr>
          <w:rFonts w:asciiTheme="majorEastAsia" w:eastAsiaTheme="majorEastAsia" w:hAnsiTheme="majorEastAsia"/>
          <w:b/>
          <w:sz w:val="24"/>
        </w:rPr>
        <w:t>.2</w:t>
      </w:r>
      <w:r>
        <w:rPr>
          <w:rFonts w:asciiTheme="majorEastAsia" w:eastAsiaTheme="majorEastAsia" w:hAnsiTheme="majorEastAsia" w:hint="eastAsia"/>
          <w:b/>
          <w:sz w:val="24"/>
        </w:rPr>
        <w:t>液体循环系统</w:t>
      </w:r>
    </w:p>
    <w:p w14:paraId="1A5F6991" w14:textId="0CE21166" w:rsidR="00F254F9" w:rsidRDefault="00F254F9" w:rsidP="00F254F9">
      <w:pPr>
        <w:ind w:firstLineChars="200" w:firstLine="480"/>
        <w:rPr>
          <w:rFonts w:eastAsiaTheme="minorEastAsia"/>
          <w:bCs/>
          <w:sz w:val="24"/>
        </w:rPr>
      </w:pPr>
      <w:r w:rsidRPr="00F254F9">
        <w:rPr>
          <w:rFonts w:eastAsiaTheme="minorEastAsia"/>
          <w:bCs/>
          <w:sz w:val="24"/>
        </w:rPr>
        <w:t>介质循环系统的结构如图</w:t>
      </w:r>
      <w:r>
        <w:rPr>
          <w:rFonts w:eastAsiaTheme="minorEastAsia"/>
          <w:bCs/>
          <w:sz w:val="24"/>
        </w:rPr>
        <w:t>2</w:t>
      </w:r>
      <w:r w:rsidRPr="00F254F9">
        <w:rPr>
          <w:rFonts w:eastAsiaTheme="minorEastAsia"/>
          <w:bCs/>
          <w:sz w:val="24"/>
        </w:rPr>
        <w:t>所示，主要由流量控制单元和温度控制单元组成。流量控制单元包括流量计（</w:t>
      </w:r>
      <w:r w:rsidRPr="00F254F9">
        <w:rPr>
          <w:rFonts w:eastAsiaTheme="minorEastAsia"/>
          <w:bCs/>
          <w:sz w:val="24"/>
        </w:rPr>
        <w:t>80~160ml/min</w:t>
      </w:r>
      <w:r w:rsidRPr="00F254F9">
        <w:rPr>
          <w:rFonts w:eastAsiaTheme="minorEastAsia"/>
          <w:bCs/>
          <w:sz w:val="24"/>
        </w:rPr>
        <w:t>）、水压阀、水泵、和控制阀，而温度控制单元由计算机、传感器、加热器以及制冷机组成。此外，管道组件包括喷嘴、过滤器、</w:t>
      </w:r>
      <w:r w:rsidRPr="00F254F9">
        <w:rPr>
          <w:rFonts w:eastAsiaTheme="minorEastAsia"/>
          <w:bCs/>
          <w:sz w:val="24"/>
        </w:rPr>
        <w:t>8 mm</w:t>
      </w:r>
      <w:r w:rsidRPr="00F254F9">
        <w:rPr>
          <w:rFonts w:eastAsiaTheme="minorEastAsia"/>
          <w:bCs/>
          <w:sz w:val="24"/>
        </w:rPr>
        <w:t>软管、滤网和其他过滤器等器件。液体介质首先由水泵抽取自出水口，经过过滤器、调节阀、水压阀、流量计等器件形成一个稳定且高质量的水线，然后通过水箱上方的回流口重新进入水箱，完成一次有序且半封闭的液体介质循环。这整个过程通过各种仪器和器件的协同作用，确保了液体介质的质量和循环的稳定性。</w:t>
      </w:r>
    </w:p>
    <w:p w14:paraId="57C231EC" w14:textId="2B9287FC" w:rsidR="00F254F9" w:rsidRPr="00F254F9" w:rsidRDefault="00F254F9" w:rsidP="00F254F9">
      <w:pPr>
        <w:spacing w:line="360" w:lineRule="auto"/>
        <w:ind w:firstLineChars="200" w:firstLine="480"/>
        <w:rPr>
          <w:rFonts w:eastAsiaTheme="minorEastAsia"/>
          <w:bCs/>
          <w:sz w:val="24"/>
        </w:rPr>
      </w:pPr>
      <w:r>
        <w:rPr>
          <w:rFonts w:eastAsiaTheme="minorEastAsia"/>
          <w:bCs/>
          <w:noProof/>
          <w:sz w:val="24"/>
        </w:rPr>
        <w:drawing>
          <wp:inline distT="0" distB="0" distL="0" distR="0" wp14:anchorId="55CC84F2" wp14:editId="0ABC18C9">
            <wp:extent cx="4619866" cy="3053715"/>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4482" cy="3056766"/>
                    </a:xfrm>
                    <a:prstGeom prst="rect">
                      <a:avLst/>
                    </a:prstGeom>
                    <a:noFill/>
                  </pic:spPr>
                </pic:pic>
              </a:graphicData>
            </a:graphic>
          </wp:inline>
        </w:drawing>
      </w:r>
    </w:p>
    <w:p w14:paraId="7FD8FC3B" w14:textId="2E50B66C" w:rsidR="00BD6A7C" w:rsidRPr="006F2E28" w:rsidRDefault="006833F3">
      <w:pPr>
        <w:spacing w:line="360" w:lineRule="auto"/>
        <w:rPr>
          <w:rFonts w:asciiTheme="majorEastAsia" w:eastAsiaTheme="majorEastAsia" w:hAnsiTheme="majorEastAsia"/>
          <w:b/>
          <w:sz w:val="24"/>
        </w:rPr>
      </w:pPr>
      <w:r>
        <w:rPr>
          <w:rFonts w:asciiTheme="majorEastAsia" w:eastAsiaTheme="majorEastAsia" w:hAnsiTheme="majorEastAsia"/>
          <w:b/>
          <w:sz w:val="24"/>
        </w:rPr>
        <w:t>2.</w:t>
      </w:r>
      <w:r w:rsidR="00F254F9">
        <w:rPr>
          <w:rFonts w:asciiTheme="majorEastAsia" w:eastAsiaTheme="majorEastAsia" w:hAnsiTheme="majorEastAsia"/>
          <w:b/>
          <w:sz w:val="24"/>
        </w:rPr>
        <w:t>3</w:t>
      </w:r>
      <w:r w:rsidR="00DF7B5C" w:rsidRPr="006F2E28">
        <w:rPr>
          <w:rFonts w:asciiTheme="majorEastAsia" w:eastAsiaTheme="majorEastAsia" w:hAnsiTheme="majorEastAsia" w:hint="eastAsia"/>
          <w:b/>
          <w:sz w:val="24"/>
        </w:rPr>
        <w:t xml:space="preserve"> 实验结果及分析</w:t>
      </w:r>
    </w:p>
    <w:p w14:paraId="42516A88" w14:textId="10CD2A95" w:rsidR="00BD6A7C" w:rsidRPr="006F2E28" w:rsidRDefault="00DF7B5C">
      <w:pPr>
        <w:widowControl/>
        <w:ind w:firstLineChars="200" w:firstLine="420"/>
        <w:jc w:val="left"/>
        <w:rPr>
          <w:szCs w:val="21"/>
        </w:rPr>
      </w:pPr>
      <w:r w:rsidRPr="006F2E28">
        <w:rPr>
          <w:szCs w:val="21"/>
        </w:rPr>
        <w:t>基于上述实验光路系统，当水线温度为</w:t>
      </w:r>
      <w:r w:rsidRPr="006F2E28">
        <w:rPr>
          <w:szCs w:val="21"/>
        </w:rPr>
        <w:t>20</w:t>
      </w:r>
      <w:r w:rsidR="009E3B63">
        <w:rPr>
          <w:rFonts w:ascii="宋体" w:hAnsi="宋体" w:cs="宋体" w:hint="eastAsia"/>
          <w:szCs w:val="21"/>
          <w:lang w:eastAsia="ja-JP"/>
        </w:rPr>
        <w:t>℃</w:t>
      </w:r>
      <w:r w:rsidRPr="006F2E28">
        <w:rPr>
          <w:szCs w:val="21"/>
        </w:rPr>
        <w:t>，直径为</w:t>
      </w:r>
      <w:r w:rsidRPr="006F2E28">
        <w:rPr>
          <w:szCs w:val="21"/>
        </w:rPr>
        <w:t>270μm</w:t>
      </w:r>
      <w:r w:rsidRPr="006F2E28">
        <w:rPr>
          <w:rFonts w:hint="eastAsia"/>
          <w:szCs w:val="21"/>
        </w:rPr>
        <w:t>时，</w:t>
      </w:r>
      <w:r w:rsidRPr="006F2E28">
        <w:rPr>
          <w:szCs w:val="21"/>
        </w:rPr>
        <w:t>改变激光功率对太赫兹功率进行测量，测量结果如图</w:t>
      </w:r>
      <w:r w:rsidRPr="006F2E28">
        <w:rPr>
          <w:rFonts w:hint="eastAsia"/>
          <w:szCs w:val="21"/>
        </w:rPr>
        <w:t>2</w:t>
      </w:r>
      <w:r w:rsidRPr="006F2E28">
        <w:rPr>
          <w:rFonts w:hint="eastAsia"/>
          <w:szCs w:val="21"/>
        </w:rPr>
        <w:t>所示</w:t>
      </w:r>
      <w:r w:rsidRPr="006F2E28">
        <w:rPr>
          <w:szCs w:val="21"/>
        </w:rPr>
        <w:t>。可以看出，激光功率到太赫兹波功率的转换效</w:t>
      </w:r>
      <w:r w:rsidRPr="006F2E28">
        <w:rPr>
          <w:szCs w:val="21"/>
        </w:rPr>
        <w:lastRenderedPageBreak/>
        <w:t>率随着激光功率的增大而降低；太赫兹功率随激光功率的增大而增大，这与先前的研究相符</w:t>
      </w:r>
      <w:r w:rsidRPr="006F2E28">
        <w:rPr>
          <w:rFonts w:hint="eastAsia"/>
          <w:szCs w:val="21"/>
          <w:vertAlign w:val="superscript"/>
        </w:rPr>
        <w:t>[18]</w:t>
      </w:r>
      <w:r w:rsidRPr="006F2E28">
        <w:rPr>
          <w:szCs w:val="21"/>
        </w:rPr>
        <w:t>。</w:t>
      </w:r>
    </w:p>
    <w:p w14:paraId="4870AA10" w14:textId="354067D4" w:rsidR="00500231" w:rsidRPr="006F2E28" w:rsidRDefault="00D822B7" w:rsidP="00500231">
      <w:pPr>
        <w:widowControl/>
        <w:spacing w:line="360" w:lineRule="auto"/>
        <w:ind w:firstLineChars="200" w:firstLine="480"/>
        <w:jc w:val="center"/>
        <w:rPr>
          <w:sz w:val="24"/>
        </w:rPr>
      </w:pPr>
      <w:r>
        <w:rPr>
          <w:noProof/>
          <w:sz w:val="24"/>
        </w:rPr>
        <w:drawing>
          <wp:inline distT="0" distB="0" distL="0" distR="0" wp14:anchorId="6DAC1DA1" wp14:editId="7EF9A438">
            <wp:extent cx="2808000" cy="2055797"/>
            <wp:effectExtent l="0" t="0" r="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中文.jpg"/>
                    <pic:cNvPicPr/>
                  </pic:nvPicPr>
                  <pic:blipFill>
                    <a:blip r:embed="rId11">
                      <a:extLst>
                        <a:ext uri="{28A0092B-C50C-407E-A947-70E740481C1C}">
                          <a14:useLocalDpi xmlns:a14="http://schemas.microsoft.com/office/drawing/2010/main" val="0"/>
                        </a:ext>
                      </a:extLst>
                    </a:blip>
                    <a:stretch>
                      <a:fillRect/>
                    </a:stretch>
                  </pic:blipFill>
                  <pic:spPr>
                    <a:xfrm>
                      <a:off x="0" y="0"/>
                      <a:ext cx="2808000" cy="2055797"/>
                    </a:xfrm>
                    <a:prstGeom prst="rect">
                      <a:avLst/>
                    </a:prstGeom>
                  </pic:spPr>
                </pic:pic>
              </a:graphicData>
            </a:graphic>
          </wp:inline>
        </w:drawing>
      </w:r>
      <w:r w:rsidR="00297816">
        <w:rPr>
          <w:rFonts w:hint="eastAsia"/>
          <w:sz w:val="24"/>
        </w:rPr>
        <w:t xml:space="preserve"> </w:t>
      </w:r>
    </w:p>
    <w:p w14:paraId="25390CAB" w14:textId="77777777" w:rsidR="00BD6A7C" w:rsidRPr="005F74ED" w:rsidRDefault="00DF7B5C">
      <w:pPr>
        <w:spacing w:line="360" w:lineRule="auto"/>
        <w:jc w:val="center"/>
        <w:rPr>
          <w:b/>
          <w:sz w:val="15"/>
          <w:szCs w:val="15"/>
        </w:rPr>
      </w:pPr>
      <w:r w:rsidRPr="005F74ED">
        <w:rPr>
          <w:rFonts w:hint="eastAsia"/>
          <w:b/>
          <w:sz w:val="15"/>
          <w:szCs w:val="15"/>
        </w:rPr>
        <w:t>图</w:t>
      </w:r>
      <w:r w:rsidRPr="005F74ED">
        <w:rPr>
          <w:rFonts w:hint="eastAsia"/>
          <w:b/>
          <w:sz w:val="15"/>
          <w:szCs w:val="15"/>
        </w:rPr>
        <w:t>2</w:t>
      </w:r>
      <w:r w:rsidRPr="005F74ED">
        <w:rPr>
          <w:rFonts w:hint="eastAsia"/>
          <w:b/>
          <w:sz w:val="15"/>
          <w:szCs w:val="15"/>
        </w:rPr>
        <w:t>太赫兹辐射功率随激光功率变化的函数关系</w:t>
      </w:r>
    </w:p>
    <w:p w14:paraId="18A7C255" w14:textId="1A06FB0A" w:rsidR="00BD6A7C" w:rsidRPr="006F2E28" w:rsidRDefault="006833F3">
      <w:pPr>
        <w:ind w:firstLineChars="200" w:firstLine="420"/>
        <w:rPr>
          <w:szCs w:val="21"/>
        </w:rPr>
      </w:pPr>
      <w:r>
        <w:rPr>
          <w:rFonts w:hint="eastAsia"/>
          <w:szCs w:val="21"/>
        </w:rPr>
        <w:t>然后，</w:t>
      </w:r>
      <w:r w:rsidR="00DF7B5C" w:rsidRPr="006F2E28">
        <w:rPr>
          <w:szCs w:val="21"/>
        </w:rPr>
        <w:t>本文探究激光焦点在水线中的位置变化所导致的辐射出太赫兹功率的变化趋势</w:t>
      </w:r>
      <w:r w:rsidR="00DF7B5C" w:rsidRPr="006F2E28">
        <w:rPr>
          <w:rFonts w:hint="eastAsia"/>
          <w:szCs w:val="21"/>
        </w:rPr>
        <w:t>。激光焦点位置的变化均在水线内部，激光能量恒定为</w:t>
      </w:r>
      <w:r w:rsidR="00DF7B5C" w:rsidRPr="006F2E28">
        <w:rPr>
          <w:rFonts w:hint="eastAsia"/>
          <w:szCs w:val="21"/>
        </w:rPr>
        <w:t>0.8W</w:t>
      </w:r>
      <w:r w:rsidR="00DF7B5C" w:rsidRPr="006F2E28">
        <w:rPr>
          <w:rFonts w:hint="eastAsia"/>
          <w:szCs w:val="21"/>
        </w:rPr>
        <w:t>，水线直径</w:t>
      </w:r>
      <w:r w:rsidR="00DF7B5C" w:rsidRPr="006F2E28">
        <w:rPr>
          <w:rFonts w:hint="eastAsia"/>
          <w:szCs w:val="21"/>
        </w:rPr>
        <w:t>W</w:t>
      </w:r>
      <w:bookmarkStart w:id="2" w:name="_GoBack"/>
      <w:bookmarkEnd w:id="2"/>
      <w:r w:rsidR="00DF7B5C" w:rsidRPr="006F2E28">
        <w:rPr>
          <w:rFonts w:hint="eastAsia"/>
          <w:szCs w:val="21"/>
        </w:rPr>
        <w:t>L</w:t>
      </w:r>
      <w:r w:rsidR="00DF7B5C" w:rsidRPr="006F2E28">
        <w:rPr>
          <w:rFonts w:hint="eastAsia"/>
          <w:szCs w:val="21"/>
        </w:rPr>
        <w:t>分别为</w:t>
      </w:r>
      <w:r w:rsidR="0034088F">
        <w:rPr>
          <w:szCs w:val="21"/>
        </w:rPr>
        <w:t>500</w:t>
      </w:r>
      <w:r w:rsidR="00DF7B5C" w:rsidRPr="006F2E28">
        <w:rPr>
          <w:szCs w:val="21"/>
        </w:rPr>
        <w:t>、</w:t>
      </w:r>
      <w:r w:rsidR="0034088F">
        <w:rPr>
          <w:szCs w:val="21"/>
        </w:rPr>
        <w:t>400</w:t>
      </w:r>
      <w:r w:rsidR="00DF7B5C" w:rsidRPr="006F2E28">
        <w:rPr>
          <w:szCs w:val="21"/>
        </w:rPr>
        <w:t>、</w:t>
      </w:r>
      <w:r w:rsidR="0034088F">
        <w:rPr>
          <w:szCs w:val="21"/>
        </w:rPr>
        <w:t>300</w:t>
      </w:r>
      <w:r w:rsidR="00DF7B5C" w:rsidRPr="006F2E28">
        <w:rPr>
          <w:szCs w:val="21"/>
        </w:rPr>
        <w:t>和</w:t>
      </w:r>
      <w:r w:rsidR="00DF7B5C" w:rsidRPr="006F2E28">
        <w:rPr>
          <w:szCs w:val="21"/>
        </w:rPr>
        <w:t>270μm</w:t>
      </w:r>
      <w:r w:rsidR="00DF7B5C" w:rsidRPr="006F2E28">
        <w:rPr>
          <w:rFonts w:hint="eastAsia"/>
          <w:szCs w:val="21"/>
        </w:rPr>
        <w:t>，水线温度为</w:t>
      </w:r>
      <w:r w:rsidR="00DF7B5C" w:rsidRPr="006F2E28">
        <w:rPr>
          <w:rFonts w:hint="eastAsia"/>
          <w:szCs w:val="21"/>
        </w:rPr>
        <w:t>20</w:t>
      </w:r>
      <w:r w:rsidR="00DF7B5C" w:rsidRPr="006F2E28">
        <w:rPr>
          <w:rFonts w:hint="eastAsia"/>
          <w:szCs w:val="21"/>
        </w:rPr>
        <w:t>℃，探测频率为</w:t>
      </w:r>
      <w:r w:rsidR="00DF7B5C" w:rsidRPr="006F2E28">
        <w:rPr>
          <w:rFonts w:hint="eastAsia"/>
          <w:szCs w:val="21"/>
        </w:rPr>
        <w:t>0.5THz</w:t>
      </w:r>
      <w:r w:rsidR="00DF7B5C" w:rsidRPr="006F2E28">
        <w:rPr>
          <w:rFonts w:hint="eastAsia"/>
          <w:szCs w:val="21"/>
        </w:rPr>
        <w:t>的太赫兹波辐射功率。</w:t>
      </w:r>
      <w:r w:rsidR="004D3153" w:rsidRPr="006F2E28">
        <w:rPr>
          <w:rFonts w:hint="eastAsia"/>
          <w:szCs w:val="21"/>
        </w:rPr>
        <w:t>实验结果如图</w:t>
      </w:r>
      <w:r w:rsidR="004D3153" w:rsidRPr="006F2E28">
        <w:rPr>
          <w:rFonts w:hint="eastAsia"/>
          <w:szCs w:val="21"/>
        </w:rPr>
        <w:t>3</w:t>
      </w:r>
      <w:r w:rsidR="004D3153" w:rsidRPr="006F2E28">
        <w:rPr>
          <w:rFonts w:hint="eastAsia"/>
          <w:szCs w:val="21"/>
        </w:rPr>
        <w:t>所示，图中浅绿色背景表示水线直径的范围。</w:t>
      </w:r>
    </w:p>
    <w:p w14:paraId="76D6F1EB" w14:textId="77777777" w:rsidR="00BD6A7C" w:rsidRPr="006F2E28" w:rsidRDefault="00DF7B5C">
      <w:pPr>
        <w:spacing w:line="360" w:lineRule="auto"/>
        <w:ind w:firstLineChars="300" w:firstLine="542"/>
        <w:jc w:val="center"/>
        <w:rPr>
          <w:b/>
          <w:sz w:val="18"/>
          <w:szCs w:val="18"/>
        </w:rPr>
      </w:pPr>
      <w:r w:rsidRPr="006F2E28">
        <w:rPr>
          <w:b/>
          <w:noProof/>
          <w:sz w:val="18"/>
          <w:szCs w:val="18"/>
        </w:rPr>
        <w:drawing>
          <wp:inline distT="0" distB="0" distL="0" distR="0" wp14:anchorId="4A1DE690" wp14:editId="782303A4">
            <wp:extent cx="4860000" cy="3644332"/>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860000" cy="3644332"/>
                    </a:xfrm>
                    <a:prstGeom prst="rect">
                      <a:avLst/>
                    </a:prstGeom>
                  </pic:spPr>
                </pic:pic>
              </a:graphicData>
            </a:graphic>
          </wp:inline>
        </w:drawing>
      </w:r>
    </w:p>
    <w:p w14:paraId="2F0BC9AB" w14:textId="77777777" w:rsidR="00BD6A7C" w:rsidRPr="005F74ED" w:rsidRDefault="00DF7B5C" w:rsidP="005F74ED">
      <w:pPr>
        <w:spacing w:line="360" w:lineRule="auto"/>
        <w:ind w:firstLineChars="300" w:firstLine="452"/>
        <w:jc w:val="center"/>
        <w:rPr>
          <w:sz w:val="15"/>
          <w:szCs w:val="15"/>
        </w:rPr>
      </w:pPr>
      <w:r w:rsidRPr="005F74ED">
        <w:rPr>
          <w:rFonts w:hint="eastAsia"/>
          <w:b/>
          <w:sz w:val="15"/>
          <w:szCs w:val="15"/>
        </w:rPr>
        <w:t>图</w:t>
      </w:r>
      <w:r w:rsidRPr="005F74ED">
        <w:rPr>
          <w:rFonts w:hint="eastAsia"/>
          <w:b/>
          <w:sz w:val="15"/>
          <w:szCs w:val="15"/>
        </w:rPr>
        <w:t>3</w:t>
      </w:r>
      <w:r w:rsidRPr="005F74ED">
        <w:rPr>
          <w:rFonts w:hint="eastAsia"/>
          <w:b/>
          <w:sz w:val="15"/>
          <w:szCs w:val="15"/>
        </w:rPr>
        <w:t>改变激光焦点太赫兹辐射的功率变化趋势</w:t>
      </w:r>
    </w:p>
    <w:p w14:paraId="7244845A" w14:textId="6121465F" w:rsidR="00BD6A7C" w:rsidRPr="006F2E28" w:rsidRDefault="00DF7B5C">
      <w:pPr>
        <w:ind w:firstLineChars="200" w:firstLine="420"/>
        <w:rPr>
          <w:szCs w:val="21"/>
        </w:rPr>
      </w:pPr>
      <w:r w:rsidRPr="006F2E28">
        <w:rPr>
          <w:rFonts w:hint="eastAsia"/>
          <w:szCs w:val="21"/>
        </w:rPr>
        <w:t>从图</w:t>
      </w:r>
      <w:r w:rsidRPr="006F2E28">
        <w:rPr>
          <w:rFonts w:hint="eastAsia"/>
          <w:szCs w:val="21"/>
        </w:rPr>
        <w:t>3</w:t>
      </w:r>
      <w:r w:rsidRPr="006F2E28">
        <w:rPr>
          <w:rFonts w:hint="eastAsia"/>
          <w:szCs w:val="21"/>
        </w:rPr>
        <w:t>中可以看出，对于</w:t>
      </w:r>
      <w:r w:rsidR="00B7786B">
        <w:rPr>
          <w:rFonts w:hint="eastAsia"/>
          <w:szCs w:val="21"/>
        </w:rPr>
        <w:t>4</w:t>
      </w:r>
      <w:r w:rsidRPr="006F2E28">
        <w:rPr>
          <w:rFonts w:hint="eastAsia"/>
          <w:szCs w:val="21"/>
        </w:rPr>
        <w:t>种不同的水线直径，太赫兹功率的变化趋势十分相似，关于水线中心有高度的对称性。总体趋势均表现为：激光焦点在水线的中心区域时（</w:t>
      </w:r>
      <w:r w:rsidRPr="006F2E28">
        <w:rPr>
          <w:szCs w:val="21"/>
        </w:rPr>
        <w:t>-0.1≤x≤0.1</w:t>
      </w:r>
      <w:r w:rsidRPr="006F2E28">
        <w:rPr>
          <w:rFonts w:hint="eastAsia"/>
          <w:szCs w:val="21"/>
        </w:rPr>
        <w:t>），辐射出的太赫兹功率较低；焦点在水线的内部边缘区域</w:t>
      </w:r>
      <w:r w:rsidRPr="006F2E28">
        <w:rPr>
          <w:szCs w:val="21"/>
        </w:rPr>
        <w:t>（</w:t>
      </w:r>
      <w:r w:rsidRPr="006F2E28">
        <w:rPr>
          <w:szCs w:val="21"/>
        </w:rPr>
        <w:t>WL</w:t>
      </w:r>
      <w:r w:rsidRPr="006F2E28">
        <w:rPr>
          <w:szCs w:val="21"/>
        </w:rPr>
        <w:t>＞</w:t>
      </w:r>
      <w:r w:rsidRPr="006F2E28">
        <w:rPr>
          <w:szCs w:val="21"/>
        </w:rPr>
        <w:t>x</w:t>
      </w:r>
      <w:r w:rsidRPr="006F2E28">
        <w:rPr>
          <w:szCs w:val="21"/>
        </w:rPr>
        <w:t>＞</w:t>
      </w:r>
      <w:r w:rsidRPr="006F2E28">
        <w:rPr>
          <w:szCs w:val="21"/>
        </w:rPr>
        <w:t>0.1</w:t>
      </w:r>
      <w:r w:rsidRPr="006F2E28">
        <w:rPr>
          <w:szCs w:val="21"/>
        </w:rPr>
        <w:t>）</w:t>
      </w:r>
      <w:r w:rsidRPr="006F2E28">
        <w:rPr>
          <w:rFonts w:hint="eastAsia"/>
          <w:szCs w:val="21"/>
        </w:rPr>
        <w:t>辐射出的太赫兹功率较高（中心弱，边缘强）。在水线的中心区域，由于等离子体辐射出的太赫兹波的光程较长，水对太赫兹有较强的吸收，导致了总体辐射出的太赫兹波功率均较低。</w:t>
      </w:r>
      <w:bookmarkStart w:id="3" w:name="OLE_LINK9"/>
      <w:bookmarkStart w:id="4" w:name="OLE_LINK8"/>
      <w:r w:rsidRPr="006F2E28">
        <w:rPr>
          <w:rFonts w:hint="eastAsia"/>
          <w:szCs w:val="21"/>
        </w:rPr>
        <w:t>激光聚焦在水线</w:t>
      </w:r>
      <w:r w:rsidRPr="006F2E28">
        <w:rPr>
          <w:rFonts w:hint="eastAsia"/>
          <w:szCs w:val="21"/>
        </w:rPr>
        <w:lastRenderedPageBreak/>
        <w:t>内部边缘产生的等离子</w:t>
      </w:r>
      <w:r w:rsidR="000B4D80" w:rsidRPr="006F2E28">
        <w:rPr>
          <w:rFonts w:hint="eastAsia"/>
          <w:szCs w:val="21"/>
        </w:rPr>
        <w:t>体</w:t>
      </w:r>
      <w:r w:rsidRPr="006F2E28">
        <w:rPr>
          <w:rFonts w:hint="eastAsia"/>
          <w:szCs w:val="21"/>
        </w:rPr>
        <w:t>辐射出的太赫兹波不仅在介质水中传播的光</w:t>
      </w:r>
      <w:r w:rsidR="00EE7F14" w:rsidRPr="006F2E28">
        <w:rPr>
          <w:rFonts w:hint="eastAsia"/>
          <w:szCs w:val="21"/>
        </w:rPr>
        <w:t>程较短，水对其吸收较小，而且由于水线</w:t>
      </w:r>
      <w:r w:rsidR="00FA66F3" w:rsidRPr="006F2E28">
        <w:rPr>
          <w:rFonts w:hint="eastAsia"/>
          <w:szCs w:val="21"/>
        </w:rPr>
        <w:t>与空气之间的</w:t>
      </w:r>
      <w:r w:rsidRPr="006F2E28">
        <w:rPr>
          <w:rFonts w:hint="eastAsia"/>
          <w:szCs w:val="21"/>
        </w:rPr>
        <w:t>界面打破了正负电流之间的对称性，使得水线边缘区域的等离子体中的准净电流的非对称性增大，导致了总净电流的增大</w:t>
      </w:r>
      <w:r w:rsidRPr="006F2E28">
        <w:rPr>
          <w:rFonts w:hint="eastAsia"/>
          <w:szCs w:val="21"/>
          <w:vertAlign w:val="superscript"/>
        </w:rPr>
        <w:t>[18]</w:t>
      </w:r>
      <w:r w:rsidR="00B7786B" w:rsidRPr="00B7786B">
        <w:rPr>
          <w:rFonts w:hint="eastAsia"/>
          <w:szCs w:val="21"/>
        </w:rPr>
        <w:t xml:space="preserve"> </w:t>
      </w:r>
      <w:r w:rsidR="00B7786B" w:rsidRPr="006F2E28">
        <w:rPr>
          <w:rFonts w:hint="eastAsia"/>
          <w:szCs w:val="21"/>
        </w:rPr>
        <w:t>，</w:t>
      </w:r>
      <w:r w:rsidRPr="006F2E28">
        <w:rPr>
          <w:rFonts w:hint="eastAsia"/>
          <w:szCs w:val="21"/>
        </w:rPr>
        <w:t>从而进一步增大了辐射出的太赫兹波的功率。</w:t>
      </w:r>
      <w:bookmarkEnd w:id="3"/>
      <w:bookmarkEnd w:id="4"/>
    </w:p>
    <w:p w14:paraId="49966BBA" w14:textId="5560785F" w:rsidR="00BD6A7C" w:rsidRDefault="00DF7B5C" w:rsidP="00F341C8">
      <w:pPr>
        <w:ind w:firstLineChars="200" w:firstLine="420"/>
        <w:rPr>
          <w:rFonts w:ascii="宋体" w:hAnsi="宋体"/>
          <w:szCs w:val="21"/>
        </w:rPr>
      </w:pPr>
      <w:r w:rsidRPr="006F2E28">
        <w:rPr>
          <w:szCs w:val="21"/>
        </w:rPr>
        <w:t>为了充分探究水线中辐射出的太赫兹波与激光焦点在水中的聚焦位置之间的关系，本文测量了太赫兹辐射功率随水线温度改变的趋势，激光功率为</w:t>
      </w:r>
      <w:r w:rsidRPr="006F2E28">
        <w:rPr>
          <w:szCs w:val="21"/>
        </w:rPr>
        <w:t>0.8W</w:t>
      </w:r>
      <w:r w:rsidRPr="006F2E28">
        <w:rPr>
          <w:szCs w:val="21"/>
        </w:rPr>
        <w:t>，水线直径</w:t>
      </w:r>
      <w:r w:rsidRPr="006F2E28">
        <w:rPr>
          <w:rFonts w:hint="eastAsia"/>
          <w:szCs w:val="21"/>
        </w:rPr>
        <w:t>WL=</w:t>
      </w:r>
      <w:r w:rsidRPr="006F2E28">
        <w:rPr>
          <w:szCs w:val="21"/>
        </w:rPr>
        <w:t>270μm</w:t>
      </w:r>
      <w:r w:rsidRPr="006F2E28">
        <w:rPr>
          <w:szCs w:val="21"/>
        </w:rPr>
        <w:t>，其余实验条件不变。</w:t>
      </w:r>
      <w:r w:rsidR="00B7786B">
        <w:rPr>
          <w:rFonts w:hint="eastAsia"/>
          <w:szCs w:val="21"/>
        </w:rPr>
        <w:t>结果</w:t>
      </w:r>
      <w:r w:rsidRPr="006F2E28">
        <w:rPr>
          <w:szCs w:val="21"/>
        </w:rPr>
        <w:t>如图</w:t>
      </w:r>
      <w:r w:rsidRPr="006F2E28">
        <w:rPr>
          <w:rFonts w:hint="eastAsia"/>
          <w:szCs w:val="21"/>
        </w:rPr>
        <w:t>4</w:t>
      </w:r>
      <w:r w:rsidR="00B7786B">
        <w:rPr>
          <w:rFonts w:hint="eastAsia"/>
          <w:szCs w:val="21"/>
        </w:rPr>
        <w:t>所示。可</w:t>
      </w:r>
      <w:r w:rsidR="00B7786B">
        <w:rPr>
          <w:szCs w:val="21"/>
        </w:rPr>
        <w:t>以看出，</w:t>
      </w:r>
      <w:r w:rsidRPr="006F2E28">
        <w:rPr>
          <w:rFonts w:hint="eastAsia"/>
          <w:szCs w:val="21"/>
        </w:rPr>
        <w:t>太赫兹辐射功率随水线温度变化的趋势是先升高后降低，在介质温度</w:t>
      </w:r>
      <w:r w:rsidRPr="006F2E28">
        <w:rPr>
          <w:szCs w:val="21"/>
        </w:rPr>
        <w:t>T=45</w:t>
      </w:r>
      <w:r w:rsidR="00D11864">
        <w:rPr>
          <w:rFonts w:ascii="宋体" w:hAnsi="宋体" w:cs="宋体" w:hint="eastAsia"/>
          <w:szCs w:val="21"/>
          <w:lang w:eastAsia="ja-JP"/>
        </w:rPr>
        <w:t>℃</w:t>
      </w:r>
      <w:r w:rsidRPr="006F2E28">
        <w:rPr>
          <w:szCs w:val="21"/>
        </w:rPr>
        <w:t>时达到一个峰值。根据图</w:t>
      </w:r>
      <w:r w:rsidRPr="006F2E28">
        <w:rPr>
          <w:rFonts w:hint="eastAsia"/>
          <w:szCs w:val="21"/>
        </w:rPr>
        <w:t>4</w:t>
      </w:r>
      <w:r w:rsidRPr="006F2E28">
        <w:rPr>
          <w:rFonts w:hint="eastAsia"/>
          <w:szCs w:val="21"/>
        </w:rPr>
        <w:t>的实验结果，本文进一步</w:t>
      </w:r>
      <w:r w:rsidRPr="006F2E28">
        <w:rPr>
          <w:rFonts w:ascii="宋体" w:hAnsi="宋体"/>
          <w:szCs w:val="21"/>
        </w:rPr>
        <w:t>测量了不同</w:t>
      </w:r>
      <w:r w:rsidR="005068D8" w:rsidRPr="006F2E28">
        <w:rPr>
          <w:rFonts w:ascii="宋体" w:hAnsi="宋体"/>
          <w:szCs w:val="21"/>
        </w:rPr>
        <w:t>直径的</w:t>
      </w:r>
      <w:r w:rsidRPr="006F2E28">
        <w:rPr>
          <w:rFonts w:ascii="宋体" w:hAnsi="宋体" w:hint="eastAsia"/>
          <w:szCs w:val="21"/>
        </w:rPr>
        <w:t>水线</w:t>
      </w:r>
      <w:r w:rsidR="005068D8" w:rsidRPr="006F2E28">
        <w:rPr>
          <w:rFonts w:ascii="宋体" w:hAnsi="宋体" w:hint="eastAsia"/>
          <w:szCs w:val="21"/>
        </w:rPr>
        <w:t>在不同</w:t>
      </w:r>
      <w:r w:rsidRPr="006F2E28">
        <w:rPr>
          <w:rFonts w:ascii="宋体" w:hAnsi="宋体"/>
          <w:szCs w:val="21"/>
        </w:rPr>
        <w:t>温度下</w:t>
      </w:r>
      <w:r w:rsidRPr="006F2E28">
        <w:rPr>
          <w:rFonts w:ascii="宋体" w:hAnsi="宋体" w:hint="eastAsia"/>
          <w:szCs w:val="21"/>
        </w:rPr>
        <w:t>(</w:t>
      </w:r>
      <w:r w:rsidR="00D11864">
        <w:rPr>
          <w:szCs w:val="21"/>
        </w:rPr>
        <w:t>30</w:t>
      </w:r>
      <w:r w:rsidRPr="006F2E28">
        <w:rPr>
          <w:szCs w:val="21"/>
        </w:rPr>
        <w:t>、</w:t>
      </w:r>
      <w:r w:rsidR="00D11864">
        <w:rPr>
          <w:szCs w:val="21"/>
        </w:rPr>
        <w:t>45</w:t>
      </w:r>
      <w:r w:rsidR="00D11864">
        <w:rPr>
          <w:rFonts w:hint="eastAsia"/>
          <w:szCs w:val="21"/>
        </w:rPr>
        <w:t>、</w:t>
      </w:r>
      <w:r w:rsidRPr="006F2E28">
        <w:rPr>
          <w:szCs w:val="21"/>
        </w:rPr>
        <w:t>60</w:t>
      </w:r>
      <w:r w:rsidR="00D11864">
        <w:rPr>
          <w:rFonts w:ascii="宋体" w:hAnsi="宋体" w:cs="宋体" w:hint="eastAsia"/>
          <w:szCs w:val="21"/>
          <w:lang w:eastAsia="ja-JP"/>
        </w:rPr>
        <w:t>℃</w:t>
      </w:r>
      <w:r w:rsidRPr="006F2E28">
        <w:rPr>
          <w:rFonts w:ascii="宋体" w:hAnsi="宋体" w:hint="eastAsia"/>
          <w:szCs w:val="21"/>
        </w:rPr>
        <w:t>)</w:t>
      </w:r>
      <w:r w:rsidRPr="006F2E28">
        <w:rPr>
          <w:rFonts w:ascii="宋体" w:hAnsi="宋体"/>
          <w:szCs w:val="21"/>
        </w:rPr>
        <w:t>太赫兹辐射功率随激光焦点位置改变的趋势</w:t>
      </w:r>
      <w:r w:rsidR="004D3153">
        <w:rPr>
          <w:rFonts w:ascii="宋体" w:hAnsi="宋体" w:hint="eastAsia"/>
          <w:szCs w:val="21"/>
        </w:rPr>
        <w:t>，</w:t>
      </w:r>
      <w:r w:rsidR="004D3153">
        <w:rPr>
          <w:rFonts w:ascii="宋体" w:hAnsi="宋体"/>
          <w:szCs w:val="21"/>
        </w:rPr>
        <w:t>实验结果如图</w:t>
      </w:r>
      <w:r w:rsidR="004D3153">
        <w:rPr>
          <w:rFonts w:ascii="宋体" w:hAnsi="宋体" w:hint="eastAsia"/>
          <w:szCs w:val="21"/>
        </w:rPr>
        <w:t>5所示</w:t>
      </w:r>
      <w:r w:rsidRPr="006F2E28">
        <w:rPr>
          <w:rFonts w:ascii="宋体" w:hAnsi="宋体"/>
          <w:szCs w:val="21"/>
        </w:rPr>
        <w:t>。</w:t>
      </w:r>
    </w:p>
    <w:p w14:paraId="2AAFA24D" w14:textId="77777777" w:rsidR="004D3153" w:rsidRPr="006F2E28" w:rsidRDefault="004D3153" w:rsidP="004D3153">
      <w:pPr>
        <w:spacing w:line="360" w:lineRule="auto"/>
        <w:ind w:firstLineChars="200" w:firstLine="480"/>
        <w:jc w:val="center"/>
        <w:rPr>
          <w:sz w:val="24"/>
        </w:rPr>
      </w:pPr>
      <w:r w:rsidRPr="006F2E28">
        <w:rPr>
          <w:noProof/>
          <w:sz w:val="24"/>
        </w:rPr>
        <w:drawing>
          <wp:inline distT="0" distB="0" distL="0" distR="0" wp14:anchorId="724FA8E8" wp14:editId="750FAFB5">
            <wp:extent cx="2807386" cy="1569493"/>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808930" cy="1570356"/>
                    </a:xfrm>
                    <a:prstGeom prst="rect">
                      <a:avLst/>
                    </a:prstGeom>
                  </pic:spPr>
                </pic:pic>
              </a:graphicData>
            </a:graphic>
          </wp:inline>
        </w:drawing>
      </w:r>
    </w:p>
    <w:p w14:paraId="2EF234BF" w14:textId="77777777" w:rsidR="004D3153" w:rsidRPr="005F74ED" w:rsidRDefault="004D3153" w:rsidP="004D3153">
      <w:pPr>
        <w:spacing w:line="360" w:lineRule="auto"/>
        <w:ind w:firstLineChars="200" w:firstLine="301"/>
        <w:jc w:val="center"/>
        <w:rPr>
          <w:b/>
          <w:sz w:val="15"/>
          <w:szCs w:val="15"/>
        </w:rPr>
      </w:pPr>
      <w:r w:rsidRPr="005F74ED">
        <w:rPr>
          <w:rFonts w:hint="eastAsia"/>
          <w:b/>
          <w:sz w:val="15"/>
          <w:szCs w:val="15"/>
        </w:rPr>
        <w:t>图</w:t>
      </w:r>
      <w:r w:rsidRPr="005F74ED">
        <w:rPr>
          <w:rFonts w:hint="eastAsia"/>
          <w:b/>
          <w:sz w:val="15"/>
          <w:szCs w:val="15"/>
        </w:rPr>
        <w:t>4</w:t>
      </w:r>
      <w:r w:rsidRPr="005F74ED">
        <w:rPr>
          <w:rFonts w:hint="eastAsia"/>
          <w:b/>
          <w:sz w:val="15"/>
          <w:szCs w:val="15"/>
        </w:rPr>
        <w:t>太赫兹辐射功率随介质温度变化的趋势</w:t>
      </w:r>
    </w:p>
    <w:p w14:paraId="1CDE55E3" w14:textId="77777777" w:rsidR="004D3153" w:rsidRPr="004D3153" w:rsidRDefault="004D3153" w:rsidP="004D3153">
      <w:pPr>
        <w:rPr>
          <w:szCs w:val="21"/>
        </w:rPr>
      </w:pPr>
    </w:p>
    <w:p w14:paraId="1891986B" w14:textId="77777777" w:rsidR="00BD6A7C" w:rsidRPr="006F2E28" w:rsidRDefault="00DF7B5C">
      <w:pPr>
        <w:ind w:firstLineChars="200" w:firstLine="420"/>
        <w:jc w:val="center"/>
        <w:rPr>
          <w:szCs w:val="21"/>
        </w:rPr>
      </w:pPr>
      <w:r w:rsidRPr="006F2E28">
        <w:rPr>
          <w:noProof/>
          <w:szCs w:val="21"/>
        </w:rPr>
        <w:lastRenderedPageBreak/>
        <w:drawing>
          <wp:inline distT="0" distB="0" distL="0" distR="0" wp14:anchorId="75D4B474" wp14:editId="7C1BB029">
            <wp:extent cx="4860000" cy="5939522"/>
            <wp:effectExtent l="0" t="0" r="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860000" cy="5939522"/>
                    </a:xfrm>
                    <a:prstGeom prst="rect">
                      <a:avLst/>
                    </a:prstGeom>
                  </pic:spPr>
                </pic:pic>
              </a:graphicData>
            </a:graphic>
          </wp:inline>
        </w:drawing>
      </w:r>
    </w:p>
    <w:p w14:paraId="24910821" w14:textId="77777777" w:rsidR="00BD6A7C" w:rsidRPr="005F74ED" w:rsidRDefault="00DF7B5C" w:rsidP="005F74ED">
      <w:pPr>
        <w:spacing w:line="360" w:lineRule="auto"/>
        <w:ind w:firstLineChars="200" w:firstLine="301"/>
        <w:jc w:val="center"/>
        <w:rPr>
          <w:b/>
          <w:sz w:val="15"/>
          <w:szCs w:val="15"/>
        </w:rPr>
      </w:pPr>
      <w:r w:rsidRPr="005F74ED">
        <w:rPr>
          <w:rFonts w:hint="eastAsia"/>
          <w:b/>
          <w:sz w:val="15"/>
          <w:szCs w:val="15"/>
        </w:rPr>
        <w:t>图</w:t>
      </w:r>
      <w:r w:rsidRPr="005F74ED">
        <w:rPr>
          <w:rFonts w:hint="eastAsia"/>
          <w:b/>
          <w:sz w:val="15"/>
          <w:szCs w:val="15"/>
        </w:rPr>
        <w:t>5</w:t>
      </w:r>
      <w:r w:rsidRPr="005F74ED">
        <w:rPr>
          <w:rFonts w:hint="eastAsia"/>
          <w:b/>
          <w:sz w:val="15"/>
          <w:szCs w:val="15"/>
        </w:rPr>
        <w:t>不同温度下改变激光焦点太赫兹辐射功率变化趋势</w:t>
      </w:r>
    </w:p>
    <w:p w14:paraId="6AF1A9DC" w14:textId="77777777" w:rsidR="00F341C8" w:rsidRPr="006F2E28" w:rsidRDefault="00F341C8" w:rsidP="00F341C8">
      <w:pPr>
        <w:ind w:firstLineChars="200" w:firstLine="420"/>
        <w:jc w:val="left"/>
        <w:rPr>
          <w:szCs w:val="21"/>
        </w:rPr>
      </w:pPr>
      <w:r w:rsidRPr="006F2E28">
        <w:rPr>
          <w:szCs w:val="21"/>
        </w:rPr>
        <w:t>从图</w:t>
      </w:r>
      <w:r w:rsidRPr="006F2E28">
        <w:rPr>
          <w:rFonts w:hint="eastAsia"/>
          <w:szCs w:val="21"/>
        </w:rPr>
        <w:t>5</w:t>
      </w:r>
      <w:r w:rsidRPr="006F2E28">
        <w:rPr>
          <w:rFonts w:hint="eastAsia"/>
          <w:szCs w:val="21"/>
        </w:rPr>
        <w:t>中可以看出，受水线温度的影响太赫兹辐射功率趋势发生了改变：水线温度的升高，使得中心区域辐射出的太赫兹波的功率有所增强，最为明显的是水线直径为</w:t>
      </w:r>
      <w:r w:rsidRPr="006F2E28">
        <w:rPr>
          <w:szCs w:val="21"/>
        </w:rPr>
        <w:t>500μm</w:t>
      </w:r>
      <w:r w:rsidRPr="006F2E28">
        <w:rPr>
          <w:szCs w:val="21"/>
        </w:rPr>
        <w:t>和</w:t>
      </w:r>
      <w:r w:rsidRPr="006F2E28">
        <w:rPr>
          <w:szCs w:val="21"/>
        </w:rPr>
        <w:t>400μm</w:t>
      </w:r>
      <w:r w:rsidR="008C2C05" w:rsidRPr="006F2E28">
        <w:rPr>
          <w:rFonts w:hint="eastAsia"/>
          <w:szCs w:val="21"/>
        </w:rPr>
        <w:t>，</w:t>
      </w:r>
      <w:r w:rsidRPr="006F2E28">
        <w:rPr>
          <w:szCs w:val="21"/>
        </w:rPr>
        <w:t>水线温度为</w:t>
      </w:r>
      <w:r w:rsidRPr="006F2E28">
        <w:rPr>
          <w:szCs w:val="21"/>
        </w:rPr>
        <w:t>60℃</w:t>
      </w:r>
      <w:r w:rsidRPr="006F2E28">
        <w:rPr>
          <w:szCs w:val="21"/>
        </w:rPr>
        <w:t>时</w:t>
      </w:r>
      <w:r w:rsidRPr="006F2E28">
        <w:rPr>
          <w:rFonts w:hint="eastAsia"/>
          <w:szCs w:val="21"/>
        </w:rPr>
        <w:t>，中心区域辐射出的太赫兹波功率相对于边缘区域辐射出的太赫兹波功率有了明显的提升。产生这种实验现象的原因是：温度的升高使得水分子的热运动加剧，分子间的相互作用以及分子与离子之间的相互作用表现的更加活跃，当高能量激光聚焦与水线中时，有更多活跃的水分子吸收光子的能量产生较强的雪崩电离效应，更多的水分子发生电离，即激光与水分子相互作用的更加充分，从而辐射出较强的太赫兹波。而对于直径较小的水线</w:t>
      </w:r>
      <w:r w:rsidR="00087444" w:rsidRPr="006F2E28">
        <w:rPr>
          <w:rFonts w:hint="eastAsia"/>
          <w:szCs w:val="21"/>
        </w:rPr>
        <w:t>（</w:t>
      </w:r>
      <w:r w:rsidR="00087444" w:rsidRPr="006F2E28">
        <w:rPr>
          <w:szCs w:val="21"/>
        </w:rPr>
        <w:t>水线直径为</w:t>
      </w:r>
      <w:r w:rsidR="00087444" w:rsidRPr="006F2E28">
        <w:rPr>
          <w:szCs w:val="21"/>
        </w:rPr>
        <w:t>270μm</w:t>
      </w:r>
      <w:r w:rsidR="00087444" w:rsidRPr="006F2E28">
        <w:rPr>
          <w:szCs w:val="21"/>
        </w:rPr>
        <w:t>和</w:t>
      </w:r>
      <w:r w:rsidR="00087444" w:rsidRPr="006F2E28">
        <w:rPr>
          <w:szCs w:val="21"/>
        </w:rPr>
        <w:t>300μm</w:t>
      </w:r>
      <w:r w:rsidR="00087444" w:rsidRPr="006F2E28">
        <w:rPr>
          <w:rFonts w:hint="eastAsia"/>
          <w:szCs w:val="21"/>
        </w:rPr>
        <w:t>）</w:t>
      </w:r>
      <w:r w:rsidRPr="006F2E28">
        <w:rPr>
          <w:rFonts w:hint="eastAsia"/>
          <w:szCs w:val="21"/>
        </w:rPr>
        <w:t>，当激光焦点在水线中心区域时，激光脉冲与水线的接触面积</w:t>
      </w:r>
      <w:r w:rsidRPr="006F2E28">
        <w:rPr>
          <w:rFonts w:hint="eastAsia"/>
          <w:szCs w:val="21"/>
        </w:rPr>
        <w:t>/</w:t>
      </w:r>
      <w:r w:rsidRPr="006F2E28">
        <w:rPr>
          <w:rFonts w:hint="eastAsia"/>
          <w:szCs w:val="21"/>
        </w:rPr>
        <w:t>体积较小，不利于充分实现激光脉冲与水分子之间的相互作用。但是水线温度升高使得分子热运动的加剧，仍然导致了水线中心的太赫兹辐射功率有一定程度的升高。</w:t>
      </w:r>
    </w:p>
    <w:p w14:paraId="540E4EE3" w14:textId="14DA1A8F" w:rsidR="00BD6A7C" w:rsidRPr="006F2E28" w:rsidRDefault="003D6103">
      <w:pPr>
        <w:spacing w:line="360" w:lineRule="auto"/>
        <w:jc w:val="left"/>
        <w:rPr>
          <w:rFonts w:asciiTheme="majorEastAsia" w:eastAsiaTheme="majorEastAsia" w:hAnsiTheme="majorEastAsia"/>
          <w:b/>
          <w:sz w:val="24"/>
        </w:rPr>
      </w:pPr>
      <w:r>
        <w:rPr>
          <w:rFonts w:asciiTheme="majorEastAsia" w:eastAsiaTheme="majorEastAsia" w:hAnsiTheme="majorEastAsia"/>
          <w:b/>
          <w:sz w:val="24"/>
        </w:rPr>
        <w:lastRenderedPageBreak/>
        <w:t xml:space="preserve">3 </w:t>
      </w:r>
      <w:r w:rsidR="00DF7B5C" w:rsidRPr="006F2E28">
        <w:rPr>
          <w:rFonts w:asciiTheme="majorEastAsia" w:eastAsiaTheme="majorEastAsia" w:hAnsiTheme="majorEastAsia" w:hint="eastAsia"/>
          <w:b/>
          <w:sz w:val="24"/>
        </w:rPr>
        <w:t>仿真结果与分析</w:t>
      </w:r>
    </w:p>
    <w:p w14:paraId="1419B567" w14:textId="42D44509" w:rsidR="005B4D8C" w:rsidRDefault="00DF7B5C" w:rsidP="005B4D8C">
      <w:pPr>
        <w:ind w:firstLineChars="200" w:firstLine="420"/>
        <w:jc w:val="left"/>
        <w:rPr>
          <w:szCs w:val="21"/>
        </w:rPr>
      </w:pPr>
      <w:r w:rsidRPr="006F2E28">
        <w:rPr>
          <w:szCs w:val="21"/>
        </w:rPr>
        <w:t>高能量的激光聚焦于水线中产生等离子体激发出太赫兹辐射的过程，多数情况下是在水线外部使用探测手段进行</w:t>
      </w:r>
      <w:r w:rsidRPr="006F2E28">
        <w:rPr>
          <w:rFonts w:hint="eastAsia"/>
          <w:szCs w:val="21"/>
        </w:rPr>
        <w:t>较</w:t>
      </w:r>
      <w:r w:rsidRPr="006F2E28">
        <w:rPr>
          <w:szCs w:val="21"/>
        </w:rPr>
        <w:t>远距离测量太赫兹辐射的功率。在水线的内部，无法使用探测手段观测到太赫兹波从水线中辐射至空气中的具体的太赫兹辐射的空间分布情况。为了能够充分的描述激发水线产生太赫兹辐射在水线与邻近空气域的太赫兹辐射的具体情况，本文使用</w:t>
      </w:r>
      <w:r w:rsidRPr="006F2E28">
        <w:rPr>
          <w:rFonts w:hint="eastAsia"/>
          <w:szCs w:val="21"/>
        </w:rPr>
        <w:t>COMSOL 6.0</w:t>
      </w:r>
      <w:r w:rsidRPr="006F2E28">
        <w:rPr>
          <w:rFonts w:hint="eastAsia"/>
          <w:szCs w:val="21"/>
        </w:rPr>
        <w:t>软件</w:t>
      </w:r>
      <w:r w:rsidR="002164C1">
        <w:rPr>
          <w:szCs w:val="21"/>
        </w:rPr>
        <w:t>对该问题进行</w:t>
      </w:r>
      <w:r w:rsidRPr="006F2E28">
        <w:rPr>
          <w:szCs w:val="21"/>
        </w:rPr>
        <w:t>建模与仿真分析。</w:t>
      </w:r>
      <w:r w:rsidRPr="006F2E28">
        <w:rPr>
          <w:rFonts w:hint="eastAsia"/>
          <w:szCs w:val="21"/>
        </w:rPr>
        <w:t>以图</w:t>
      </w:r>
      <w:r w:rsidRPr="006F2E28">
        <w:rPr>
          <w:rFonts w:hint="eastAsia"/>
          <w:szCs w:val="21"/>
        </w:rPr>
        <w:t>2</w:t>
      </w:r>
      <w:r w:rsidRPr="006F2E28">
        <w:rPr>
          <w:rFonts w:hint="eastAsia"/>
          <w:szCs w:val="21"/>
        </w:rPr>
        <w:t>中的</w:t>
      </w:r>
      <w:r w:rsidR="00127946" w:rsidRPr="006F2E28">
        <w:rPr>
          <w:rFonts w:hint="eastAsia"/>
          <w:szCs w:val="21"/>
        </w:rPr>
        <w:t>xOz</w:t>
      </w:r>
      <w:r w:rsidRPr="006F2E28">
        <w:rPr>
          <w:rFonts w:hint="eastAsia"/>
          <w:szCs w:val="21"/>
        </w:rPr>
        <w:t>面为剖面考虑水线结构的对称性，建立水线与邻近空气域的二维平面模型</w:t>
      </w:r>
      <w:r w:rsidR="002164C1">
        <w:rPr>
          <w:rFonts w:hint="eastAsia"/>
          <w:szCs w:val="21"/>
        </w:rPr>
        <w:t>，</w:t>
      </w:r>
      <w:r w:rsidRPr="006F2E28">
        <w:rPr>
          <w:rFonts w:hint="eastAsia"/>
          <w:szCs w:val="21"/>
        </w:rPr>
        <w:t>如图</w:t>
      </w:r>
      <w:r w:rsidRPr="006F2E28">
        <w:rPr>
          <w:rFonts w:hint="eastAsia"/>
          <w:szCs w:val="21"/>
        </w:rPr>
        <w:t>6</w:t>
      </w:r>
      <w:r w:rsidR="002164C1">
        <w:rPr>
          <w:rFonts w:hint="eastAsia"/>
          <w:szCs w:val="21"/>
        </w:rPr>
        <w:t>所示。</w:t>
      </w:r>
      <w:r w:rsidRPr="006F2E28">
        <w:rPr>
          <w:rFonts w:hint="eastAsia"/>
          <w:szCs w:val="21"/>
        </w:rPr>
        <w:t>整个计算域是一个正方形其边长为</w:t>
      </w:r>
      <w:r w:rsidRPr="006F2E28">
        <w:rPr>
          <w:rFonts w:hint="eastAsia"/>
          <w:szCs w:val="21"/>
        </w:rPr>
        <w:t>200</w:t>
      </w:r>
      <w:r w:rsidR="00127946" w:rsidRPr="006F2E28">
        <w:rPr>
          <w:szCs w:val="21"/>
        </w:rPr>
        <w:t>μm</w:t>
      </w:r>
      <w:r w:rsidRPr="006F2E28">
        <w:rPr>
          <w:rFonts w:hint="eastAsia"/>
          <w:szCs w:val="21"/>
        </w:rPr>
        <w:t>，其边界均为匹配边界条件，使得边界无任何反射，图中半圆区域表示水线，其半径为</w:t>
      </w:r>
      <w:r w:rsidRPr="006F2E28">
        <w:rPr>
          <w:szCs w:val="21"/>
        </w:rPr>
        <w:t>100μm</w:t>
      </w:r>
      <w:r w:rsidRPr="006F2E28">
        <w:rPr>
          <w:szCs w:val="21"/>
        </w:rPr>
        <w:t>，其余部分均为空气域</w:t>
      </w:r>
      <w:r w:rsidRPr="006F2E28">
        <w:rPr>
          <w:rFonts w:hint="eastAsia"/>
          <w:szCs w:val="21"/>
        </w:rPr>
        <w:t>。</w:t>
      </w:r>
    </w:p>
    <w:p w14:paraId="714B92A4" w14:textId="7F962981" w:rsidR="005B4D8C" w:rsidRPr="006F2E28" w:rsidRDefault="005B4D8C" w:rsidP="005B4D8C">
      <w:pPr>
        <w:ind w:firstLineChars="200" w:firstLine="420"/>
        <w:jc w:val="center"/>
        <w:rPr>
          <w:szCs w:val="21"/>
        </w:rPr>
      </w:pPr>
      <w:r>
        <w:rPr>
          <w:noProof/>
          <w:szCs w:val="21"/>
        </w:rPr>
        <w:drawing>
          <wp:inline distT="0" distB="0" distL="0" distR="0" wp14:anchorId="6BE55B1D" wp14:editId="4EBFFA7E">
            <wp:extent cx="2808000" cy="2822747"/>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8000" cy="2822747"/>
                    </a:xfrm>
                    <a:prstGeom prst="rect">
                      <a:avLst/>
                    </a:prstGeom>
                    <a:noFill/>
                  </pic:spPr>
                </pic:pic>
              </a:graphicData>
            </a:graphic>
          </wp:inline>
        </w:drawing>
      </w:r>
    </w:p>
    <w:p w14:paraId="52E0064C" w14:textId="362D3BF2" w:rsidR="002D590C" w:rsidRPr="005F74ED" w:rsidRDefault="00DF7B5C" w:rsidP="005B4D8C">
      <w:pPr>
        <w:spacing w:line="360" w:lineRule="auto"/>
        <w:ind w:firstLineChars="200" w:firstLine="301"/>
        <w:jc w:val="center"/>
        <w:rPr>
          <w:b/>
          <w:sz w:val="15"/>
          <w:szCs w:val="15"/>
        </w:rPr>
      </w:pPr>
      <w:r w:rsidRPr="005F74ED">
        <w:rPr>
          <w:rFonts w:hint="eastAsia"/>
          <w:b/>
          <w:sz w:val="15"/>
          <w:szCs w:val="15"/>
        </w:rPr>
        <w:t>图</w:t>
      </w:r>
      <w:r w:rsidRPr="005F74ED">
        <w:rPr>
          <w:rFonts w:hint="eastAsia"/>
          <w:b/>
          <w:sz w:val="15"/>
          <w:szCs w:val="15"/>
        </w:rPr>
        <w:t>6</w:t>
      </w:r>
      <w:r w:rsidRPr="005F74ED">
        <w:rPr>
          <w:rFonts w:hint="eastAsia"/>
          <w:b/>
          <w:sz w:val="15"/>
          <w:szCs w:val="15"/>
        </w:rPr>
        <w:t>水线与邻近空气域二维平面模型</w:t>
      </w:r>
    </w:p>
    <w:p w14:paraId="5372ADEA" w14:textId="77777777" w:rsidR="00BD6A7C" w:rsidRPr="006F2E28" w:rsidRDefault="00DF7B5C">
      <w:pPr>
        <w:ind w:firstLineChars="200" w:firstLine="420"/>
        <w:jc w:val="left"/>
        <w:rPr>
          <w:szCs w:val="21"/>
        </w:rPr>
      </w:pPr>
      <w:r w:rsidRPr="006F2E28">
        <w:rPr>
          <w:szCs w:val="21"/>
        </w:rPr>
        <w:t>基于水线与邻近空气域二维平面模型，使用电磁波波束包络物理场中的匹配边界条件作为太赫兹辐射的入射场，入射场为高斯光束其频率为</w:t>
      </w:r>
      <w:r w:rsidRPr="006F2E28">
        <w:rPr>
          <w:rFonts w:hint="eastAsia"/>
          <w:szCs w:val="21"/>
        </w:rPr>
        <w:t>0.5THz</w:t>
      </w:r>
      <w:r w:rsidRPr="006F2E28">
        <w:rPr>
          <w:rFonts w:hint="eastAsia"/>
          <w:szCs w:val="21"/>
        </w:rPr>
        <w:t>、电场强度为</w:t>
      </w:r>
      <w:r w:rsidRPr="006F2E28">
        <w:rPr>
          <w:rFonts w:hint="eastAsia"/>
          <w:szCs w:val="21"/>
        </w:rPr>
        <w:t>1V/m</w:t>
      </w:r>
      <w:r w:rsidRPr="006F2E28">
        <w:rPr>
          <w:rFonts w:hint="eastAsia"/>
          <w:szCs w:val="21"/>
        </w:rPr>
        <w:t>，入射角度为</w:t>
      </w:r>
      <w:r w:rsidRPr="006F2E28">
        <w:rPr>
          <w:szCs w:val="21"/>
        </w:rPr>
        <w:t>π/2</w:t>
      </w:r>
      <w:r w:rsidRPr="006F2E28">
        <w:rPr>
          <w:rFonts w:hint="eastAsia"/>
          <w:szCs w:val="21"/>
        </w:rPr>
        <w:t>。作为太赫兹辐射的入射场的匹配边界条件为图</w:t>
      </w:r>
      <w:r w:rsidRPr="006F2E28">
        <w:rPr>
          <w:rFonts w:hint="eastAsia"/>
          <w:szCs w:val="21"/>
        </w:rPr>
        <w:t>6</w:t>
      </w:r>
      <w:r w:rsidRPr="006F2E28">
        <w:rPr>
          <w:rFonts w:hint="eastAsia"/>
          <w:szCs w:val="21"/>
        </w:rPr>
        <w:t>计算域的左边界，半圆弧曲线为空气与水线的交界面。仿真计算结果如图</w:t>
      </w:r>
      <w:r w:rsidRPr="006F2E28">
        <w:rPr>
          <w:rFonts w:hint="eastAsia"/>
          <w:szCs w:val="21"/>
        </w:rPr>
        <w:t>7</w:t>
      </w:r>
      <w:r w:rsidRPr="006F2E28">
        <w:rPr>
          <w:rFonts w:hint="eastAsia"/>
          <w:szCs w:val="21"/>
        </w:rPr>
        <w:t>、图</w:t>
      </w:r>
      <w:r w:rsidRPr="006F2E28">
        <w:rPr>
          <w:rFonts w:hint="eastAsia"/>
          <w:szCs w:val="21"/>
        </w:rPr>
        <w:t>8</w:t>
      </w:r>
      <w:r w:rsidRPr="006F2E28">
        <w:rPr>
          <w:rFonts w:hint="eastAsia"/>
          <w:szCs w:val="21"/>
        </w:rPr>
        <w:t>所示，从图</w:t>
      </w:r>
      <w:r w:rsidRPr="006F2E28">
        <w:rPr>
          <w:rFonts w:hint="eastAsia"/>
          <w:szCs w:val="21"/>
        </w:rPr>
        <w:t>7</w:t>
      </w:r>
      <w:r w:rsidRPr="006F2E28">
        <w:rPr>
          <w:rFonts w:hint="eastAsia"/>
          <w:szCs w:val="21"/>
        </w:rPr>
        <w:t>可以看出，水线内部区域的太赫兹电场强度较高，并沿</w:t>
      </w:r>
      <w:r w:rsidRPr="006F2E28">
        <w:rPr>
          <w:rFonts w:hint="eastAsia"/>
          <w:szCs w:val="21"/>
        </w:rPr>
        <w:t>z</w:t>
      </w:r>
      <w:r w:rsidRPr="006F2E28">
        <w:rPr>
          <w:rFonts w:hint="eastAsia"/>
          <w:szCs w:val="21"/>
        </w:rPr>
        <w:t>轴正方向辐射至邻近空气域当中；太赫兹辐射电场强度沿</w:t>
      </w:r>
      <w:r w:rsidRPr="006F2E28">
        <w:rPr>
          <w:rFonts w:hint="eastAsia"/>
          <w:szCs w:val="21"/>
        </w:rPr>
        <w:t>z</w:t>
      </w:r>
      <w:r w:rsidRPr="006F2E28">
        <w:rPr>
          <w:rFonts w:hint="eastAsia"/>
          <w:szCs w:val="21"/>
        </w:rPr>
        <w:t>轴分布情况如图</w:t>
      </w:r>
      <w:r w:rsidRPr="006F2E28">
        <w:rPr>
          <w:rFonts w:hint="eastAsia"/>
          <w:szCs w:val="21"/>
        </w:rPr>
        <w:t>8</w:t>
      </w:r>
      <w:r w:rsidRPr="006F2E28">
        <w:rPr>
          <w:rFonts w:hint="eastAsia"/>
          <w:szCs w:val="21"/>
        </w:rPr>
        <w:t>所示，太赫兹辐射的电场强度沿</w:t>
      </w:r>
      <w:r w:rsidRPr="006F2E28">
        <w:rPr>
          <w:rFonts w:hint="eastAsia"/>
          <w:szCs w:val="21"/>
        </w:rPr>
        <w:t>z</w:t>
      </w:r>
      <w:r w:rsidRPr="006F2E28">
        <w:rPr>
          <w:rFonts w:hint="eastAsia"/>
          <w:szCs w:val="21"/>
        </w:rPr>
        <w:t>轴呈现出先增大后减小的趋势。</w:t>
      </w:r>
    </w:p>
    <w:p w14:paraId="7186DAEC" w14:textId="77777777" w:rsidR="00BD6A7C" w:rsidRPr="006F2E28" w:rsidRDefault="00C46817">
      <w:pPr>
        <w:spacing w:line="360" w:lineRule="auto"/>
        <w:ind w:firstLineChars="200" w:firstLine="480"/>
        <w:jc w:val="center"/>
        <w:rPr>
          <w:sz w:val="24"/>
        </w:rPr>
      </w:pPr>
      <w:r>
        <w:rPr>
          <w:noProof/>
          <w:sz w:val="24"/>
        </w:rPr>
        <w:drawing>
          <wp:inline distT="0" distB="0" distL="0" distR="0" wp14:anchorId="2E416910" wp14:editId="72503233">
            <wp:extent cx="3085466" cy="2313829"/>
            <wp:effectExtent l="0" t="0" r="63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7.png"/>
                    <pic:cNvPicPr/>
                  </pic:nvPicPr>
                  <pic:blipFill>
                    <a:blip r:embed="rId16">
                      <a:extLst>
                        <a:ext uri="{28A0092B-C50C-407E-A947-70E740481C1C}">
                          <a14:useLocalDpi xmlns:a14="http://schemas.microsoft.com/office/drawing/2010/main" val="0"/>
                        </a:ext>
                      </a:extLst>
                    </a:blip>
                    <a:stretch>
                      <a:fillRect/>
                    </a:stretch>
                  </pic:blipFill>
                  <pic:spPr>
                    <a:xfrm>
                      <a:off x="0" y="0"/>
                      <a:ext cx="3093282" cy="2319690"/>
                    </a:xfrm>
                    <a:prstGeom prst="rect">
                      <a:avLst/>
                    </a:prstGeom>
                  </pic:spPr>
                </pic:pic>
              </a:graphicData>
            </a:graphic>
          </wp:inline>
        </w:drawing>
      </w:r>
    </w:p>
    <w:p w14:paraId="5D8985AC" w14:textId="77777777" w:rsidR="00BD6A7C" w:rsidRPr="006F2E28" w:rsidRDefault="00DF7B5C">
      <w:pPr>
        <w:spacing w:line="360" w:lineRule="auto"/>
        <w:ind w:firstLineChars="200" w:firstLine="361"/>
        <w:jc w:val="center"/>
        <w:rPr>
          <w:b/>
          <w:sz w:val="18"/>
          <w:szCs w:val="18"/>
        </w:rPr>
      </w:pPr>
      <w:r w:rsidRPr="006F2E28">
        <w:rPr>
          <w:rFonts w:hint="eastAsia"/>
          <w:b/>
          <w:sz w:val="18"/>
          <w:szCs w:val="18"/>
        </w:rPr>
        <w:lastRenderedPageBreak/>
        <w:t>图</w:t>
      </w:r>
      <w:r w:rsidRPr="006F2E28">
        <w:rPr>
          <w:rFonts w:hint="eastAsia"/>
          <w:b/>
          <w:sz w:val="18"/>
          <w:szCs w:val="18"/>
        </w:rPr>
        <w:t>7</w:t>
      </w:r>
      <w:r w:rsidRPr="006F2E28">
        <w:rPr>
          <w:rFonts w:hint="eastAsia"/>
          <w:b/>
          <w:sz w:val="18"/>
          <w:szCs w:val="18"/>
        </w:rPr>
        <w:t>太赫兹电场强度空间分布</w:t>
      </w:r>
    </w:p>
    <w:p w14:paraId="7FD9EDB9" w14:textId="6EC1B85D" w:rsidR="00BD6A7C" w:rsidRDefault="00BD6A7C">
      <w:pPr>
        <w:spacing w:line="360" w:lineRule="auto"/>
        <w:ind w:firstLineChars="200" w:firstLine="480"/>
        <w:jc w:val="center"/>
        <w:rPr>
          <w:sz w:val="24"/>
        </w:rPr>
      </w:pPr>
    </w:p>
    <w:p w14:paraId="3F987AC2" w14:textId="398FD650" w:rsidR="00673FB8" w:rsidRPr="006F2E28" w:rsidRDefault="00673FB8">
      <w:pPr>
        <w:spacing w:line="360" w:lineRule="auto"/>
        <w:ind w:firstLineChars="200" w:firstLine="480"/>
        <w:jc w:val="center"/>
        <w:rPr>
          <w:sz w:val="24"/>
        </w:rPr>
      </w:pPr>
      <w:r>
        <w:rPr>
          <w:rFonts w:hint="eastAsia"/>
          <w:noProof/>
          <w:sz w:val="24"/>
        </w:rPr>
        <w:drawing>
          <wp:inline distT="0" distB="0" distL="0" distR="0" wp14:anchorId="5E1D956D" wp14:editId="4E588ED1">
            <wp:extent cx="2808000" cy="2107521"/>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7"/>
                    <a:stretch>
                      <a:fillRect/>
                    </a:stretch>
                  </pic:blipFill>
                  <pic:spPr>
                    <a:xfrm>
                      <a:off x="0" y="0"/>
                      <a:ext cx="2808000" cy="2107521"/>
                    </a:xfrm>
                    <a:prstGeom prst="rect">
                      <a:avLst/>
                    </a:prstGeom>
                  </pic:spPr>
                </pic:pic>
              </a:graphicData>
            </a:graphic>
          </wp:inline>
        </w:drawing>
      </w:r>
    </w:p>
    <w:p w14:paraId="6681D508" w14:textId="77777777" w:rsidR="00BD6A7C" w:rsidRPr="005F74ED" w:rsidRDefault="00DF7B5C" w:rsidP="005F74ED">
      <w:pPr>
        <w:spacing w:line="360" w:lineRule="auto"/>
        <w:ind w:firstLineChars="200" w:firstLine="301"/>
        <w:jc w:val="center"/>
        <w:rPr>
          <w:b/>
          <w:sz w:val="15"/>
          <w:szCs w:val="15"/>
        </w:rPr>
      </w:pPr>
      <w:r w:rsidRPr="005F74ED">
        <w:rPr>
          <w:rFonts w:hint="eastAsia"/>
          <w:b/>
          <w:sz w:val="15"/>
          <w:szCs w:val="15"/>
        </w:rPr>
        <w:t>图</w:t>
      </w:r>
      <w:r w:rsidRPr="005F74ED">
        <w:rPr>
          <w:rFonts w:hint="eastAsia"/>
          <w:b/>
          <w:sz w:val="15"/>
          <w:szCs w:val="15"/>
        </w:rPr>
        <w:t>8</w:t>
      </w:r>
      <w:r w:rsidRPr="005F74ED">
        <w:rPr>
          <w:rFonts w:hint="eastAsia"/>
          <w:b/>
          <w:sz w:val="15"/>
          <w:szCs w:val="15"/>
        </w:rPr>
        <w:t>太赫兹电场强度沿</w:t>
      </w:r>
      <w:r w:rsidRPr="005F74ED">
        <w:rPr>
          <w:rFonts w:hint="eastAsia"/>
          <w:b/>
          <w:sz w:val="15"/>
          <w:szCs w:val="15"/>
        </w:rPr>
        <w:t>z</w:t>
      </w:r>
      <w:r w:rsidRPr="005F74ED">
        <w:rPr>
          <w:rFonts w:hint="eastAsia"/>
          <w:b/>
          <w:sz w:val="15"/>
          <w:szCs w:val="15"/>
        </w:rPr>
        <w:t>轴分布情况</w:t>
      </w:r>
    </w:p>
    <w:p w14:paraId="1DD67371" w14:textId="17BED993" w:rsidR="00BD6A7C" w:rsidRPr="006F2E28" w:rsidRDefault="00DF7B5C">
      <w:pPr>
        <w:ind w:firstLineChars="250" w:firstLine="525"/>
        <w:jc w:val="left"/>
        <w:rPr>
          <w:szCs w:val="21"/>
        </w:rPr>
      </w:pPr>
      <w:r w:rsidRPr="006F2E28">
        <w:rPr>
          <w:rFonts w:hint="eastAsia"/>
          <w:szCs w:val="21"/>
        </w:rPr>
        <w:t>改变入射场太赫兹辐射的频率，其余条件不变，计算在频率</w:t>
      </w:r>
      <w:r w:rsidRPr="006F2E28">
        <w:rPr>
          <w:rFonts w:hint="eastAsia"/>
          <w:szCs w:val="21"/>
        </w:rPr>
        <w:t>0.1~1THz</w:t>
      </w:r>
      <w:r w:rsidRPr="006F2E28">
        <w:rPr>
          <w:rFonts w:hint="eastAsia"/>
          <w:szCs w:val="21"/>
        </w:rPr>
        <w:t>的太赫兹辐射的电场强度沿</w:t>
      </w:r>
      <w:r w:rsidRPr="006F2E28">
        <w:rPr>
          <w:rFonts w:hint="eastAsia"/>
          <w:szCs w:val="21"/>
        </w:rPr>
        <w:t>z</w:t>
      </w:r>
      <w:r w:rsidRPr="006F2E28">
        <w:rPr>
          <w:rFonts w:hint="eastAsia"/>
          <w:szCs w:val="21"/>
        </w:rPr>
        <w:t>轴分布的情况如图</w:t>
      </w:r>
      <w:r w:rsidRPr="006F2E28">
        <w:rPr>
          <w:rFonts w:hint="eastAsia"/>
          <w:szCs w:val="21"/>
        </w:rPr>
        <w:t>9</w:t>
      </w:r>
      <w:r w:rsidR="007500F1">
        <w:rPr>
          <w:rFonts w:hint="eastAsia"/>
          <w:szCs w:val="21"/>
        </w:rPr>
        <w:t>所示。</w:t>
      </w:r>
      <w:r w:rsidRPr="006F2E28">
        <w:rPr>
          <w:rFonts w:hint="eastAsia"/>
          <w:szCs w:val="21"/>
        </w:rPr>
        <w:t>可以看出，随着太赫兹辐射的频率增大，太赫兹辐射的电场强度的极大值点逐渐往</w:t>
      </w:r>
      <w:r w:rsidRPr="006F2E28">
        <w:rPr>
          <w:rFonts w:hint="eastAsia"/>
          <w:szCs w:val="21"/>
        </w:rPr>
        <w:t>z</w:t>
      </w:r>
      <w:r w:rsidRPr="006F2E28">
        <w:rPr>
          <w:rFonts w:hint="eastAsia"/>
          <w:szCs w:val="21"/>
        </w:rPr>
        <w:t>轴正方向移动（从水线中心移动至水线边缘），空气中太赫兹电场强度也逐渐增大。</w:t>
      </w:r>
    </w:p>
    <w:p w14:paraId="4717803B" w14:textId="77777777" w:rsidR="00BD6A7C" w:rsidRPr="006F2E28" w:rsidRDefault="00B97C9C">
      <w:pPr>
        <w:spacing w:line="360" w:lineRule="auto"/>
        <w:ind w:firstLineChars="200" w:firstLine="480"/>
        <w:jc w:val="center"/>
        <w:rPr>
          <w:sz w:val="24"/>
        </w:rPr>
      </w:pPr>
      <w:r>
        <w:rPr>
          <w:noProof/>
          <w:sz w:val="24"/>
        </w:rPr>
        <w:drawing>
          <wp:inline distT="0" distB="0" distL="0" distR="0" wp14:anchorId="5E604CDA" wp14:editId="2F71296D">
            <wp:extent cx="2808000" cy="2339504"/>
            <wp:effectExtent l="0" t="0" r="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9.png"/>
                    <pic:cNvPicPr/>
                  </pic:nvPicPr>
                  <pic:blipFill>
                    <a:blip r:embed="rId18">
                      <a:extLst>
                        <a:ext uri="{28A0092B-C50C-407E-A947-70E740481C1C}">
                          <a14:useLocalDpi xmlns:a14="http://schemas.microsoft.com/office/drawing/2010/main" val="0"/>
                        </a:ext>
                      </a:extLst>
                    </a:blip>
                    <a:stretch>
                      <a:fillRect/>
                    </a:stretch>
                  </pic:blipFill>
                  <pic:spPr>
                    <a:xfrm>
                      <a:off x="0" y="0"/>
                      <a:ext cx="2808000" cy="2339504"/>
                    </a:xfrm>
                    <a:prstGeom prst="rect">
                      <a:avLst/>
                    </a:prstGeom>
                  </pic:spPr>
                </pic:pic>
              </a:graphicData>
            </a:graphic>
          </wp:inline>
        </w:drawing>
      </w:r>
    </w:p>
    <w:p w14:paraId="6B9F2A87" w14:textId="0FAD9979" w:rsidR="00BD6A7C" w:rsidRPr="005F74ED" w:rsidRDefault="00DF7B5C" w:rsidP="005F74ED">
      <w:pPr>
        <w:spacing w:line="360" w:lineRule="auto"/>
        <w:ind w:firstLineChars="200" w:firstLine="301"/>
        <w:jc w:val="center"/>
        <w:rPr>
          <w:b/>
          <w:sz w:val="15"/>
          <w:szCs w:val="15"/>
        </w:rPr>
      </w:pPr>
      <w:r w:rsidRPr="005F74ED">
        <w:rPr>
          <w:rFonts w:hint="eastAsia"/>
          <w:b/>
          <w:sz w:val="15"/>
          <w:szCs w:val="15"/>
        </w:rPr>
        <w:t>图</w:t>
      </w:r>
      <w:r w:rsidRPr="005F74ED">
        <w:rPr>
          <w:rFonts w:hint="eastAsia"/>
          <w:b/>
          <w:sz w:val="15"/>
          <w:szCs w:val="15"/>
        </w:rPr>
        <w:t xml:space="preserve">9 </w:t>
      </w:r>
      <w:r w:rsidR="007500F1">
        <w:rPr>
          <w:b/>
          <w:sz w:val="15"/>
          <w:szCs w:val="15"/>
        </w:rPr>
        <w:t xml:space="preserve"> </w:t>
      </w:r>
      <w:r w:rsidRPr="005F74ED">
        <w:rPr>
          <w:rFonts w:hint="eastAsia"/>
          <w:b/>
          <w:sz w:val="15"/>
          <w:szCs w:val="15"/>
        </w:rPr>
        <w:t>频率范围在</w:t>
      </w:r>
      <w:r w:rsidRPr="005F74ED">
        <w:rPr>
          <w:rFonts w:hint="eastAsia"/>
          <w:b/>
          <w:sz w:val="15"/>
          <w:szCs w:val="15"/>
        </w:rPr>
        <w:t>0.1~1.0THz</w:t>
      </w:r>
      <w:r w:rsidRPr="005F74ED">
        <w:rPr>
          <w:rFonts w:hint="eastAsia"/>
          <w:b/>
          <w:sz w:val="15"/>
          <w:szCs w:val="15"/>
        </w:rPr>
        <w:t>的太赫兹辐射沿</w:t>
      </w:r>
      <w:r w:rsidRPr="005F74ED">
        <w:rPr>
          <w:rFonts w:hint="eastAsia"/>
          <w:b/>
          <w:sz w:val="15"/>
          <w:szCs w:val="15"/>
        </w:rPr>
        <w:t>z</w:t>
      </w:r>
      <w:r w:rsidRPr="005F74ED">
        <w:rPr>
          <w:rFonts w:hint="eastAsia"/>
          <w:b/>
          <w:sz w:val="15"/>
          <w:szCs w:val="15"/>
        </w:rPr>
        <w:t>轴分布情况</w:t>
      </w:r>
    </w:p>
    <w:p w14:paraId="16F5FBA0" w14:textId="77777777" w:rsidR="007500F1" w:rsidRDefault="007500F1">
      <w:pPr>
        <w:spacing w:line="360" w:lineRule="auto"/>
        <w:jc w:val="left"/>
        <w:rPr>
          <w:b/>
          <w:sz w:val="24"/>
        </w:rPr>
      </w:pPr>
    </w:p>
    <w:p w14:paraId="542F67BD" w14:textId="0593ECF4" w:rsidR="00BD6A7C" w:rsidRPr="006F2E28" w:rsidRDefault="007500F1">
      <w:pPr>
        <w:spacing w:line="360" w:lineRule="auto"/>
        <w:jc w:val="left"/>
        <w:rPr>
          <w:b/>
          <w:sz w:val="24"/>
        </w:rPr>
      </w:pPr>
      <w:r>
        <w:rPr>
          <w:b/>
          <w:sz w:val="24"/>
        </w:rPr>
        <w:t>4</w:t>
      </w:r>
      <w:r w:rsidR="00DF7B5C" w:rsidRPr="006F2E28">
        <w:rPr>
          <w:rFonts w:hint="eastAsia"/>
          <w:b/>
          <w:sz w:val="24"/>
        </w:rPr>
        <w:t>结束语</w:t>
      </w:r>
    </w:p>
    <w:p w14:paraId="39ABB0AD" w14:textId="4BA6E975" w:rsidR="00BD6A7C" w:rsidRDefault="001A668D">
      <w:pPr>
        <w:ind w:firstLineChars="200" w:firstLine="420"/>
        <w:jc w:val="left"/>
        <w:rPr>
          <w:szCs w:val="21"/>
        </w:rPr>
      </w:pPr>
      <w:r w:rsidRPr="006F2E28">
        <w:rPr>
          <w:rFonts w:hint="eastAsia"/>
          <w:szCs w:val="21"/>
        </w:rPr>
        <w:t>大功率、宽波段的太赫兹辐射</w:t>
      </w:r>
      <w:r w:rsidR="00DF7B5C" w:rsidRPr="006F2E28">
        <w:rPr>
          <w:rFonts w:hint="eastAsia"/>
          <w:szCs w:val="21"/>
        </w:rPr>
        <w:t>源对太赫兹波的应用有着非常重要的意义，本文以实验研究为基础，分析了激励激光诱导水线产生太赫兹辐射的功率与激光功率的大小、水线的温度以及与激光焦点在水线中的位置有关。激光焦点位置不变时，激光功率的大小是影响太赫兹辐射功率大小最直接的因素。激光焦点位置的变化，受光程及水对太赫兹辐射的吸收的影响导致了激光焦点在水线中位置的不同辐射出太赫兹波功率的大小也不同，大体趋势均表现为水线中心辐射出的太赫兹波功率较低，水线边缘辐射出太赫兹功率较高。水线的温度变化，有利于水线中心辐射出功率更大的太赫兹。此外</w:t>
      </w:r>
      <w:r w:rsidR="004925E5">
        <w:rPr>
          <w:rFonts w:hint="eastAsia"/>
          <w:szCs w:val="21"/>
        </w:rPr>
        <w:t>，</w:t>
      </w:r>
      <w:r w:rsidR="00DF7B5C" w:rsidRPr="006F2E28">
        <w:rPr>
          <w:rFonts w:hint="eastAsia"/>
          <w:szCs w:val="21"/>
        </w:rPr>
        <w:t>本文使用</w:t>
      </w:r>
      <w:r w:rsidR="00DF7B5C" w:rsidRPr="006F2E28">
        <w:rPr>
          <w:rFonts w:hint="eastAsia"/>
          <w:szCs w:val="21"/>
        </w:rPr>
        <w:t>COMSOL 6.0</w:t>
      </w:r>
      <w:r w:rsidR="00DF7B5C" w:rsidRPr="006F2E28">
        <w:rPr>
          <w:rFonts w:hint="eastAsia"/>
          <w:szCs w:val="21"/>
        </w:rPr>
        <w:t>软件，建立了水线与邻近空气域的二维平面模型，分析了入射场频率为</w:t>
      </w:r>
      <w:r w:rsidR="00DF7B5C" w:rsidRPr="006F2E28">
        <w:rPr>
          <w:rFonts w:hint="eastAsia"/>
          <w:szCs w:val="21"/>
        </w:rPr>
        <w:t>0.1~1.0THz</w:t>
      </w:r>
      <w:r w:rsidR="00DF7B5C" w:rsidRPr="006F2E28">
        <w:rPr>
          <w:rFonts w:hint="eastAsia"/>
          <w:szCs w:val="21"/>
        </w:rPr>
        <w:t>的太赫兹</w:t>
      </w:r>
      <w:r w:rsidR="00DF7B5C" w:rsidRPr="006F2E28">
        <w:rPr>
          <w:rFonts w:hint="eastAsia"/>
          <w:szCs w:val="21"/>
        </w:rPr>
        <w:lastRenderedPageBreak/>
        <w:t>辐射沿激光传播方向的强度分布情况，随着太赫兹频率的增大，太赫兹辐射电场强度的极大值点逐渐从水线中心移动至水线边缘，辐射至空气中的太赫兹波电场强度也在增大。本研究从激光功率、激光焦点在水线中的位置及水线的温度作为研究基础，分析了上述</w:t>
      </w:r>
      <w:r w:rsidR="004925E5">
        <w:rPr>
          <w:rFonts w:hint="eastAsia"/>
          <w:szCs w:val="21"/>
        </w:rPr>
        <w:t>3</w:t>
      </w:r>
      <w:r w:rsidR="00DF7B5C" w:rsidRPr="006F2E28">
        <w:rPr>
          <w:rFonts w:hint="eastAsia"/>
          <w:szCs w:val="21"/>
        </w:rPr>
        <w:t>点因素对太赫兹辐射功率的影响，为液体太赫兹辐射源的优化提供了参考因素。</w:t>
      </w:r>
      <w:r w:rsidR="00DC1427" w:rsidRPr="006F2E28">
        <w:rPr>
          <w:rFonts w:ascii="宋体" w:hAnsi="宋体"/>
          <w:szCs w:val="21"/>
        </w:rPr>
        <w:t>研究结果表明：对于不同的水线直径，水线中心辐射出太赫兹波的功率较低，水线边缘辐射出太赫兹波的功率较高。水线温度的升高，使得不同尺寸的水线其中心辐射出的太赫兹波功率均有所提高。此外，以往的研究多数情况下是在水线外部使用探测手段进行</w:t>
      </w:r>
      <w:r w:rsidR="00DC1427" w:rsidRPr="006F2E28">
        <w:rPr>
          <w:rFonts w:ascii="宋体" w:hAnsi="宋体" w:hint="eastAsia"/>
          <w:szCs w:val="21"/>
        </w:rPr>
        <w:t>较</w:t>
      </w:r>
      <w:r w:rsidR="00DC1427" w:rsidRPr="006F2E28">
        <w:rPr>
          <w:rFonts w:ascii="宋体" w:hAnsi="宋体"/>
          <w:szCs w:val="21"/>
        </w:rPr>
        <w:t>远距离测量太赫兹辐射的功率。在水线的内部，无法使用探测手段观测到太赫兹波从水线中辐射至空气中的具体的太赫兹辐射的空间分布情况。</w:t>
      </w:r>
    </w:p>
    <w:p w14:paraId="0AA5AFB9" w14:textId="77777777" w:rsidR="006566CF" w:rsidRPr="006F2E28" w:rsidRDefault="006566CF">
      <w:pPr>
        <w:ind w:firstLineChars="200" w:firstLine="420"/>
        <w:jc w:val="left"/>
        <w:rPr>
          <w:szCs w:val="21"/>
        </w:rPr>
      </w:pPr>
    </w:p>
    <w:p w14:paraId="1152FBA4" w14:textId="77777777" w:rsidR="00BD6A7C" w:rsidRPr="006F2E28" w:rsidRDefault="00DF7B5C">
      <w:pPr>
        <w:spacing w:line="360" w:lineRule="auto"/>
        <w:rPr>
          <w:rFonts w:ascii="宋体" w:hAnsi="宋体"/>
          <w:b/>
          <w:sz w:val="24"/>
        </w:rPr>
      </w:pPr>
      <w:r w:rsidRPr="006F2E28">
        <w:rPr>
          <w:rFonts w:ascii="宋体" w:hAnsi="宋体"/>
          <w:b/>
          <w:sz w:val="24"/>
        </w:rPr>
        <w:t>参考文献</w:t>
      </w:r>
      <w:r w:rsidR="006566CF">
        <w:rPr>
          <w:rFonts w:ascii="宋体" w:hAnsi="宋体" w:hint="eastAsia"/>
          <w:b/>
          <w:sz w:val="24"/>
        </w:rPr>
        <w:t>：</w:t>
      </w:r>
    </w:p>
    <w:p w14:paraId="378C753B" w14:textId="0EF66B22" w:rsidR="00BD6A7C" w:rsidRPr="004244CD" w:rsidRDefault="00DF7B5C">
      <w:pPr>
        <w:rPr>
          <w:szCs w:val="21"/>
        </w:rPr>
      </w:pPr>
      <w:r w:rsidRPr="004244CD">
        <w:rPr>
          <w:szCs w:val="21"/>
        </w:rPr>
        <w:t>[1]</w:t>
      </w:r>
      <w:r w:rsidR="004244CD">
        <w:rPr>
          <w:rFonts w:hint="eastAsia"/>
          <w:szCs w:val="21"/>
        </w:rPr>
        <w:t xml:space="preserve"> </w:t>
      </w:r>
      <w:r w:rsidRPr="004244CD">
        <w:rPr>
          <w:szCs w:val="21"/>
        </w:rPr>
        <w:t>J</w:t>
      </w:r>
      <w:r w:rsidR="004925E5">
        <w:rPr>
          <w:szCs w:val="21"/>
        </w:rPr>
        <w:t>IN Z, CHEN</w:t>
      </w:r>
      <w:r w:rsidRPr="004244CD">
        <w:rPr>
          <w:szCs w:val="21"/>
        </w:rPr>
        <w:t xml:space="preserve"> Z</w:t>
      </w:r>
      <w:r w:rsidR="004925E5">
        <w:rPr>
          <w:szCs w:val="21"/>
        </w:rPr>
        <w:t xml:space="preserve"> L,</w:t>
      </w:r>
      <w:r w:rsidRPr="004244CD">
        <w:rPr>
          <w:szCs w:val="21"/>
        </w:rPr>
        <w:t xml:space="preserve"> Z</w:t>
      </w:r>
      <w:r w:rsidR="004925E5">
        <w:rPr>
          <w:szCs w:val="21"/>
        </w:rPr>
        <w:t>HUO H B, et al.</w:t>
      </w:r>
      <w:r w:rsidRPr="004244CD">
        <w:rPr>
          <w:szCs w:val="21"/>
        </w:rPr>
        <w:t xml:space="preserve"> Tunable Radiation Source by Coupling Laser-Plasma-Generated Electrons to a Periodic Structure</w:t>
      </w:r>
      <w:r w:rsidR="004925E5">
        <w:rPr>
          <w:szCs w:val="21"/>
        </w:rPr>
        <w:t>[J]</w:t>
      </w:r>
      <w:r w:rsidRPr="004244CD">
        <w:rPr>
          <w:szCs w:val="21"/>
        </w:rPr>
        <w:t>. Physical review letters</w:t>
      </w:r>
      <w:r w:rsidR="004925E5">
        <w:rPr>
          <w:szCs w:val="21"/>
        </w:rPr>
        <w:t>, 2011, 107(26)</w:t>
      </w:r>
      <w:r w:rsidR="004925E5">
        <w:rPr>
          <w:rFonts w:hint="eastAsia"/>
          <w:szCs w:val="21"/>
        </w:rPr>
        <w:t>：</w:t>
      </w:r>
      <w:r w:rsidR="004925E5">
        <w:rPr>
          <w:rFonts w:hint="eastAsia"/>
          <w:szCs w:val="21"/>
        </w:rPr>
        <w:t>2</w:t>
      </w:r>
      <w:r w:rsidR="004925E5">
        <w:rPr>
          <w:szCs w:val="21"/>
        </w:rPr>
        <w:t>65003-1-265003-5.</w:t>
      </w:r>
    </w:p>
    <w:p w14:paraId="227A2A2F" w14:textId="052D708C" w:rsidR="00BD6A7C" w:rsidRPr="004244CD" w:rsidRDefault="00DF7B5C">
      <w:pPr>
        <w:rPr>
          <w:szCs w:val="21"/>
        </w:rPr>
      </w:pPr>
      <w:r w:rsidRPr="004244CD">
        <w:rPr>
          <w:rFonts w:hint="eastAsia"/>
          <w:szCs w:val="21"/>
        </w:rPr>
        <w:t>[2]</w:t>
      </w:r>
      <w:r w:rsidR="004244CD">
        <w:rPr>
          <w:rFonts w:hint="eastAsia"/>
          <w:szCs w:val="21"/>
        </w:rPr>
        <w:t xml:space="preserve"> </w:t>
      </w:r>
      <w:r w:rsidRPr="004244CD">
        <w:rPr>
          <w:szCs w:val="21"/>
        </w:rPr>
        <w:t>J. Fülöp, L. Pálfalvi, M. Hoffmann, and J. Hebling, Towards generation of mJ-level ultrashort THz pulses by optical rectification</w:t>
      </w:r>
      <w:r w:rsidR="0036734F">
        <w:rPr>
          <w:szCs w:val="21"/>
        </w:rPr>
        <w:t>[J].</w:t>
      </w:r>
      <w:r w:rsidRPr="004244CD">
        <w:rPr>
          <w:szCs w:val="21"/>
        </w:rPr>
        <w:t xml:space="preserve"> Opt Express</w:t>
      </w:r>
      <w:r w:rsidR="0036734F">
        <w:rPr>
          <w:szCs w:val="21"/>
        </w:rPr>
        <w:t>,2011,19(16):</w:t>
      </w:r>
      <w:r w:rsidRPr="004244CD">
        <w:rPr>
          <w:szCs w:val="21"/>
        </w:rPr>
        <w:t xml:space="preserve"> 15090-15097.</w:t>
      </w:r>
    </w:p>
    <w:p w14:paraId="43B10712" w14:textId="36D89A57" w:rsidR="00BD6A7C" w:rsidRPr="004244CD" w:rsidRDefault="00DF7B5C">
      <w:pPr>
        <w:rPr>
          <w:szCs w:val="21"/>
        </w:rPr>
      </w:pPr>
      <w:r w:rsidRPr="004244CD">
        <w:rPr>
          <w:rFonts w:hint="eastAsia"/>
          <w:szCs w:val="21"/>
        </w:rPr>
        <w:t>[3]</w:t>
      </w:r>
      <w:r w:rsidR="004244CD">
        <w:rPr>
          <w:rFonts w:hint="eastAsia"/>
          <w:szCs w:val="21"/>
        </w:rPr>
        <w:t xml:space="preserve"> </w:t>
      </w:r>
      <w:r w:rsidRPr="004244CD">
        <w:rPr>
          <w:szCs w:val="21"/>
        </w:rPr>
        <w:t>Gopal A, Herzer S, Schmidt A, Singh P, Reinhard A, Ziegler W, Brömmel D, Karmakar A, Gibbon P, Dillner U, May T, Meyer HG, Paulus GG. Observation of gigawatt-class THz pulses from a compact laser-driven particle accelerator</w:t>
      </w:r>
      <w:r w:rsidR="00C009F6">
        <w:rPr>
          <w:szCs w:val="21"/>
        </w:rPr>
        <w:t>[J]</w:t>
      </w:r>
      <w:r w:rsidRPr="004244CD">
        <w:rPr>
          <w:szCs w:val="21"/>
        </w:rPr>
        <w:t>.Phys</w:t>
      </w:r>
      <w:r w:rsidR="00C009F6">
        <w:rPr>
          <w:szCs w:val="21"/>
        </w:rPr>
        <w:t xml:space="preserve"> </w:t>
      </w:r>
      <w:r w:rsidRPr="004244CD">
        <w:rPr>
          <w:szCs w:val="21"/>
        </w:rPr>
        <w:t>Rev</w:t>
      </w:r>
      <w:r w:rsidR="00C009F6">
        <w:rPr>
          <w:szCs w:val="21"/>
        </w:rPr>
        <w:t xml:space="preserve"> </w:t>
      </w:r>
      <w:r w:rsidRPr="004244CD">
        <w:rPr>
          <w:szCs w:val="21"/>
        </w:rPr>
        <w:t>Lett</w:t>
      </w:r>
      <w:r w:rsidR="00C009F6">
        <w:rPr>
          <w:szCs w:val="21"/>
        </w:rPr>
        <w:t>,</w:t>
      </w:r>
      <w:r w:rsidRPr="004244CD">
        <w:rPr>
          <w:szCs w:val="21"/>
        </w:rPr>
        <w:t>2013</w:t>
      </w:r>
      <w:r w:rsidR="00C009F6">
        <w:rPr>
          <w:szCs w:val="21"/>
        </w:rPr>
        <w:t>,</w:t>
      </w:r>
      <w:r w:rsidRPr="004244CD">
        <w:rPr>
          <w:szCs w:val="21"/>
        </w:rPr>
        <w:t>111(7):074802.</w:t>
      </w:r>
    </w:p>
    <w:p w14:paraId="796907A4" w14:textId="5AE915CF" w:rsidR="00BD6A7C" w:rsidRPr="004244CD" w:rsidRDefault="00DF7B5C">
      <w:pPr>
        <w:rPr>
          <w:szCs w:val="21"/>
        </w:rPr>
      </w:pPr>
      <w:r w:rsidRPr="004244CD">
        <w:rPr>
          <w:rFonts w:hint="eastAsia"/>
          <w:szCs w:val="21"/>
        </w:rPr>
        <w:t>[4]</w:t>
      </w:r>
      <w:r w:rsidR="004244CD">
        <w:rPr>
          <w:rFonts w:hint="eastAsia"/>
          <w:szCs w:val="21"/>
        </w:rPr>
        <w:t xml:space="preserve"> </w:t>
      </w:r>
      <w:r w:rsidRPr="004244CD">
        <w:rPr>
          <w:szCs w:val="21"/>
        </w:rPr>
        <w:t>Liao GQ, Li YT, Zhang YH, Liu H,</w:t>
      </w:r>
      <w:r w:rsidR="00C009F6">
        <w:rPr>
          <w:szCs w:val="21"/>
        </w:rPr>
        <w:t xml:space="preserve"> et al</w:t>
      </w:r>
      <w:r w:rsidRPr="004244CD">
        <w:rPr>
          <w:szCs w:val="21"/>
        </w:rPr>
        <w:t>. Demonstration of Coherent Terahertz Transition Radiation from Relativistic Laser-Solid Interactions</w:t>
      </w:r>
      <w:r w:rsidR="00C009F6">
        <w:rPr>
          <w:szCs w:val="21"/>
        </w:rPr>
        <w:t>[J]</w:t>
      </w:r>
      <w:r w:rsidRPr="004244CD">
        <w:rPr>
          <w:szCs w:val="21"/>
        </w:rPr>
        <w:t>. Phys Rev Lett</w:t>
      </w:r>
      <w:r w:rsidR="00C009F6">
        <w:rPr>
          <w:szCs w:val="21"/>
        </w:rPr>
        <w:t>,</w:t>
      </w:r>
      <w:r w:rsidRPr="004244CD">
        <w:rPr>
          <w:szCs w:val="21"/>
        </w:rPr>
        <w:t>2016</w:t>
      </w:r>
      <w:r w:rsidR="00C009F6">
        <w:rPr>
          <w:szCs w:val="21"/>
        </w:rPr>
        <w:t>,</w:t>
      </w:r>
      <w:r w:rsidRPr="004244CD">
        <w:rPr>
          <w:szCs w:val="21"/>
        </w:rPr>
        <w:t xml:space="preserve">116(20):205003. </w:t>
      </w:r>
    </w:p>
    <w:p w14:paraId="4D571111" w14:textId="711AE259" w:rsidR="00BD6A7C" w:rsidRPr="004244CD" w:rsidRDefault="00DF7B5C">
      <w:pPr>
        <w:shd w:val="clear" w:color="auto" w:fill="FFFFFF"/>
        <w:rPr>
          <w:szCs w:val="21"/>
        </w:rPr>
      </w:pPr>
      <w:r w:rsidRPr="004244CD">
        <w:rPr>
          <w:rFonts w:hint="eastAsia"/>
          <w:szCs w:val="21"/>
        </w:rPr>
        <w:t>[5]</w:t>
      </w:r>
      <w:r w:rsidR="004244CD">
        <w:rPr>
          <w:rFonts w:hint="eastAsia"/>
          <w:szCs w:val="21"/>
        </w:rPr>
        <w:t xml:space="preserve"> </w:t>
      </w:r>
      <w:r w:rsidRPr="004244CD">
        <w:rPr>
          <w:szCs w:val="21"/>
        </w:rPr>
        <w:t>D. J. Cook and R. M. Hochstrasser, Intense terahertz pulses by four-wave rectification in air</w:t>
      </w:r>
      <w:r w:rsidR="00C009F6">
        <w:rPr>
          <w:szCs w:val="21"/>
        </w:rPr>
        <w:t>[J].</w:t>
      </w:r>
      <w:r w:rsidRPr="004244CD">
        <w:rPr>
          <w:szCs w:val="21"/>
        </w:rPr>
        <w:t>Opt. Lett. </w:t>
      </w:r>
      <w:r w:rsidR="00C009F6">
        <w:rPr>
          <w:szCs w:val="21"/>
        </w:rPr>
        <w:t>2000:</w:t>
      </w:r>
      <w:r w:rsidRPr="004244CD">
        <w:rPr>
          <w:szCs w:val="21"/>
        </w:rPr>
        <w:t>1210-1212</w:t>
      </w:r>
      <w:r w:rsidR="00C009F6">
        <w:rPr>
          <w:szCs w:val="21"/>
        </w:rPr>
        <w:t>.</w:t>
      </w:r>
      <w:r w:rsidRPr="004244CD">
        <w:rPr>
          <w:szCs w:val="21"/>
        </w:rPr>
        <w:t xml:space="preserve"> </w:t>
      </w:r>
    </w:p>
    <w:p w14:paraId="2036A7FF" w14:textId="3D68D3DC" w:rsidR="00BD6A7C" w:rsidRPr="004244CD" w:rsidRDefault="00DF7B5C">
      <w:pPr>
        <w:rPr>
          <w:szCs w:val="21"/>
        </w:rPr>
      </w:pPr>
      <w:r w:rsidRPr="004244CD">
        <w:rPr>
          <w:rFonts w:hint="eastAsia"/>
          <w:szCs w:val="21"/>
        </w:rPr>
        <w:t>[6]</w:t>
      </w:r>
      <w:r w:rsidR="004244CD">
        <w:rPr>
          <w:rFonts w:hint="eastAsia"/>
          <w:szCs w:val="21"/>
        </w:rPr>
        <w:t xml:space="preserve"> </w:t>
      </w:r>
      <w:r w:rsidRPr="004244CD">
        <w:rPr>
          <w:szCs w:val="21"/>
        </w:rPr>
        <w:t>Markus Kress, Torsten Löffler, Susanne Eden,. Roskos,</w:t>
      </w:r>
      <w:r w:rsidR="00C009F6">
        <w:rPr>
          <w:szCs w:val="21"/>
        </w:rPr>
        <w:t xml:space="preserve"> et al. </w:t>
      </w:r>
      <w:r w:rsidRPr="004244CD">
        <w:rPr>
          <w:szCs w:val="21"/>
        </w:rPr>
        <w:t>Terahertz-pulse generation by photoionization of air with laser pulses composed of both fundamental and second-harmonic waves</w:t>
      </w:r>
      <w:r w:rsidR="00C009F6">
        <w:rPr>
          <w:szCs w:val="21"/>
        </w:rPr>
        <w:t>[J].</w:t>
      </w:r>
      <w:r w:rsidRPr="004244CD">
        <w:rPr>
          <w:szCs w:val="21"/>
        </w:rPr>
        <w:t xml:space="preserve"> Opt. Lett</w:t>
      </w:r>
      <w:r w:rsidR="00C009F6">
        <w:rPr>
          <w:szCs w:val="21"/>
        </w:rPr>
        <w:t>,2004:</w:t>
      </w:r>
      <w:r w:rsidRPr="004244CD">
        <w:rPr>
          <w:szCs w:val="21"/>
        </w:rPr>
        <w:t xml:space="preserve">1120-1122 </w:t>
      </w:r>
      <w:r w:rsidR="00C009F6">
        <w:rPr>
          <w:szCs w:val="21"/>
        </w:rPr>
        <w:t>.</w:t>
      </w:r>
    </w:p>
    <w:p w14:paraId="6BD7ADE9" w14:textId="5FB20A10" w:rsidR="00BD6A7C" w:rsidRPr="004244CD" w:rsidRDefault="00DF7B5C">
      <w:pPr>
        <w:rPr>
          <w:szCs w:val="21"/>
        </w:rPr>
      </w:pPr>
      <w:r w:rsidRPr="004244CD">
        <w:rPr>
          <w:rFonts w:hint="eastAsia"/>
          <w:szCs w:val="21"/>
        </w:rPr>
        <w:t>[7]</w:t>
      </w:r>
      <w:r w:rsidR="004244CD">
        <w:rPr>
          <w:rFonts w:hint="eastAsia"/>
          <w:szCs w:val="21"/>
        </w:rPr>
        <w:t xml:space="preserve"> </w:t>
      </w:r>
      <w:r w:rsidRPr="004244CD">
        <w:rPr>
          <w:szCs w:val="21"/>
        </w:rPr>
        <w:t>Xie X, Dai J, Zhang XC. Coherent control of THz wave generation in ambient air</w:t>
      </w:r>
      <w:r w:rsidR="00C009F6">
        <w:rPr>
          <w:szCs w:val="21"/>
        </w:rPr>
        <w:t>[J]</w:t>
      </w:r>
      <w:r w:rsidRPr="004244CD">
        <w:rPr>
          <w:szCs w:val="21"/>
        </w:rPr>
        <w:t>. Phys Rev Lett</w:t>
      </w:r>
      <w:r w:rsidR="00C009F6">
        <w:rPr>
          <w:szCs w:val="21"/>
        </w:rPr>
        <w:t>,</w:t>
      </w:r>
      <w:r w:rsidRPr="004244CD">
        <w:rPr>
          <w:szCs w:val="21"/>
        </w:rPr>
        <w:t>2006</w:t>
      </w:r>
      <w:r w:rsidR="00C009F6">
        <w:rPr>
          <w:szCs w:val="21"/>
        </w:rPr>
        <w:t>,</w:t>
      </w:r>
      <w:r w:rsidRPr="004244CD">
        <w:rPr>
          <w:szCs w:val="21"/>
        </w:rPr>
        <w:t>96(7):075005.</w:t>
      </w:r>
    </w:p>
    <w:p w14:paraId="4C37C066" w14:textId="72C9FFDA" w:rsidR="00BD6A7C" w:rsidRPr="004244CD" w:rsidRDefault="00DF7B5C">
      <w:pPr>
        <w:rPr>
          <w:szCs w:val="21"/>
        </w:rPr>
      </w:pPr>
      <w:r w:rsidRPr="004244CD">
        <w:rPr>
          <w:rFonts w:hint="eastAsia"/>
          <w:szCs w:val="21"/>
        </w:rPr>
        <w:t>[8]</w:t>
      </w:r>
      <w:r w:rsidR="004244CD">
        <w:rPr>
          <w:rFonts w:hint="eastAsia"/>
          <w:szCs w:val="21"/>
        </w:rPr>
        <w:t xml:space="preserve"> </w:t>
      </w:r>
      <w:r w:rsidRPr="004244CD">
        <w:rPr>
          <w:szCs w:val="21"/>
        </w:rPr>
        <w:t>Kim, K., Taylor, A., Glownia, J</w:t>
      </w:r>
      <w:r w:rsidR="00C009F6">
        <w:rPr>
          <w:szCs w:val="21"/>
        </w:rPr>
        <w:t xml:space="preserve">, </w:t>
      </w:r>
      <w:r w:rsidRPr="00C009F6">
        <w:rPr>
          <w:szCs w:val="21"/>
        </w:rPr>
        <w:t>et al</w:t>
      </w:r>
      <w:r w:rsidRPr="004244CD">
        <w:rPr>
          <w:i/>
          <w:iCs/>
          <w:szCs w:val="21"/>
        </w:rPr>
        <w:t>.</w:t>
      </w:r>
      <w:r w:rsidRPr="004244CD">
        <w:rPr>
          <w:szCs w:val="21"/>
        </w:rPr>
        <w:t>Coherent control of terahertz supercontinuum generation in ultrafast laser–gas interactions</w:t>
      </w:r>
      <w:r w:rsidR="00C009F6">
        <w:rPr>
          <w:szCs w:val="21"/>
        </w:rPr>
        <w:t>[J]</w:t>
      </w:r>
      <w:r w:rsidRPr="004244CD">
        <w:rPr>
          <w:szCs w:val="21"/>
        </w:rPr>
        <w:t>.</w:t>
      </w:r>
      <w:r w:rsidRPr="00C009F6">
        <w:rPr>
          <w:szCs w:val="21"/>
        </w:rPr>
        <w:t>Nature Photon</w:t>
      </w:r>
      <w:r w:rsidR="00C009F6">
        <w:rPr>
          <w:szCs w:val="21"/>
        </w:rPr>
        <w:t xml:space="preserve"> 2</w:t>
      </w:r>
      <w:r w:rsidRPr="004244CD">
        <w:rPr>
          <w:szCs w:val="21"/>
        </w:rPr>
        <w:t xml:space="preserve">, </w:t>
      </w:r>
      <w:r w:rsidR="00C009F6">
        <w:rPr>
          <w:szCs w:val="21"/>
        </w:rPr>
        <w:t>2008:</w:t>
      </w:r>
      <w:r w:rsidRPr="004244CD">
        <w:rPr>
          <w:szCs w:val="21"/>
        </w:rPr>
        <w:t xml:space="preserve">605–609. </w:t>
      </w:r>
    </w:p>
    <w:p w14:paraId="11DCF388" w14:textId="069DB725" w:rsidR="00BD6A7C" w:rsidRPr="004244CD" w:rsidRDefault="00DF7B5C">
      <w:pPr>
        <w:rPr>
          <w:szCs w:val="21"/>
        </w:rPr>
      </w:pPr>
      <w:r w:rsidRPr="004244CD">
        <w:rPr>
          <w:rFonts w:hint="eastAsia"/>
          <w:szCs w:val="21"/>
        </w:rPr>
        <w:t>[9]</w:t>
      </w:r>
      <w:r w:rsidR="004244CD">
        <w:rPr>
          <w:rFonts w:hint="eastAsia"/>
          <w:szCs w:val="21"/>
        </w:rPr>
        <w:t xml:space="preserve"> </w:t>
      </w:r>
      <w:r w:rsidRPr="004244CD">
        <w:rPr>
          <w:szCs w:val="21"/>
        </w:rPr>
        <w:t>Wu, Hui-Chun &amp; Meyer-ter-Vehn, Jürgen &amp; Sheng, Zheng-Ming. Phase-sensitive terahertz emission from gas targets irradiated by few-cycle laser pulses</w:t>
      </w:r>
      <w:r w:rsidR="00C009F6">
        <w:rPr>
          <w:szCs w:val="21"/>
        </w:rPr>
        <w:t>[J]</w:t>
      </w:r>
      <w:r w:rsidRPr="004244CD">
        <w:rPr>
          <w:szCs w:val="21"/>
        </w:rPr>
        <w:t>. New Journal of Physics</w:t>
      </w:r>
      <w:r w:rsidR="00C009F6">
        <w:rPr>
          <w:szCs w:val="21"/>
        </w:rPr>
        <w:t>,</w:t>
      </w:r>
      <w:r w:rsidRPr="004244CD">
        <w:rPr>
          <w:szCs w:val="21"/>
        </w:rPr>
        <w:t xml:space="preserve"> </w:t>
      </w:r>
      <w:r w:rsidR="00C009F6">
        <w:rPr>
          <w:szCs w:val="21"/>
        </w:rPr>
        <w:t>2008,</w:t>
      </w:r>
      <w:r w:rsidRPr="004244CD">
        <w:rPr>
          <w:szCs w:val="21"/>
        </w:rPr>
        <w:t>10</w:t>
      </w:r>
      <w:r w:rsidR="00C009F6">
        <w:rPr>
          <w:szCs w:val="21"/>
        </w:rPr>
        <w:t>:</w:t>
      </w:r>
      <w:r w:rsidRPr="004244CD">
        <w:rPr>
          <w:szCs w:val="21"/>
        </w:rPr>
        <w:t xml:space="preserve"> 043001.</w:t>
      </w:r>
    </w:p>
    <w:p w14:paraId="64776027" w14:textId="2ED31B1A" w:rsidR="00BD6A7C" w:rsidRPr="004244CD" w:rsidRDefault="00DF7B5C">
      <w:pPr>
        <w:rPr>
          <w:szCs w:val="21"/>
        </w:rPr>
      </w:pPr>
      <w:r w:rsidRPr="004244CD">
        <w:rPr>
          <w:rFonts w:hint="eastAsia"/>
          <w:szCs w:val="21"/>
        </w:rPr>
        <w:t>[10]</w:t>
      </w:r>
      <w:r w:rsidRPr="004244CD">
        <w:rPr>
          <w:szCs w:val="21"/>
        </w:rPr>
        <w:t xml:space="preserve"> K. Y. Kim, J. H. Glownia, A. J. Taylor, and G. Rodriguez</w:t>
      </w:r>
      <w:r w:rsidR="00C009F6">
        <w:rPr>
          <w:szCs w:val="21"/>
        </w:rPr>
        <w:t>.</w:t>
      </w:r>
      <w:r w:rsidRPr="004244CD">
        <w:rPr>
          <w:szCs w:val="21"/>
        </w:rPr>
        <w:t>Terahertz emission from ultrafast ionizing air in symmetry-broken laser fields</w:t>
      </w:r>
      <w:r w:rsidR="00C009F6">
        <w:rPr>
          <w:szCs w:val="21"/>
        </w:rPr>
        <w:t>[J].</w:t>
      </w:r>
      <w:r w:rsidRPr="004244CD">
        <w:rPr>
          <w:szCs w:val="21"/>
        </w:rPr>
        <w:t xml:space="preserve"> Opt. Express, </w:t>
      </w:r>
      <w:r w:rsidR="00C009F6">
        <w:rPr>
          <w:szCs w:val="21"/>
        </w:rPr>
        <w:t>2007:</w:t>
      </w:r>
      <w:r w:rsidRPr="004244CD">
        <w:rPr>
          <w:szCs w:val="21"/>
        </w:rPr>
        <w:t>4577-4584</w:t>
      </w:r>
      <w:r w:rsidR="00C009F6">
        <w:rPr>
          <w:szCs w:val="21"/>
        </w:rPr>
        <w:t>.</w:t>
      </w:r>
    </w:p>
    <w:p w14:paraId="52B09767" w14:textId="34B130BF" w:rsidR="00BD6A7C" w:rsidRPr="004244CD" w:rsidRDefault="00DF7B5C">
      <w:pPr>
        <w:rPr>
          <w:szCs w:val="21"/>
        </w:rPr>
      </w:pPr>
      <w:r w:rsidRPr="004244CD">
        <w:rPr>
          <w:rFonts w:hint="eastAsia"/>
          <w:szCs w:val="21"/>
        </w:rPr>
        <w:t>[11]</w:t>
      </w:r>
      <w:r w:rsidR="004244CD">
        <w:rPr>
          <w:rFonts w:hint="eastAsia"/>
          <w:szCs w:val="21"/>
        </w:rPr>
        <w:t xml:space="preserve"> </w:t>
      </w:r>
      <w:r w:rsidRPr="004244CD">
        <w:rPr>
          <w:szCs w:val="21"/>
        </w:rPr>
        <w:t>W.-M. Wang, Z.-M. Sheng, H.-C. Wu, M. Chen, C. Li, J. Zhang, and K. Mima</w:t>
      </w:r>
      <w:r w:rsidR="00C009F6">
        <w:rPr>
          <w:szCs w:val="21"/>
        </w:rPr>
        <w:t>.</w:t>
      </w:r>
      <w:r w:rsidRPr="004244CD">
        <w:rPr>
          <w:szCs w:val="21"/>
        </w:rPr>
        <w:t>Strong terahertz pulse generation by chirped laser pulses in tenuous gases</w:t>
      </w:r>
      <w:r w:rsidR="00C009F6">
        <w:rPr>
          <w:szCs w:val="21"/>
        </w:rPr>
        <w:t>[J].</w:t>
      </w:r>
      <w:r w:rsidRPr="004244CD">
        <w:rPr>
          <w:szCs w:val="21"/>
        </w:rPr>
        <w:t>Opt. Express,</w:t>
      </w:r>
      <w:r w:rsidR="00C009F6">
        <w:rPr>
          <w:szCs w:val="21"/>
        </w:rPr>
        <w:t>2008</w:t>
      </w:r>
      <w:r w:rsidR="001004A5">
        <w:rPr>
          <w:szCs w:val="21"/>
        </w:rPr>
        <w:t>,16</w:t>
      </w:r>
      <w:r w:rsidR="00C009F6">
        <w:rPr>
          <w:szCs w:val="21"/>
        </w:rPr>
        <w:t>:</w:t>
      </w:r>
      <w:r w:rsidRPr="004244CD">
        <w:rPr>
          <w:szCs w:val="21"/>
        </w:rPr>
        <w:t>16999-17006</w:t>
      </w:r>
      <w:r w:rsidR="00C009F6">
        <w:rPr>
          <w:szCs w:val="21"/>
        </w:rPr>
        <w:t>.</w:t>
      </w:r>
    </w:p>
    <w:p w14:paraId="5BAD1F16" w14:textId="681333E4" w:rsidR="00BD6A7C" w:rsidRPr="004244CD" w:rsidRDefault="00DF7B5C">
      <w:pPr>
        <w:rPr>
          <w:szCs w:val="21"/>
        </w:rPr>
      </w:pPr>
      <w:r w:rsidRPr="004244CD">
        <w:rPr>
          <w:rFonts w:hint="eastAsia"/>
          <w:szCs w:val="21"/>
        </w:rPr>
        <w:t>[12]</w:t>
      </w:r>
      <w:r w:rsidRPr="004244CD">
        <w:rPr>
          <w:szCs w:val="21"/>
        </w:rPr>
        <w:t xml:space="preserve"> Babushkin I, Kuehn W, Köhler C, Skupin S, Bergé L, Reimann K, Woerner M, Herrmann J, Elsaesser T. Ultrafast spatiotemporal dynamics of terahertz generation by ionizing two-color femtosecond pulses in gases</w:t>
      </w:r>
      <w:r w:rsidR="001004A5">
        <w:rPr>
          <w:szCs w:val="21"/>
        </w:rPr>
        <w:t>[J]</w:t>
      </w:r>
      <w:r w:rsidRPr="004244CD">
        <w:rPr>
          <w:szCs w:val="21"/>
        </w:rPr>
        <w:t>. Phys Rev Lett</w:t>
      </w:r>
      <w:r w:rsidR="001004A5">
        <w:rPr>
          <w:szCs w:val="21"/>
        </w:rPr>
        <w:t>,</w:t>
      </w:r>
      <w:r w:rsidRPr="004244CD">
        <w:rPr>
          <w:szCs w:val="21"/>
        </w:rPr>
        <w:t>2010</w:t>
      </w:r>
      <w:r w:rsidR="001004A5">
        <w:rPr>
          <w:szCs w:val="21"/>
        </w:rPr>
        <w:t>,</w:t>
      </w:r>
      <w:r w:rsidRPr="004244CD">
        <w:rPr>
          <w:szCs w:val="21"/>
        </w:rPr>
        <w:t xml:space="preserve">105(5):053903. </w:t>
      </w:r>
    </w:p>
    <w:p w14:paraId="1B8E7293" w14:textId="09E88A01" w:rsidR="00BD6A7C" w:rsidRPr="004244CD" w:rsidRDefault="00DF7B5C">
      <w:pPr>
        <w:rPr>
          <w:szCs w:val="21"/>
        </w:rPr>
      </w:pPr>
      <w:r w:rsidRPr="004244CD">
        <w:rPr>
          <w:rFonts w:hint="eastAsia"/>
          <w:szCs w:val="21"/>
        </w:rPr>
        <w:t>[13]</w:t>
      </w:r>
      <w:r w:rsidRPr="004244CD">
        <w:rPr>
          <w:szCs w:val="21"/>
        </w:rPr>
        <w:t xml:space="preserve"> Clerici, Matteo &amp; Peccianti, Marco &amp; Schmidt, </w:t>
      </w:r>
      <w:r w:rsidR="001004A5">
        <w:rPr>
          <w:szCs w:val="21"/>
        </w:rPr>
        <w:t>et al.</w:t>
      </w:r>
      <w:r w:rsidRPr="004244CD">
        <w:rPr>
          <w:szCs w:val="21"/>
        </w:rPr>
        <w:t xml:space="preserve"> Wavelength Scaling of Terahertz Generation</w:t>
      </w:r>
      <w:r w:rsidRPr="004244CD">
        <w:rPr>
          <w:rFonts w:hint="eastAsia"/>
          <w:szCs w:val="21"/>
        </w:rPr>
        <w:t xml:space="preserve"> </w:t>
      </w:r>
      <w:r w:rsidRPr="004244CD">
        <w:rPr>
          <w:szCs w:val="21"/>
        </w:rPr>
        <w:t>by</w:t>
      </w:r>
      <w:r w:rsidRPr="004244CD">
        <w:rPr>
          <w:rFonts w:hint="eastAsia"/>
          <w:szCs w:val="21"/>
        </w:rPr>
        <w:t xml:space="preserve"> </w:t>
      </w:r>
      <w:r w:rsidRPr="004244CD">
        <w:rPr>
          <w:szCs w:val="21"/>
        </w:rPr>
        <w:t>GasIonization</w:t>
      </w:r>
      <w:r w:rsidR="00951F4B">
        <w:rPr>
          <w:szCs w:val="21"/>
        </w:rPr>
        <w:t>[J]</w:t>
      </w:r>
      <w:r w:rsidRPr="004244CD">
        <w:rPr>
          <w:szCs w:val="21"/>
        </w:rPr>
        <w:t>. Phys</w:t>
      </w:r>
      <w:r w:rsidR="001004A5">
        <w:rPr>
          <w:szCs w:val="21"/>
        </w:rPr>
        <w:t xml:space="preserve"> </w:t>
      </w:r>
      <w:r w:rsidRPr="004244CD">
        <w:rPr>
          <w:szCs w:val="21"/>
        </w:rPr>
        <w:t>Rev</w:t>
      </w:r>
      <w:r w:rsidR="001004A5">
        <w:rPr>
          <w:szCs w:val="21"/>
        </w:rPr>
        <w:t xml:space="preserve"> </w:t>
      </w:r>
      <w:r w:rsidRPr="004244CD">
        <w:rPr>
          <w:szCs w:val="21"/>
        </w:rPr>
        <w:t>Lett</w:t>
      </w:r>
      <w:r w:rsidR="001004A5">
        <w:rPr>
          <w:szCs w:val="21"/>
        </w:rPr>
        <w:t>.2013,</w:t>
      </w:r>
      <w:r w:rsidRPr="004244CD">
        <w:rPr>
          <w:szCs w:val="21"/>
        </w:rPr>
        <w:t>110</w:t>
      </w:r>
      <w:r w:rsidR="001004A5">
        <w:rPr>
          <w:szCs w:val="21"/>
        </w:rPr>
        <w:t>:</w:t>
      </w:r>
      <w:r w:rsidRPr="004244CD">
        <w:rPr>
          <w:szCs w:val="21"/>
        </w:rPr>
        <w:t>253901.</w:t>
      </w:r>
    </w:p>
    <w:p w14:paraId="42CE343D" w14:textId="504FCF1E" w:rsidR="00BD6A7C" w:rsidRPr="004244CD" w:rsidRDefault="00DF7B5C">
      <w:pPr>
        <w:rPr>
          <w:szCs w:val="21"/>
        </w:rPr>
      </w:pPr>
      <w:r w:rsidRPr="004244CD">
        <w:rPr>
          <w:rFonts w:hint="eastAsia"/>
          <w:szCs w:val="21"/>
        </w:rPr>
        <w:t>[14]</w:t>
      </w:r>
      <w:r w:rsidRPr="004244CD">
        <w:rPr>
          <w:szCs w:val="21"/>
        </w:rPr>
        <w:t xml:space="preserve"> Andreeva, Vera &amp; Kosareva, O. &amp; Panov, </w:t>
      </w:r>
      <w:r w:rsidR="00655E8F">
        <w:rPr>
          <w:szCs w:val="21"/>
        </w:rPr>
        <w:t>et al.</w:t>
      </w:r>
      <w:r w:rsidRPr="004244CD">
        <w:rPr>
          <w:szCs w:val="21"/>
        </w:rPr>
        <w:t>Ultrabroad Terahertz Spectrum Generation from an Air-Based Filament Plasma</w:t>
      </w:r>
      <w:r w:rsidR="00655E8F">
        <w:rPr>
          <w:szCs w:val="21"/>
        </w:rPr>
        <w:t>[J]</w:t>
      </w:r>
      <w:r w:rsidRPr="004244CD">
        <w:rPr>
          <w:szCs w:val="21"/>
        </w:rPr>
        <w:t>. Physical Review Letters.</w:t>
      </w:r>
      <w:r w:rsidR="00655E8F">
        <w:rPr>
          <w:szCs w:val="21"/>
        </w:rPr>
        <w:t>,2016,</w:t>
      </w:r>
      <w:r w:rsidRPr="004244CD">
        <w:rPr>
          <w:szCs w:val="21"/>
        </w:rPr>
        <w:t>116</w:t>
      </w:r>
      <w:r w:rsidR="00655E8F">
        <w:rPr>
          <w:szCs w:val="21"/>
        </w:rPr>
        <w:t>:</w:t>
      </w:r>
      <w:r w:rsidRPr="004244CD">
        <w:rPr>
          <w:szCs w:val="21"/>
        </w:rPr>
        <w:t>063902.</w:t>
      </w:r>
    </w:p>
    <w:p w14:paraId="7BB6E2E5" w14:textId="1165D5B8" w:rsidR="00BD6A7C" w:rsidRPr="004244CD" w:rsidRDefault="00DF7B5C">
      <w:pPr>
        <w:rPr>
          <w:szCs w:val="21"/>
        </w:rPr>
      </w:pPr>
      <w:r w:rsidRPr="004244CD">
        <w:rPr>
          <w:rFonts w:hint="eastAsia"/>
          <w:szCs w:val="21"/>
        </w:rPr>
        <w:lastRenderedPageBreak/>
        <w:t>[15]</w:t>
      </w:r>
      <w:r w:rsidRPr="004244CD">
        <w:rPr>
          <w:rFonts w:ascii="Segoe UI" w:hAnsi="Segoe UI" w:cs="Segoe UI"/>
          <w:szCs w:val="21"/>
          <w:shd w:val="clear" w:color="auto" w:fill="FFFFFF"/>
        </w:rPr>
        <w:t xml:space="preserve"> </w:t>
      </w:r>
      <w:r w:rsidRPr="004244CD">
        <w:rPr>
          <w:szCs w:val="21"/>
        </w:rPr>
        <w:t>Zhang LL, Wang WM, Wu T, Zhang R,</w:t>
      </w:r>
      <w:r w:rsidR="009D4A94">
        <w:rPr>
          <w:szCs w:val="21"/>
        </w:rPr>
        <w:t xml:space="preserve"> et al</w:t>
      </w:r>
      <w:r w:rsidRPr="004244CD">
        <w:rPr>
          <w:szCs w:val="21"/>
        </w:rPr>
        <w:t>. Observation of Terahertz Radiation via the Two-Color Laser Scheme with Uncommon Frequency Ratios</w:t>
      </w:r>
      <w:r w:rsidR="009D4A94">
        <w:rPr>
          <w:szCs w:val="21"/>
        </w:rPr>
        <w:t>[J]</w:t>
      </w:r>
      <w:r w:rsidRPr="004244CD">
        <w:rPr>
          <w:szCs w:val="21"/>
        </w:rPr>
        <w:t>. Phys</w:t>
      </w:r>
      <w:r w:rsidRPr="004244CD">
        <w:rPr>
          <w:rFonts w:hint="eastAsia"/>
          <w:szCs w:val="21"/>
        </w:rPr>
        <w:t>.</w:t>
      </w:r>
      <w:r w:rsidRPr="004244CD">
        <w:rPr>
          <w:szCs w:val="21"/>
        </w:rPr>
        <w:t>Rev</w:t>
      </w:r>
      <w:r w:rsidRPr="004244CD">
        <w:rPr>
          <w:rFonts w:hint="eastAsia"/>
          <w:szCs w:val="21"/>
        </w:rPr>
        <w:t>.</w:t>
      </w:r>
      <w:r w:rsidRPr="004244CD">
        <w:rPr>
          <w:szCs w:val="21"/>
        </w:rPr>
        <w:t>Lett</w:t>
      </w:r>
      <w:r w:rsidR="009D4A94">
        <w:rPr>
          <w:szCs w:val="21"/>
        </w:rPr>
        <w:t>,2017,</w:t>
      </w:r>
      <w:r w:rsidRPr="004244CD">
        <w:rPr>
          <w:rFonts w:hint="eastAsia"/>
          <w:szCs w:val="21"/>
        </w:rPr>
        <w:t>119</w:t>
      </w:r>
      <w:r w:rsidR="009D4A94">
        <w:rPr>
          <w:szCs w:val="21"/>
        </w:rPr>
        <w:t>:</w:t>
      </w:r>
      <w:r w:rsidRPr="004244CD">
        <w:rPr>
          <w:rFonts w:hint="eastAsia"/>
          <w:szCs w:val="21"/>
        </w:rPr>
        <w:t>235001.</w:t>
      </w:r>
      <w:r w:rsidRPr="004244CD">
        <w:rPr>
          <w:szCs w:val="21"/>
        </w:rPr>
        <w:t xml:space="preserve"> </w:t>
      </w:r>
    </w:p>
    <w:p w14:paraId="322B6A1F" w14:textId="3E08EE08" w:rsidR="00BD6A7C" w:rsidRPr="004244CD" w:rsidRDefault="00DF7B5C">
      <w:pPr>
        <w:rPr>
          <w:szCs w:val="21"/>
        </w:rPr>
      </w:pPr>
      <w:r w:rsidRPr="004244CD">
        <w:rPr>
          <w:rFonts w:hint="eastAsia"/>
          <w:szCs w:val="21"/>
        </w:rPr>
        <w:t>[16]</w:t>
      </w:r>
      <w:r w:rsidRPr="004244CD">
        <w:rPr>
          <w:rFonts w:ascii="Segoe UI" w:hAnsi="Segoe UI" w:cs="Segoe UI"/>
          <w:szCs w:val="21"/>
          <w:shd w:val="clear" w:color="auto" w:fill="FFFFFF"/>
        </w:rPr>
        <w:t xml:space="preserve"> </w:t>
      </w:r>
      <w:r w:rsidRPr="004244CD">
        <w:rPr>
          <w:szCs w:val="21"/>
        </w:rPr>
        <w:t>Dey, I., Jana, K., Fedorov, V.Y.</w:t>
      </w:r>
      <w:r w:rsidRPr="00287C38">
        <w:rPr>
          <w:szCs w:val="21"/>
        </w:rPr>
        <w:t>et al</w:t>
      </w:r>
      <w:r w:rsidRPr="004244CD">
        <w:rPr>
          <w:i/>
          <w:iCs/>
          <w:szCs w:val="21"/>
        </w:rPr>
        <w:t>.</w:t>
      </w:r>
      <w:r w:rsidRPr="004244CD">
        <w:rPr>
          <w:szCs w:val="21"/>
        </w:rPr>
        <w:t>Highly efficient broadband terahertz generation from ultrashort laser filamentation in liquids</w:t>
      </w:r>
      <w:r w:rsidR="00287C38">
        <w:rPr>
          <w:szCs w:val="21"/>
        </w:rPr>
        <w:t>[J]</w:t>
      </w:r>
      <w:r w:rsidRPr="004244CD">
        <w:rPr>
          <w:szCs w:val="21"/>
        </w:rPr>
        <w:t>.</w:t>
      </w:r>
      <w:r w:rsidRPr="00287C38">
        <w:rPr>
          <w:szCs w:val="21"/>
        </w:rPr>
        <w:t>Nat Commun</w:t>
      </w:r>
      <w:r w:rsidR="00287C38" w:rsidRPr="00287C38">
        <w:rPr>
          <w:szCs w:val="21"/>
        </w:rPr>
        <w:t xml:space="preserve"> </w:t>
      </w:r>
      <w:r w:rsidRPr="00287C38">
        <w:rPr>
          <w:b/>
          <w:bCs/>
          <w:szCs w:val="21"/>
        </w:rPr>
        <w:t>8</w:t>
      </w:r>
      <w:r w:rsidRPr="004244CD">
        <w:rPr>
          <w:szCs w:val="21"/>
        </w:rPr>
        <w:t xml:space="preserve">, </w:t>
      </w:r>
      <w:r w:rsidR="00287C38">
        <w:rPr>
          <w:szCs w:val="21"/>
        </w:rPr>
        <w:t>2017,</w:t>
      </w:r>
      <w:r w:rsidRPr="004244CD">
        <w:rPr>
          <w:szCs w:val="21"/>
        </w:rPr>
        <w:t xml:space="preserve">1184. </w:t>
      </w:r>
    </w:p>
    <w:p w14:paraId="4692F5B6" w14:textId="73EE209B" w:rsidR="00BD6A7C" w:rsidRPr="004244CD" w:rsidRDefault="00DF7B5C">
      <w:pPr>
        <w:rPr>
          <w:szCs w:val="21"/>
        </w:rPr>
      </w:pPr>
      <w:r w:rsidRPr="004244CD">
        <w:rPr>
          <w:rFonts w:hint="eastAsia"/>
          <w:szCs w:val="21"/>
        </w:rPr>
        <w:t>[17]</w:t>
      </w:r>
      <w:r w:rsidRPr="004244CD">
        <w:rPr>
          <w:szCs w:val="21"/>
        </w:rPr>
        <w:t xml:space="preserve"> Qi Jin, Yiwen E, Kaia Williams, Jianming Dai, X.-C. Zhang</w:t>
      </w:r>
      <w:r w:rsidR="00287C38">
        <w:rPr>
          <w:szCs w:val="21"/>
        </w:rPr>
        <w:t>.</w:t>
      </w:r>
      <w:r w:rsidRPr="004244CD">
        <w:rPr>
          <w:szCs w:val="21"/>
        </w:rPr>
        <w:t>Observation of broadband terahertz wave generation from liquid water</w:t>
      </w:r>
      <w:r w:rsidR="00287C38">
        <w:rPr>
          <w:szCs w:val="21"/>
        </w:rPr>
        <w:t>[J]</w:t>
      </w:r>
      <w:r w:rsidRPr="004244CD">
        <w:rPr>
          <w:szCs w:val="21"/>
        </w:rPr>
        <w:t>. Appl. Phys. Lett</w:t>
      </w:r>
      <w:r w:rsidR="00287C38">
        <w:rPr>
          <w:szCs w:val="21"/>
        </w:rPr>
        <w:t>,</w:t>
      </w:r>
      <w:r w:rsidRPr="004244CD">
        <w:rPr>
          <w:szCs w:val="21"/>
        </w:rPr>
        <w:t>2017</w:t>
      </w:r>
      <w:r w:rsidR="00287C38">
        <w:rPr>
          <w:szCs w:val="21"/>
        </w:rPr>
        <w:t>,</w:t>
      </w:r>
      <w:r w:rsidRPr="004244CD">
        <w:rPr>
          <w:szCs w:val="21"/>
        </w:rPr>
        <w:t>111 (7): 071103.</w:t>
      </w:r>
    </w:p>
    <w:p w14:paraId="0EE927C7" w14:textId="77777777" w:rsidR="00BD6A7C" w:rsidRPr="004244CD" w:rsidRDefault="00DF7B5C">
      <w:pPr>
        <w:rPr>
          <w:szCs w:val="21"/>
        </w:rPr>
      </w:pPr>
      <w:r w:rsidRPr="004244CD">
        <w:rPr>
          <w:rFonts w:hint="eastAsia"/>
          <w:szCs w:val="21"/>
        </w:rPr>
        <w:t>[18]</w:t>
      </w:r>
      <w:r w:rsidRPr="004244CD">
        <w:rPr>
          <w:szCs w:val="21"/>
        </w:rPr>
        <w:t xml:space="preserve"> Zhang L L, Wang W M, Wu T, et al. Strong terahertz radiation from a liquid-water line [J]. Physical Review Applied, 2019,12: 014005.</w:t>
      </w:r>
    </w:p>
    <w:p w14:paraId="21A7BCE9" w14:textId="72390C2D" w:rsidR="00BD6A7C" w:rsidRPr="004244CD" w:rsidRDefault="00DF7B5C">
      <w:pPr>
        <w:rPr>
          <w:szCs w:val="21"/>
        </w:rPr>
      </w:pPr>
      <w:r w:rsidRPr="004244CD">
        <w:rPr>
          <w:rFonts w:hint="eastAsia"/>
          <w:szCs w:val="21"/>
        </w:rPr>
        <w:t>[19]</w:t>
      </w:r>
      <w:r w:rsidRPr="004244CD">
        <w:rPr>
          <w:szCs w:val="21"/>
        </w:rPr>
        <w:t xml:space="preserve"> Shijia Feng, Liquan Dong, Tong Wu, Yong Tan, Rui Zhang, Liangliang Zhang, Cunlin Zhang, and Yuejin Zhao</w:t>
      </w:r>
      <w:r w:rsidR="00206D9C">
        <w:rPr>
          <w:szCs w:val="21"/>
        </w:rPr>
        <w:t>.</w:t>
      </w:r>
      <w:r w:rsidRPr="004244CD">
        <w:rPr>
          <w:szCs w:val="21"/>
        </w:rPr>
        <w:t>Terahertz wave emission from water lines</w:t>
      </w:r>
      <w:r w:rsidR="00206D9C">
        <w:rPr>
          <w:szCs w:val="21"/>
        </w:rPr>
        <w:t>[J].</w:t>
      </w:r>
      <w:r w:rsidRPr="004244CD">
        <w:rPr>
          <w:szCs w:val="21"/>
        </w:rPr>
        <w:t xml:space="preserve"> Chin. Opt. Lett</w:t>
      </w:r>
      <w:r w:rsidR="00206D9C">
        <w:rPr>
          <w:szCs w:val="21"/>
        </w:rPr>
        <w:t>,2020,</w:t>
      </w:r>
      <w:r w:rsidRPr="004244CD">
        <w:rPr>
          <w:szCs w:val="21"/>
        </w:rPr>
        <w:t>18</w:t>
      </w:r>
      <w:r w:rsidR="00206D9C">
        <w:rPr>
          <w:szCs w:val="21"/>
        </w:rPr>
        <w:t>:</w:t>
      </w:r>
      <w:r w:rsidRPr="004244CD">
        <w:rPr>
          <w:szCs w:val="21"/>
        </w:rPr>
        <w:t>023202</w:t>
      </w:r>
      <w:r w:rsidR="00206D9C">
        <w:rPr>
          <w:szCs w:val="21"/>
        </w:rPr>
        <w:t>.</w:t>
      </w:r>
    </w:p>
    <w:p w14:paraId="3B06F24A" w14:textId="77777777" w:rsidR="00BD6A7C" w:rsidRPr="004244CD" w:rsidRDefault="00DF7B5C">
      <w:pPr>
        <w:jc w:val="left"/>
        <w:rPr>
          <w:szCs w:val="21"/>
        </w:rPr>
      </w:pPr>
      <w:r w:rsidRPr="004244CD">
        <w:rPr>
          <w:rFonts w:hint="eastAsia"/>
          <w:szCs w:val="21"/>
        </w:rPr>
        <w:t>[20]</w:t>
      </w:r>
      <w:r w:rsidRPr="004244CD">
        <w:rPr>
          <w:szCs w:val="21"/>
        </w:rPr>
        <w:t xml:space="preserve"> Qi Jin, Yiwen E, Shenghan Gao, Xi-Cheng Zhang. </w:t>
      </w:r>
      <w:bookmarkStart w:id="5" w:name="OLE_LINK1"/>
      <w:bookmarkStart w:id="6" w:name="OLE_LINK2"/>
      <w:r w:rsidRPr="004244CD">
        <w:rPr>
          <w:szCs w:val="21"/>
        </w:rPr>
        <w:t xml:space="preserve">Preference of </w:t>
      </w:r>
      <w:bookmarkEnd w:id="5"/>
      <w:bookmarkEnd w:id="6"/>
      <w:r w:rsidRPr="004244CD">
        <w:rPr>
          <w:szCs w:val="21"/>
        </w:rPr>
        <w:t>subpicosecond laser pulses for terahertz wave generation from liquids[J]. Advanced Photonics, 2020, 2(1): 015001</w:t>
      </w:r>
    </w:p>
    <w:p w14:paraId="1489CAD7" w14:textId="0774F924" w:rsidR="00BD6A7C" w:rsidRDefault="00DF7B5C">
      <w:pPr>
        <w:jc w:val="left"/>
        <w:rPr>
          <w:szCs w:val="21"/>
        </w:rPr>
      </w:pPr>
      <w:r w:rsidRPr="004244CD">
        <w:rPr>
          <w:rFonts w:hint="eastAsia"/>
          <w:szCs w:val="21"/>
        </w:rPr>
        <w:t>[21]</w:t>
      </w:r>
      <w:r w:rsidRPr="004244CD">
        <w:rPr>
          <w:rFonts w:ascii="Segoe UI" w:hAnsi="Segoe UI" w:cs="Segoe UI"/>
          <w:szCs w:val="21"/>
          <w:shd w:val="clear" w:color="auto" w:fill="FFFFFF"/>
        </w:rPr>
        <w:t xml:space="preserve"> </w:t>
      </w:r>
      <w:r w:rsidRPr="004244CD">
        <w:rPr>
          <w:szCs w:val="21"/>
        </w:rPr>
        <w:t>Hamster H, Sullivan A, Gordon S, White W, Falcone RW. Subpicosecond, electromagnetic pulses from intense laser-plasma interaction</w:t>
      </w:r>
      <w:r w:rsidR="00206D9C">
        <w:rPr>
          <w:szCs w:val="21"/>
        </w:rPr>
        <w:t>[J]</w:t>
      </w:r>
      <w:r w:rsidRPr="004244CD">
        <w:rPr>
          <w:szCs w:val="21"/>
        </w:rPr>
        <w:t xml:space="preserve">. Phys Rev Lett. 1993 Oct 25;71(17):2725-2728. </w:t>
      </w:r>
    </w:p>
    <w:p w14:paraId="0537584D" w14:textId="77777777" w:rsidR="006566CF" w:rsidRDefault="006566CF">
      <w:pPr>
        <w:jc w:val="left"/>
        <w:rPr>
          <w:szCs w:val="21"/>
        </w:rPr>
      </w:pPr>
    </w:p>
    <w:p w14:paraId="37432C4F" w14:textId="77777777" w:rsidR="006566CF" w:rsidRDefault="006566CF">
      <w:pPr>
        <w:jc w:val="left"/>
        <w:rPr>
          <w:szCs w:val="21"/>
        </w:rPr>
      </w:pPr>
      <w:r w:rsidRPr="006566CF">
        <w:rPr>
          <w:rFonts w:hint="eastAsia"/>
          <w:b/>
          <w:szCs w:val="21"/>
        </w:rPr>
        <w:t>收稿</w:t>
      </w:r>
      <w:r w:rsidRPr="006566CF">
        <w:rPr>
          <w:b/>
          <w:szCs w:val="21"/>
        </w:rPr>
        <w:t>日期</w:t>
      </w:r>
      <w:r>
        <w:rPr>
          <w:szCs w:val="21"/>
        </w:rPr>
        <w:t>：</w:t>
      </w:r>
      <w:r>
        <w:rPr>
          <w:rFonts w:hint="eastAsia"/>
          <w:szCs w:val="21"/>
        </w:rPr>
        <w:t>2023</w:t>
      </w:r>
      <w:r>
        <w:rPr>
          <w:szCs w:val="21"/>
        </w:rPr>
        <w:t>-12-01</w:t>
      </w:r>
      <w:r>
        <w:rPr>
          <w:rFonts w:hint="eastAsia"/>
          <w:szCs w:val="21"/>
        </w:rPr>
        <w:t>。</w:t>
      </w:r>
    </w:p>
    <w:p w14:paraId="27079E3B" w14:textId="77777777" w:rsidR="00AB5609" w:rsidRDefault="00AB5609">
      <w:pPr>
        <w:jc w:val="left"/>
        <w:rPr>
          <w:szCs w:val="21"/>
        </w:rPr>
      </w:pPr>
      <w:r w:rsidRPr="0054704F">
        <w:rPr>
          <w:rFonts w:hint="eastAsia"/>
          <w:b/>
          <w:szCs w:val="21"/>
        </w:rPr>
        <w:t>基金项目：</w:t>
      </w:r>
      <w:r w:rsidRPr="00AB5609">
        <w:rPr>
          <w:rFonts w:hint="eastAsia"/>
          <w:szCs w:val="21"/>
        </w:rPr>
        <w:t>国家自然科学基金</w:t>
      </w:r>
      <w:r>
        <w:rPr>
          <w:rFonts w:hint="eastAsia"/>
          <w:szCs w:val="21"/>
        </w:rPr>
        <w:t>项目</w:t>
      </w:r>
      <w:r w:rsidRPr="00AB5609">
        <w:rPr>
          <w:rFonts w:hint="eastAsia"/>
          <w:szCs w:val="21"/>
        </w:rPr>
        <w:t>（</w:t>
      </w:r>
      <w:r w:rsidRPr="00AB5609">
        <w:rPr>
          <w:rFonts w:hint="eastAsia"/>
          <w:szCs w:val="21"/>
        </w:rPr>
        <w:t>No.61971208</w:t>
      </w:r>
      <w:r w:rsidRPr="00AB5609">
        <w:rPr>
          <w:rFonts w:hint="eastAsia"/>
          <w:szCs w:val="21"/>
        </w:rPr>
        <w:t>）</w:t>
      </w:r>
      <w:r>
        <w:rPr>
          <w:rFonts w:hint="eastAsia"/>
          <w:szCs w:val="21"/>
        </w:rPr>
        <w:t>资助</w:t>
      </w:r>
      <w:r w:rsidR="00455095">
        <w:rPr>
          <w:rFonts w:hint="eastAsia"/>
          <w:szCs w:val="21"/>
        </w:rPr>
        <w:t>。</w:t>
      </w:r>
    </w:p>
    <w:p w14:paraId="6A4DF481" w14:textId="77777777" w:rsidR="00455095" w:rsidRDefault="001D0E04">
      <w:pPr>
        <w:jc w:val="left"/>
        <w:rPr>
          <w:szCs w:val="21"/>
        </w:rPr>
      </w:pPr>
      <w:r>
        <w:rPr>
          <w:noProof/>
          <w:szCs w:val="21"/>
        </w:rPr>
        <w:drawing>
          <wp:anchor distT="0" distB="0" distL="114300" distR="114300" simplePos="0" relativeHeight="251658240" behindDoc="1" locked="0" layoutInCell="1" allowOverlap="1" wp14:anchorId="234F1975" wp14:editId="2C9075B2">
            <wp:simplePos x="0" y="0"/>
            <wp:positionH relativeFrom="column">
              <wp:posOffset>4302220</wp:posOffset>
            </wp:positionH>
            <wp:positionV relativeFrom="paragraph">
              <wp:posOffset>49492</wp:posOffset>
            </wp:positionV>
            <wp:extent cx="897643" cy="1260000"/>
            <wp:effectExtent l="0" t="0" r="0" b="0"/>
            <wp:wrapTight wrapText="bothSides">
              <wp:wrapPolygon edited="0">
                <wp:start x="0" y="0"/>
                <wp:lineTo x="0" y="21230"/>
                <wp:lineTo x="21096" y="21230"/>
                <wp:lineTo x="21096" y="0"/>
                <wp:lineTo x="0" y="0"/>
              </wp:wrapPolygon>
            </wp:wrapTight>
            <wp:docPr id="2" name="图片 2" descr="C:\Users\kmyh\Desktop\个人照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yh\Desktop\个人照片.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7643" cy="12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C6E" w:rsidRPr="0054704F">
        <w:rPr>
          <w:rFonts w:hint="eastAsia"/>
          <w:b/>
          <w:szCs w:val="21"/>
        </w:rPr>
        <w:t>作者简介：</w:t>
      </w:r>
      <w:r w:rsidR="003A7C6E">
        <w:rPr>
          <w:rFonts w:hint="eastAsia"/>
          <w:szCs w:val="21"/>
        </w:rPr>
        <w:t>贺广超（</w:t>
      </w:r>
      <w:r w:rsidR="003A7C6E">
        <w:rPr>
          <w:rFonts w:hint="eastAsia"/>
          <w:szCs w:val="21"/>
        </w:rPr>
        <w:t>1996-</w:t>
      </w:r>
      <w:r w:rsidR="008246AE">
        <w:rPr>
          <w:rFonts w:hint="eastAsia"/>
          <w:szCs w:val="21"/>
        </w:rPr>
        <w:t>），男，硕士研究生，现</w:t>
      </w:r>
      <w:r w:rsidR="003A7C6E">
        <w:rPr>
          <w:rFonts w:hint="eastAsia"/>
          <w:szCs w:val="21"/>
        </w:rPr>
        <w:t>就读于云南省昆明市昆明理工大学信息工程与自动化学院通信与信息系统专业。主要研究方向是液线中等离子体辐射太赫兹波的研究。参与国家自然科学基金（</w:t>
      </w:r>
      <w:r w:rsidR="003A7C6E">
        <w:rPr>
          <w:rFonts w:hint="eastAsia"/>
          <w:szCs w:val="21"/>
        </w:rPr>
        <w:t>No.61971208</w:t>
      </w:r>
      <w:r w:rsidR="003A7C6E">
        <w:rPr>
          <w:rFonts w:hint="eastAsia"/>
          <w:szCs w:val="21"/>
        </w:rPr>
        <w:t>）《低维液态结构太赫兹波激发与原位增强研究》</w:t>
      </w:r>
      <w:r w:rsidR="00FE2CA8">
        <w:rPr>
          <w:rFonts w:hint="eastAsia"/>
          <w:szCs w:val="21"/>
        </w:rPr>
        <w:t>。</w:t>
      </w:r>
    </w:p>
    <w:p w14:paraId="4BA9E61C" w14:textId="77777777" w:rsidR="003A7C6E" w:rsidRDefault="003A7C6E">
      <w:pPr>
        <w:jc w:val="left"/>
        <w:rPr>
          <w:szCs w:val="21"/>
        </w:rPr>
      </w:pPr>
    </w:p>
    <w:sectPr w:rsidR="003A7C6E">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6B640" w16cex:dateUtc="2024-04-02T08:52:00Z"/>
  <w16cex:commentExtensible w16cex:durableId="29B6B6C9" w16cex:dateUtc="2024-04-02T08:54:00Z"/>
  <w16cex:commentExtensible w16cex:durableId="29B6BAEE" w16cex:dateUtc="2024-04-02T09:12:00Z"/>
  <w16cex:commentExtensible w16cex:durableId="29B6BFC6" w16cex:dateUtc="2024-04-02T09:32:00Z"/>
  <w16cex:commentExtensible w16cex:durableId="29BECA80" w16cex:dateUtc="2024-04-08T11:56:00Z"/>
  <w16cex:commentExtensible w16cex:durableId="29BECB3F" w16cex:dateUtc="2024-04-08T11:59:00Z"/>
  <w16cex:commentExtensible w16cex:durableId="29BEDED7" w16cex:dateUtc="2024-04-08T13:23:00Z"/>
  <w16cex:commentExtensible w16cex:durableId="29BEDEF3" w16cex:dateUtc="2024-04-08T13: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F91F60" w16cid:durableId="29B6B500"/>
  <w16cid:commentId w16cid:paraId="559A1D96" w16cid:durableId="29B6B640"/>
  <w16cid:commentId w16cid:paraId="702DA8B8" w16cid:durableId="29B6B501"/>
  <w16cid:commentId w16cid:paraId="3E00D2C1" w16cid:durableId="29B6B6C9"/>
  <w16cid:commentId w16cid:paraId="02AAD5FA" w16cid:durableId="29B6B502"/>
  <w16cid:commentId w16cid:paraId="4600BEC8" w16cid:durableId="29B6B503"/>
  <w16cid:commentId w16cid:paraId="7E34E560" w16cid:durableId="29B6B504"/>
  <w16cid:commentId w16cid:paraId="71F23718" w16cid:durableId="29B6BAEE"/>
  <w16cid:commentId w16cid:paraId="732F29E9" w16cid:durableId="29B6B505"/>
  <w16cid:commentId w16cid:paraId="35494342" w16cid:durableId="29B6BFC6"/>
  <w16cid:commentId w16cid:paraId="500330AF" w16cid:durableId="29B6B506"/>
  <w16cid:commentId w16cid:paraId="630D5B7D" w16cid:durableId="29BECA80"/>
  <w16cid:commentId w16cid:paraId="2E6947B7" w16cid:durableId="29B6B507"/>
  <w16cid:commentId w16cid:paraId="567E14B2" w16cid:durableId="29BECB3F"/>
  <w16cid:commentId w16cid:paraId="01F768E3" w16cid:durableId="29B6B508"/>
  <w16cid:commentId w16cid:paraId="47485169" w16cid:durableId="29B6B509"/>
  <w16cid:commentId w16cid:paraId="09A2D567" w16cid:durableId="29BEDED7"/>
  <w16cid:commentId w16cid:paraId="6F487323" w16cid:durableId="29B6B50A"/>
  <w16cid:commentId w16cid:paraId="240001B4" w16cid:durableId="29BEDEF3"/>
  <w16cid:commentId w16cid:paraId="606718DB" w16cid:durableId="29B6B50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A84F8" w14:textId="77777777" w:rsidR="00351FD7" w:rsidRDefault="00351FD7">
      <w:r>
        <w:separator/>
      </w:r>
    </w:p>
  </w:endnote>
  <w:endnote w:type="continuationSeparator" w:id="0">
    <w:p w14:paraId="0E145642" w14:textId="77777777" w:rsidR="00351FD7" w:rsidRDefault="0035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547ED" w14:textId="77777777" w:rsidR="00351FD7" w:rsidRDefault="00351FD7">
      <w:r>
        <w:separator/>
      </w:r>
    </w:p>
  </w:footnote>
  <w:footnote w:type="continuationSeparator" w:id="0">
    <w:p w14:paraId="62A5FBCB" w14:textId="77777777" w:rsidR="00351FD7" w:rsidRDefault="00351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A055"/>
    <w:multiLevelType w:val="singleLevel"/>
    <w:tmpl w:val="07CDA055"/>
    <w:lvl w:ilvl="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NkMGQ4MjY2MzI2OGY2ZGUzYjdiNmFiOGE0ZWE3ZjIifQ=="/>
  </w:docVars>
  <w:rsids>
    <w:rsidRoot w:val="00DD2D43"/>
    <w:rsid w:val="000003CD"/>
    <w:rsid w:val="0000180F"/>
    <w:rsid w:val="00026323"/>
    <w:rsid w:val="00031EFC"/>
    <w:rsid w:val="0003269A"/>
    <w:rsid w:val="00037F88"/>
    <w:rsid w:val="00040089"/>
    <w:rsid w:val="00045C87"/>
    <w:rsid w:val="00047361"/>
    <w:rsid w:val="00056531"/>
    <w:rsid w:val="000620E3"/>
    <w:rsid w:val="00070131"/>
    <w:rsid w:val="00073C3B"/>
    <w:rsid w:val="00074170"/>
    <w:rsid w:val="00080D7A"/>
    <w:rsid w:val="00087444"/>
    <w:rsid w:val="00087F80"/>
    <w:rsid w:val="000A418E"/>
    <w:rsid w:val="000A6C6A"/>
    <w:rsid w:val="000B11A7"/>
    <w:rsid w:val="000B47E3"/>
    <w:rsid w:val="000B4D80"/>
    <w:rsid w:val="000B7A93"/>
    <w:rsid w:val="000C03B9"/>
    <w:rsid w:val="000C06D5"/>
    <w:rsid w:val="000C292E"/>
    <w:rsid w:val="000D00A3"/>
    <w:rsid w:val="000D1AF5"/>
    <w:rsid w:val="000D2CE0"/>
    <w:rsid w:val="000F358E"/>
    <w:rsid w:val="000F54D5"/>
    <w:rsid w:val="0010000E"/>
    <w:rsid w:val="001004A5"/>
    <w:rsid w:val="00104C24"/>
    <w:rsid w:val="0010531A"/>
    <w:rsid w:val="001060EF"/>
    <w:rsid w:val="00115244"/>
    <w:rsid w:val="001153D1"/>
    <w:rsid w:val="001154A3"/>
    <w:rsid w:val="00117743"/>
    <w:rsid w:val="001214F2"/>
    <w:rsid w:val="00121C3F"/>
    <w:rsid w:val="001220D5"/>
    <w:rsid w:val="00123674"/>
    <w:rsid w:val="00123C96"/>
    <w:rsid w:val="00127946"/>
    <w:rsid w:val="00142324"/>
    <w:rsid w:val="0014374F"/>
    <w:rsid w:val="001453F8"/>
    <w:rsid w:val="001454E4"/>
    <w:rsid w:val="00152038"/>
    <w:rsid w:val="00152BF0"/>
    <w:rsid w:val="001544B9"/>
    <w:rsid w:val="0015736D"/>
    <w:rsid w:val="00160230"/>
    <w:rsid w:val="00164A64"/>
    <w:rsid w:val="00167C61"/>
    <w:rsid w:val="00173E11"/>
    <w:rsid w:val="00176100"/>
    <w:rsid w:val="00180EF4"/>
    <w:rsid w:val="0018176B"/>
    <w:rsid w:val="0018220A"/>
    <w:rsid w:val="001934C4"/>
    <w:rsid w:val="00193A98"/>
    <w:rsid w:val="00194011"/>
    <w:rsid w:val="001A668D"/>
    <w:rsid w:val="001A6CA7"/>
    <w:rsid w:val="001B1B2C"/>
    <w:rsid w:val="001B439A"/>
    <w:rsid w:val="001D0AAF"/>
    <w:rsid w:val="001D0E04"/>
    <w:rsid w:val="001D1842"/>
    <w:rsid w:val="001D4C89"/>
    <w:rsid w:val="001E4BAA"/>
    <w:rsid w:val="001F2668"/>
    <w:rsid w:val="001F558F"/>
    <w:rsid w:val="001F5EED"/>
    <w:rsid w:val="001F787F"/>
    <w:rsid w:val="00201E53"/>
    <w:rsid w:val="00206D9C"/>
    <w:rsid w:val="00210ACF"/>
    <w:rsid w:val="00212C6F"/>
    <w:rsid w:val="00215D1D"/>
    <w:rsid w:val="00215F92"/>
    <w:rsid w:val="002164C1"/>
    <w:rsid w:val="0023732E"/>
    <w:rsid w:val="002415C4"/>
    <w:rsid w:val="00243D80"/>
    <w:rsid w:val="0024436E"/>
    <w:rsid w:val="00245DFC"/>
    <w:rsid w:val="00247D93"/>
    <w:rsid w:val="00250334"/>
    <w:rsid w:val="00252FBA"/>
    <w:rsid w:val="00271F3F"/>
    <w:rsid w:val="002737E1"/>
    <w:rsid w:val="00276678"/>
    <w:rsid w:val="00276DF6"/>
    <w:rsid w:val="002804F8"/>
    <w:rsid w:val="00280CAE"/>
    <w:rsid w:val="00287C38"/>
    <w:rsid w:val="00290C54"/>
    <w:rsid w:val="00295073"/>
    <w:rsid w:val="00295B21"/>
    <w:rsid w:val="00296E1E"/>
    <w:rsid w:val="00297816"/>
    <w:rsid w:val="002A6713"/>
    <w:rsid w:val="002C6DF4"/>
    <w:rsid w:val="002D590C"/>
    <w:rsid w:val="002E1058"/>
    <w:rsid w:val="002E21EE"/>
    <w:rsid w:val="002E6DB4"/>
    <w:rsid w:val="0030337D"/>
    <w:rsid w:val="0030402A"/>
    <w:rsid w:val="00305831"/>
    <w:rsid w:val="003163E4"/>
    <w:rsid w:val="00320527"/>
    <w:rsid w:val="003208E6"/>
    <w:rsid w:val="00320C10"/>
    <w:rsid w:val="003264EA"/>
    <w:rsid w:val="0033062B"/>
    <w:rsid w:val="00330770"/>
    <w:rsid w:val="003324B3"/>
    <w:rsid w:val="0034088F"/>
    <w:rsid w:val="00340CFA"/>
    <w:rsid w:val="0034359A"/>
    <w:rsid w:val="00347650"/>
    <w:rsid w:val="00351FD7"/>
    <w:rsid w:val="003560E7"/>
    <w:rsid w:val="0036734F"/>
    <w:rsid w:val="0037430F"/>
    <w:rsid w:val="00374421"/>
    <w:rsid w:val="00382526"/>
    <w:rsid w:val="003866F7"/>
    <w:rsid w:val="00387232"/>
    <w:rsid w:val="00392CE6"/>
    <w:rsid w:val="003A6B67"/>
    <w:rsid w:val="003A6ECE"/>
    <w:rsid w:val="003A7C6E"/>
    <w:rsid w:val="003B1F4F"/>
    <w:rsid w:val="003B2657"/>
    <w:rsid w:val="003B7610"/>
    <w:rsid w:val="003C36CF"/>
    <w:rsid w:val="003C3C5F"/>
    <w:rsid w:val="003D4793"/>
    <w:rsid w:val="003D6103"/>
    <w:rsid w:val="003E5523"/>
    <w:rsid w:val="003E68EE"/>
    <w:rsid w:val="003F082A"/>
    <w:rsid w:val="003F3A21"/>
    <w:rsid w:val="003F497F"/>
    <w:rsid w:val="00404AB6"/>
    <w:rsid w:val="00407980"/>
    <w:rsid w:val="004244CD"/>
    <w:rsid w:val="00430249"/>
    <w:rsid w:val="0044068C"/>
    <w:rsid w:val="0044218B"/>
    <w:rsid w:val="004429F1"/>
    <w:rsid w:val="00453EED"/>
    <w:rsid w:val="00454269"/>
    <w:rsid w:val="00455095"/>
    <w:rsid w:val="004647E8"/>
    <w:rsid w:val="00464E0C"/>
    <w:rsid w:val="004710BB"/>
    <w:rsid w:val="004727F1"/>
    <w:rsid w:val="00480049"/>
    <w:rsid w:val="004925E5"/>
    <w:rsid w:val="004A66F7"/>
    <w:rsid w:val="004B0DB1"/>
    <w:rsid w:val="004C5AEA"/>
    <w:rsid w:val="004C5C3D"/>
    <w:rsid w:val="004C7CC0"/>
    <w:rsid w:val="004D1375"/>
    <w:rsid w:val="004D14F8"/>
    <w:rsid w:val="004D246E"/>
    <w:rsid w:val="004D3153"/>
    <w:rsid w:val="00500231"/>
    <w:rsid w:val="005068D8"/>
    <w:rsid w:val="00506E07"/>
    <w:rsid w:val="00511916"/>
    <w:rsid w:val="0051430E"/>
    <w:rsid w:val="00514B8B"/>
    <w:rsid w:val="005237F2"/>
    <w:rsid w:val="00530CEB"/>
    <w:rsid w:val="00533847"/>
    <w:rsid w:val="00534736"/>
    <w:rsid w:val="00541CCC"/>
    <w:rsid w:val="005469AF"/>
    <w:rsid w:val="00546ED8"/>
    <w:rsid w:val="0054704F"/>
    <w:rsid w:val="00551912"/>
    <w:rsid w:val="00552896"/>
    <w:rsid w:val="00554CAE"/>
    <w:rsid w:val="00555CE2"/>
    <w:rsid w:val="00582DBE"/>
    <w:rsid w:val="00585477"/>
    <w:rsid w:val="00587572"/>
    <w:rsid w:val="005A0098"/>
    <w:rsid w:val="005A46D9"/>
    <w:rsid w:val="005B20DA"/>
    <w:rsid w:val="005B4D8C"/>
    <w:rsid w:val="005B5E7D"/>
    <w:rsid w:val="005E0BD7"/>
    <w:rsid w:val="005E2340"/>
    <w:rsid w:val="005F5D88"/>
    <w:rsid w:val="005F60EE"/>
    <w:rsid w:val="005F74ED"/>
    <w:rsid w:val="00607582"/>
    <w:rsid w:val="00611198"/>
    <w:rsid w:val="00622714"/>
    <w:rsid w:val="00633420"/>
    <w:rsid w:val="00644740"/>
    <w:rsid w:val="00647293"/>
    <w:rsid w:val="00655E8F"/>
    <w:rsid w:val="006566CF"/>
    <w:rsid w:val="00661EBD"/>
    <w:rsid w:val="00664983"/>
    <w:rsid w:val="00673FB8"/>
    <w:rsid w:val="006833F3"/>
    <w:rsid w:val="00686E0A"/>
    <w:rsid w:val="00687F65"/>
    <w:rsid w:val="00691544"/>
    <w:rsid w:val="006976E7"/>
    <w:rsid w:val="006A1512"/>
    <w:rsid w:val="006B17B6"/>
    <w:rsid w:val="006B7A60"/>
    <w:rsid w:val="006D0F58"/>
    <w:rsid w:val="006E1530"/>
    <w:rsid w:val="006F14F4"/>
    <w:rsid w:val="006F1D8E"/>
    <w:rsid w:val="006F2E28"/>
    <w:rsid w:val="006F49BD"/>
    <w:rsid w:val="006F5EB2"/>
    <w:rsid w:val="00700048"/>
    <w:rsid w:val="00703A59"/>
    <w:rsid w:val="0070531C"/>
    <w:rsid w:val="00705C75"/>
    <w:rsid w:val="007117C4"/>
    <w:rsid w:val="00713347"/>
    <w:rsid w:val="00722F29"/>
    <w:rsid w:val="00730116"/>
    <w:rsid w:val="007303B8"/>
    <w:rsid w:val="0073193E"/>
    <w:rsid w:val="00744872"/>
    <w:rsid w:val="00746A5F"/>
    <w:rsid w:val="007500F1"/>
    <w:rsid w:val="00750B73"/>
    <w:rsid w:val="007610A6"/>
    <w:rsid w:val="00761F43"/>
    <w:rsid w:val="007655EF"/>
    <w:rsid w:val="0077285B"/>
    <w:rsid w:val="007770F2"/>
    <w:rsid w:val="00781D6D"/>
    <w:rsid w:val="00782118"/>
    <w:rsid w:val="007917F1"/>
    <w:rsid w:val="00793CEA"/>
    <w:rsid w:val="007A1FE1"/>
    <w:rsid w:val="007A2BCD"/>
    <w:rsid w:val="007B202D"/>
    <w:rsid w:val="007B3498"/>
    <w:rsid w:val="007B4A5D"/>
    <w:rsid w:val="007C0324"/>
    <w:rsid w:val="007C5467"/>
    <w:rsid w:val="007C5DD8"/>
    <w:rsid w:val="007C703C"/>
    <w:rsid w:val="007C729B"/>
    <w:rsid w:val="007C7F6F"/>
    <w:rsid w:val="007D00D3"/>
    <w:rsid w:val="007D09A6"/>
    <w:rsid w:val="007D2BDB"/>
    <w:rsid w:val="007D51C5"/>
    <w:rsid w:val="007E2DD0"/>
    <w:rsid w:val="008046B6"/>
    <w:rsid w:val="00806A81"/>
    <w:rsid w:val="008078D4"/>
    <w:rsid w:val="008162F5"/>
    <w:rsid w:val="00817339"/>
    <w:rsid w:val="008175DC"/>
    <w:rsid w:val="00817D03"/>
    <w:rsid w:val="008246AE"/>
    <w:rsid w:val="00825EDF"/>
    <w:rsid w:val="00835BC3"/>
    <w:rsid w:val="00843E06"/>
    <w:rsid w:val="008500A2"/>
    <w:rsid w:val="00850B4E"/>
    <w:rsid w:val="00852477"/>
    <w:rsid w:val="008536A9"/>
    <w:rsid w:val="0085403A"/>
    <w:rsid w:val="00863393"/>
    <w:rsid w:val="0086466D"/>
    <w:rsid w:val="008667DB"/>
    <w:rsid w:val="00872B3B"/>
    <w:rsid w:val="00880D38"/>
    <w:rsid w:val="008830CB"/>
    <w:rsid w:val="00892C60"/>
    <w:rsid w:val="008A75C7"/>
    <w:rsid w:val="008B0DF9"/>
    <w:rsid w:val="008C2769"/>
    <w:rsid w:val="008C2C05"/>
    <w:rsid w:val="008C37E2"/>
    <w:rsid w:val="008C3FDE"/>
    <w:rsid w:val="008C6E49"/>
    <w:rsid w:val="008D116A"/>
    <w:rsid w:val="008D379F"/>
    <w:rsid w:val="008D55DB"/>
    <w:rsid w:val="008D7529"/>
    <w:rsid w:val="008E4ACA"/>
    <w:rsid w:val="008F2ECE"/>
    <w:rsid w:val="008F33B0"/>
    <w:rsid w:val="008F46B3"/>
    <w:rsid w:val="009021BB"/>
    <w:rsid w:val="009062E6"/>
    <w:rsid w:val="00907908"/>
    <w:rsid w:val="00912117"/>
    <w:rsid w:val="009219DD"/>
    <w:rsid w:val="009238E4"/>
    <w:rsid w:val="009440D8"/>
    <w:rsid w:val="00947CA8"/>
    <w:rsid w:val="009513BD"/>
    <w:rsid w:val="00951F4B"/>
    <w:rsid w:val="00961D49"/>
    <w:rsid w:val="009668F4"/>
    <w:rsid w:val="00967351"/>
    <w:rsid w:val="0097699C"/>
    <w:rsid w:val="00982249"/>
    <w:rsid w:val="00986A8F"/>
    <w:rsid w:val="00993DA5"/>
    <w:rsid w:val="00995D28"/>
    <w:rsid w:val="009A5CB4"/>
    <w:rsid w:val="009B3388"/>
    <w:rsid w:val="009B4B9A"/>
    <w:rsid w:val="009B61F7"/>
    <w:rsid w:val="009C6896"/>
    <w:rsid w:val="009D05DA"/>
    <w:rsid w:val="009D12C1"/>
    <w:rsid w:val="009D49E7"/>
    <w:rsid w:val="009D4A94"/>
    <w:rsid w:val="009E3B63"/>
    <w:rsid w:val="009E72BA"/>
    <w:rsid w:val="009E74F5"/>
    <w:rsid w:val="009F620C"/>
    <w:rsid w:val="00A10C06"/>
    <w:rsid w:val="00A11EA8"/>
    <w:rsid w:val="00A1342C"/>
    <w:rsid w:val="00A16E50"/>
    <w:rsid w:val="00A23BF3"/>
    <w:rsid w:val="00A2538E"/>
    <w:rsid w:val="00A27253"/>
    <w:rsid w:val="00A31977"/>
    <w:rsid w:val="00A3583E"/>
    <w:rsid w:val="00A35DF8"/>
    <w:rsid w:val="00A35EE9"/>
    <w:rsid w:val="00A42115"/>
    <w:rsid w:val="00A55FB9"/>
    <w:rsid w:val="00A57BD6"/>
    <w:rsid w:val="00A62FDB"/>
    <w:rsid w:val="00A64003"/>
    <w:rsid w:val="00A71F45"/>
    <w:rsid w:val="00A77C0A"/>
    <w:rsid w:val="00A8237D"/>
    <w:rsid w:val="00A82B51"/>
    <w:rsid w:val="00A82E5B"/>
    <w:rsid w:val="00A85864"/>
    <w:rsid w:val="00A92D3B"/>
    <w:rsid w:val="00A96911"/>
    <w:rsid w:val="00A9694F"/>
    <w:rsid w:val="00A96A43"/>
    <w:rsid w:val="00AA4363"/>
    <w:rsid w:val="00AA5137"/>
    <w:rsid w:val="00AA55EB"/>
    <w:rsid w:val="00AB0E74"/>
    <w:rsid w:val="00AB3C1A"/>
    <w:rsid w:val="00AB5609"/>
    <w:rsid w:val="00AC11E1"/>
    <w:rsid w:val="00AC15FB"/>
    <w:rsid w:val="00AC50B0"/>
    <w:rsid w:val="00AD045A"/>
    <w:rsid w:val="00AE2E77"/>
    <w:rsid w:val="00AE6EB6"/>
    <w:rsid w:val="00AF19F0"/>
    <w:rsid w:val="00B00678"/>
    <w:rsid w:val="00B0763D"/>
    <w:rsid w:val="00B11DD9"/>
    <w:rsid w:val="00B30E46"/>
    <w:rsid w:val="00B443AF"/>
    <w:rsid w:val="00B536C1"/>
    <w:rsid w:val="00B54516"/>
    <w:rsid w:val="00B5746B"/>
    <w:rsid w:val="00B57DE6"/>
    <w:rsid w:val="00B62439"/>
    <w:rsid w:val="00B6393E"/>
    <w:rsid w:val="00B6546C"/>
    <w:rsid w:val="00B678AD"/>
    <w:rsid w:val="00B712A5"/>
    <w:rsid w:val="00B718A4"/>
    <w:rsid w:val="00B7786B"/>
    <w:rsid w:val="00B86157"/>
    <w:rsid w:val="00B90183"/>
    <w:rsid w:val="00B91E2D"/>
    <w:rsid w:val="00B94081"/>
    <w:rsid w:val="00B97C9C"/>
    <w:rsid w:val="00BA6CA7"/>
    <w:rsid w:val="00BB2CCB"/>
    <w:rsid w:val="00BB3FF5"/>
    <w:rsid w:val="00BB56DE"/>
    <w:rsid w:val="00BB659C"/>
    <w:rsid w:val="00BC1120"/>
    <w:rsid w:val="00BC2CA9"/>
    <w:rsid w:val="00BC747F"/>
    <w:rsid w:val="00BD6A7C"/>
    <w:rsid w:val="00BD7BF9"/>
    <w:rsid w:val="00BE3526"/>
    <w:rsid w:val="00BE36B9"/>
    <w:rsid w:val="00BE3D47"/>
    <w:rsid w:val="00BE4EB2"/>
    <w:rsid w:val="00BE5303"/>
    <w:rsid w:val="00BE762C"/>
    <w:rsid w:val="00BF04EB"/>
    <w:rsid w:val="00BF0D59"/>
    <w:rsid w:val="00BF3E0C"/>
    <w:rsid w:val="00C009F6"/>
    <w:rsid w:val="00C055F3"/>
    <w:rsid w:val="00C13E57"/>
    <w:rsid w:val="00C21215"/>
    <w:rsid w:val="00C240DA"/>
    <w:rsid w:val="00C245A4"/>
    <w:rsid w:val="00C25310"/>
    <w:rsid w:val="00C26CA0"/>
    <w:rsid w:val="00C27DA9"/>
    <w:rsid w:val="00C35A6D"/>
    <w:rsid w:val="00C3799B"/>
    <w:rsid w:val="00C40D22"/>
    <w:rsid w:val="00C41E4B"/>
    <w:rsid w:val="00C42FA4"/>
    <w:rsid w:val="00C44C1E"/>
    <w:rsid w:val="00C46817"/>
    <w:rsid w:val="00C4799F"/>
    <w:rsid w:val="00C50BDD"/>
    <w:rsid w:val="00C50F97"/>
    <w:rsid w:val="00C52417"/>
    <w:rsid w:val="00C57392"/>
    <w:rsid w:val="00C576EE"/>
    <w:rsid w:val="00C61449"/>
    <w:rsid w:val="00C61B63"/>
    <w:rsid w:val="00C673F0"/>
    <w:rsid w:val="00C677A8"/>
    <w:rsid w:val="00C7104F"/>
    <w:rsid w:val="00C737CD"/>
    <w:rsid w:val="00C73DB0"/>
    <w:rsid w:val="00C905EB"/>
    <w:rsid w:val="00CA5B33"/>
    <w:rsid w:val="00CA6A54"/>
    <w:rsid w:val="00CB3526"/>
    <w:rsid w:val="00CC44BB"/>
    <w:rsid w:val="00CC6925"/>
    <w:rsid w:val="00CD3228"/>
    <w:rsid w:val="00CF1CCF"/>
    <w:rsid w:val="00CF20DF"/>
    <w:rsid w:val="00D02348"/>
    <w:rsid w:val="00D05E69"/>
    <w:rsid w:val="00D11864"/>
    <w:rsid w:val="00D12858"/>
    <w:rsid w:val="00D15FBC"/>
    <w:rsid w:val="00D2388A"/>
    <w:rsid w:val="00D25A6E"/>
    <w:rsid w:val="00D31CDB"/>
    <w:rsid w:val="00D354AF"/>
    <w:rsid w:val="00D44C75"/>
    <w:rsid w:val="00D4536D"/>
    <w:rsid w:val="00D45713"/>
    <w:rsid w:val="00D47DCD"/>
    <w:rsid w:val="00D51B77"/>
    <w:rsid w:val="00D60403"/>
    <w:rsid w:val="00D666BB"/>
    <w:rsid w:val="00D74AB1"/>
    <w:rsid w:val="00D767A6"/>
    <w:rsid w:val="00D822B7"/>
    <w:rsid w:val="00D866F5"/>
    <w:rsid w:val="00D9708F"/>
    <w:rsid w:val="00DA3391"/>
    <w:rsid w:val="00DA3841"/>
    <w:rsid w:val="00DA5BE1"/>
    <w:rsid w:val="00DC1427"/>
    <w:rsid w:val="00DC24C6"/>
    <w:rsid w:val="00DC69D4"/>
    <w:rsid w:val="00DD252D"/>
    <w:rsid w:val="00DD2D43"/>
    <w:rsid w:val="00DD7E5E"/>
    <w:rsid w:val="00DE3F0F"/>
    <w:rsid w:val="00DE6DC7"/>
    <w:rsid w:val="00DE753F"/>
    <w:rsid w:val="00DF4DF3"/>
    <w:rsid w:val="00DF5E2E"/>
    <w:rsid w:val="00DF7042"/>
    <w:rsid w:val="00DF7B5C"/>
    <w:rsid w:val="00E07F7D"/>
    <w:rsid w:val="00E15209"/>
    <w:rsid w:val="00E209C2"/>
    <w:rsid w:val="00E212E9"/>
    <w:rsid w:val="00E377C8"/>
    <w:rsid w:val="00E405D7"/>
    <w:rsid w:val="00E43767"/>
    <w:rsid w:val="00E4665B"/>
    <w:rsid w:val="00E46FB6"/>
    <w:rsid w:val="00E532BC"/>
    <w:rsid w:val="00E55F8B"/>
    <w:rsid w:val="00E572BD"/>
    <w:rsid w:val="00E57520"/>
    <w:rsid w:val="00E57F48"/>
    <w:rsid w:val="00E605A7"/>
    <w:rsid w:val="00E62F36"/>
    <w:rsid w:val="00E70FCD"/>
    <w:rsid w:val="00E7279A"/>
    <w:rsid w:val="00E73F6D"/>
    <w:rsid w:val="00E945D4"/>
    <w:rsid w:val="00E974FE"/>
    <w:rsid w:val="00EA0271"/>
    <w:rsid w:val="00EA0ADF"/>
    <w:rsid w:val="00EA43EB"/>
    <w:rsid w:val="00EA4F91"/>
    <w:rsid w:val="00EB5857"/>
    <w:rsid w:val="00EB59E1"/>
    <w:rsid w:val="00EC36DC"/>
    <w:rsid w:val="00EC4DDC"/>
    <w:rsid w:val="00ED1B36"/>
    <w:rsid w:val="00EE0A4E"/>
    <w:rsid w:val="00EE2C52"/>
    <w:rsid w:val="00EE417B"/>
    <w:rsid w:val="00EE420F"/>
    <w:rsid w:val="00EE7F14"/>
    <w:rsid w:val="00EF7738"/>
    <w:rsid w:val="00F01F2F"/>
    <w:rsid w:val="00F06A32"/>
    <w:rsid w:val="00F07EB9"/>
    <w:rsid w:val="00F15854"/>
    <w:rsid w:val="00F22446"/>
    <w:rsid w:val="00F238CF"/>
    <w:rsid w:val="00F24E58"/>
    <w:rsid w:val="00F254F9"/>
    <w:rsid w:val="00F2730A"/>
    <w:rsid w:val="00F30E3A"/>
    <w:rsid w:val="00F341C8"/>
    <w:rsid w:val="00F35DA7"/>
    <w:rsid w:val="00F3670F"/>
    <w:rsid w:val="00F37FE4"/>
    <w:rsid w:val="00F4181A"/>
    <w:rsid w:val="00F42012"/>
    <w:rsid w:val="00F44074"/>
    <w:rsid w:val="00F44084"/>
    <w:rsid w:val="00F44624"/>
    <w:rsid w:val="00F524BA"/>
    <w:rsid w:val="00F61D57"/>
    <w:rsid w:val="00F63B89"/>
    <w:rsid w:val="00F64BDD"/>
    <w:rsid w:val="00F702D3"/>
    <w:rsid w:val="00F76C0D"/>
    <w:rsid w:val="00F80680"/>
    <w:rsid w:val="00F906CC"/>
    <w:rsid w:val="00FA1528"/>
    <w:rsid w:val="00FA2064"/>
    <w:rsid w:val="00FA38E1"/>
    <w:rsid w:val="00FA66F3"/>
    <w:rsid w:val="00FB0E99"/>
    <w:rsid w:val="00FB1BCF"/>
    <w:rsid w:val="00FB25DF"/>
    <w:rsid w:val="00FB492F"/>
    <w:rsid w:val="00FC3491"/>
    <w:rsid w:val="00FD1F40"/>
    <w:rsid w:val="00FE0D3B"/>
    <w:rsid w:val="00FE2CA8"/>
    <w:rsid w:val="00FE405D"/>
    <w:rsid w:val="00FF0E76"/>
    <w:rsid w:val="00FF5071"/>
    <w:rsid w:val="00FF6FF7"/>
    <w:rsid w:val="00FF75CE"/>
    <w:rsid w:val="01B23EB8"/>
    <w:rsid w:val="0532605E"/>
    <w:rsid w:val="05504736"/>
    <w:rsid w:val="13166FBF"/>
    <w:rsid w:val="178233C5"/>
    <w:rsid w:val="17CC40F0"/>
    <w:rsid w:val="1F040613"/>
    <w:rsid w:val="1FAD2A59"/>
    <w:rsid w:val="236553F8"/>
    <w:rsid w:val="2426102C"/>
    <w:rsid w:val="26013161"/>
    <w:rsid w:val="27320C1D"/>
    <w:rsid w:val="274F43F6"/>
    <w:rsid w:val="2AA1140C"/>
    <w:rsid w:val="2D047A30"/>
    <w:rsid w:val="31E3230A"/>
    <w:rsid w:val="32222E32"/>
    <w:rsid w:val="32917FB8"/>
    <w:rsid w:val="3D791D75"/>
    <w:rsid w:val="42CE4911"/>
    <w:rsid w:val="4E8923F8"/>
    <w:rsid w:val="4EBE2DFF"/>
    <w:rsid w:val="52075749"/>
    <w:rsid w:val="54640C31"/>
    <w:rsid w:val="54F226E1"/>
    <w:rsid w:val="5A19426B"/>
    <w:rsid w:val="5B9A3007"/>
    <w:rsid w:val="65037FF2"/>
    <w:rsid w:val="66316617"/>
    <w:rsid w:val="6C3B2E45"/>
    <w:rsid w:val="6E854322"/>
    <w:rsid w:val="6EBA7973"/>
    <w:rsid w:val="70CA3E8B"/>
    <w:rsid w:val="744E4FAA"/>
    <w:rsid w:val="75E4177A"/>
    <w:rsid w:val="76C43A85"/>
    <w:rsid w:val="799420C1"/>
    <w:rsid w:val="7DE62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BC6DF3"/>
  <w15:docId w15:val="{2DDE3871-6DE7-41B0-BF0F-36A04245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Pr>
      <w:kern w:val="2"/>
      <w:sz w:val="18"/>
      <w:szCs w:val="18"/>
    </w:rPr>
  </w:style>
  <w:style w:type="character" w:customStyle="1" w:styleId="a6">
    <w:name w:val="页脚 字符"/>
    <w:basedOn w:val="a0"/>
    <w:link w:val="a5"/>
    <w:uiPriority w:val="99"/>
    <w:qFormat/>
    <w:rPr>
      <w:kern w:val="2"/>
      <w:sz w:val="18"/>
      <w:szCs w:val="18"/>
    </w:rPr>
  </w:style>
  <w:style w:type="character" w:customStyle="1" w:styleId="a4">
    <w:name w:val="批注框文本 字符"/>
    <w:basedOn w:val="a0"/>
    <w:link w:val="a3"/>
    <w:uiPriority w:val="99"/>
    <w:semiHidden/>
    <w:rPr>
      <w:kern w:val="2"/>
      <w:sz w:val="18"/>
      <w:szCs w:val="18"/>
    </w:rPr>
  </w:style>
  <w:style w:type="character" w:styleId="a9">
    <w:name w:val="Hyperlink"/>
    <w:basedOn w:val="a0"/>
    <w:uiPriority w:val="99"/>
    <w:unhideWhenUsed/>
    <w:rsid w:val="00455095"/>
    <w:rPr>
      <w:color w:val="0000FF" w:themeColor="hyperlink"/>
      <w:u w:val="single"/>
    </w:rPr>
  </w:style>
  <w:style w:type="character" w:styleId="aa">
    <w:name w:val="annotation reference"/>
    <w:basedOn w:val="a0"/>
    <w:uiPriority w:val="99"/>
    <w:unhideWhenUsed/>
    <w:rsid w:val="00176100"/>
    <w:rPr>
      <w:sz w:val="21"/>
      <w:szCs w:val="21"/>
    </w:rPr>
  </w:style>
  <w:style w:type="paragraph" w:styleId="ab">
    <w:name w:val="annotation text"/>
    <w:basedOn w:val="a"/>
    <w:link w:val="ac"/>
    <w:uiPriority w:val="99"/>
    <w:semiHidden/>
    <w:unhideWhenUsed/>
    <w:rsid w:val="00176100"/>
    <w:pPr>
      <w:jc w:val="left"/>
    </w:pPr>
  </w:style>
  <w:style w:type="character" w:customStyle="1" w:styleId="ac">
    <w:name w:val="批注文字 字符"/>
    <w:basedOn w:val="a0"/>
    <w:link w:val="ab"/>
    <w:uiPriority w:val="99"/>
    <w:semiHidden/>
    <w:rsid w:val="00176100"/>
    <w:rPr>
      <w:kern w:val="2"/>
      <w:sz w:val="21"/>
      <w:szCs w:val="24"/>
    </w:rPr>
  </w:style>
  <w:style w:type="paragraph" w:styleId="ad">
    <w:name w:val="annotation subject"/>
    <w:basedOn w:val="ab"/>
    <w:next w:val="ab"/>
    <w:link w:val="ae"/>
    <w:uiPriority w:val="99"/>
    <w:semiHidden/>
    <w:unhideWhenUsed/>
    <w:rsid w:val="00176100"/>
    <w:rPr>
      <w:b/>
      <w:bCs/>
    </w:rPr>
  </w:style>
  <w:style w:type="character" w:customStyle="1" w:styleId="ae">
    <w:name w:val="批注主题 字符"/>
    <w:basedOn w:val="ac"/>
    <w:link w:val="ad"/>
    <w:uiPriority w:val="99"/>
    <w:semiHidden/>
    <w:rsid w:val="00176100"/>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6/09/relationships/commentsIds" Target="commentsIds.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F6A37-DAEA-46C0-A53C-6B9DAB887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6220</TotalTime>
  <Pages>10</Pages>
  <Words>1533</Words>
  <Characters>8742</Characters>
  <Application>Microsoft Office Word</Application>
  <DocSecurity>0</DocSecurity>
  <Lines>72</Lines>
  <Paragraphs>20</Paragraphs>
  <ScaleCrop>false</ScaleCrop>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kmyh</dc:creator>
  <cp:lastModifiedBy>admin</cp:lastModifiedBy>
  <cp:revision>35</cp:revision>
  <dcterms:created xsi:type="dcterms:W3CDTF">2024-04-02T08:51:00Z</dcterms:created>
  <dcterms:modified xsi:type="dcterms:W3CDTF">2024-04-16T06:32:00Z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D10FDA15D2A04685BA507F77B22CEE50_12</vt:lpwstr>
  </property>
</Properties>
</file>