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C1DEF7" w14:textId="586E471E" w:rsidR="008F329A" w:rsidRPr="00234CBF" w:rsidRDefault="00C35939" w:rsidP="006A26A5">
      <w:pPr>
        <w:jc w:val="center"/>
        <w:rPr>
          <w:rFonts w:ascii="Times New Roman" w:eastAsia="黑体" w:hAnsi="Times New Roman"/>
          <w:b/>
          <w:sz w:val="32"/>
          <w:szCs w:val="32"/>
        </w:rPr>
      </w:pPr>
      <w:r w:rsidRPr="00234CBF">
        <w:rPr>
          <w:rFonts w:ascii="Times New Roman" w:eastAsia="黑体" w:hAnsi="Times New Roman" w:hint="eastAsia"/>
          <w:b/>
          <w:sz w:val="32"/>
          <w:szCs w:val="32"/>
        </w:rPr>
        <w:t>单模传输约束下</w:t>
      </w:r>
      <w:r w:rsidRPr="00234CBF">
        <w:rPr>
          <w:rFonts w:ascii="Times New Roman" w:eastAsia="黑体" w:hAnsi="Times New Roman"/>
          <w:b/>
          <w:sz w:val="32"/>
          <w:szCs w:val="32"/>
        </w:rPr>
        <w:t>HCF</w:t>
      </w:r>
      <w:r w:rsidRPr="00234CBF">
        <w:rPr>
          <w:rFonts w:ascii="Times New Roman" w:eastAsia="黑体" w:hAnsi="Times New Roman"/>
          <w:b/>
          <w:sz w:val="32"/>
          <w:szCs w:val="32"/>
        </w:rPr>
        <w:t>低耦合损耗结构优化方法</w:t>
      </w:r>
    </w:p>
    <w:p w14:paraId="42938871" w14:textId="77777777" w:rsidR="008F329A" w:rsidRPr="00540410" w:rsidRDefault="00C35939" w:rsidP="006A26A5">
      <w:pPr>
        <w:jc w:val="center"/>
        <w:rPr>
          <w:rFonts w:ascii="Times New Roman" w:eastAsia="宋体" w:hAnsi="Times New Roman"/>
          <w:b/>
          <w:sz w:val="24"/>
          <w:szCs w:val="24"/>
        </w:rPr>
      </w:pPr>
      <w:r w:rsidRPr="0025316F">
        <w:rPr>
          <w:rFonts w:ascii="楷体_GB2312" w:eastAsia="楷体_GB2312" w:hAnsi="宋体" w:hint="eastAsia"/>
          <w:bCs/>
          <w:sz w:val="24"/>
          <w:szCs w:val="24"/>
        </w:rPr>
        <w:t>童晓玲</w:t>
      </w:r>
      <w:r>
        <w:rPr>
          <w:rFonts w:ascii="楷体_GB2312" w:eastAsia="楷体_GB2312" w:hAnsi="宋体" w:hint="eastAsia"/>
          <w:bCs/>
          <w:sz w:val="24"/>
          <w:szCs w:val="24"/>
          <w:vertAlign w:val="superscript"/>
        </w:rPr>
        <w:t>2</w:t>
      </w:r>
      <w:r>
        <w:rPr>
          <w:rFonts w:ascii="楷体_GB2312" w:eastAsia="楷体_GB2312" w:hAnsi="宋体" w:hint="eastAsia"/>
          <w:bCs/>
          <w:sz w:val="24"/>
          <w:szCs w:val="24"/>
        </w:rPr>
        <w:t>，</w:t>
      </w:r>
      <w:r w:rsidRPr="0025316F">
        <w:rPr>
          <w:rFonts w:ascii="楷体_GB2312" w:eastAsia="楷体_GB2312" w:hAnsi="宋体" w:hint="eastAsia"/>
          <w:bCs/>
          <w:sz w:val="24"/>
          <w:szCs w:val="24"/>
        </w:rPr>
        <w:t>刘晨宇</w:t>
      </w:r>
      <w:r>
        <w:rPr>
          <w:rFonts w:ascii="楷体_GB2312" w:eastAsia="楷体_GB2312" w:hAnsi="宋体" w:hint="eastAsia"/>
          <w:bCs/>
          <w:sz w:val="24"/>
          <w:szCs w:val="24"/>
          <w:vertAlign w:val="superscript"/>
        </w:rPr>
        <w:t>2</w:t>
      </w:r>
      <w:r>
        <w:rPr>
          <w:rFonts w:ascii="楷体_GB2312" w:eastAsia="楷体_GB2312" w:hAnsi="宋体" w:hint="eastAsia"/>
          <w:bCs/>
          <w:sz w:val="24"/>
          <w:szCs w:val="24"/>
        </w:rPr>
        <w:t>，</w:t>
      </w:r>
      <w:r w:rsidRPr="0025316F">
        <w:rPr>
          <w:rFonts w:ascii="楷体_GB2312" w:eastAsia="楷体_GB2312" w:hAnsi="宋体" w:hint="eastAsia"/>
          <w:bCs/>
          <w:sz w:val="24"/>
          <w:szCs w:val="24"/>
        </w:rPr>
        <w:t>梁</w:t>
      </w:r>
      <w:r>
        <w:rPr>
          <w:rFonts w:ascii="楷体_GB2312" w:eastAsia="楷体_GB2312" w:hAnsi="宋体" w:hint="eastAsia"/>
          <w:bCs/>
          <w:sz w:val="24"/>
          <w:szCs w:val="24"/>
        </w:rPr>
        <w:t xml:space="preserve"> </w:t>
      </w:r>
      <w:r w:rsidRPr="0025316F">
        <w:rPr>
          <w:rFonts w:ascii="楷体_GB2312" w:eastAsia="楷体_GB2312" w:hAnsi="宋体" w:hint="eastAsia"/>
          <w:bCs/>
          <w:sz w:val="24"/>
          <w:szCs w:val="24"/>
        </w:rPr>
        <w:t>磊</w:t>
      </w:r>
      <w:r>
        <w:rPr>
          <w:rFonts w:ascii="楷体_GB2312" w:eastAsia="楷体_GB2312" w:hAnsi="宋体" w:hint="eastAsia"/>
          <w:bCs/>
          <w:sz w:val="24"/>
          <w:szCs w:val="24"/>
          <w:vertAlign w:val="superscript"/>
        </w:rPr>
        <w:t>1,2</w:t>
      </w:r>
      <w:r w:rsidR="0078608D" w:rsidRPr="0078608D">
        <w:rPr>
          <w:rFonts w:ascii="Times New Roman" w:eastAsia="宋体" w:hAnsi="Times New Roman"/>
          <w:bCs/>
          <w:sz w:val="24"/>
          <w:szCs w:val="24"/>
        </w:rPr>
        <w:t>*</w:t>
      </w:r>
      <w:r>
        <w:rPr>
          <w:rFonts w:ascii="楷体_GB2312" w:eastAsia="楷体_GB2312" w:hAnsi="宋体" w:hint="eastAsia"/>
          <w:bCs/>
          <w:sz w:val="24"/>
          <w:szCs w:val="24"/>
        </w:rPr>
        <w:t>，</w:t>
      </w:r>
      <w:r w:rsidRPr="0025316F">
        <w:rPr>
          <w:rFonts w:ascii="楷体_GB2312" w:eastAsia="楷体_GB2312" w:hAnsi="宋体" w:hint="eastAsia"/>
          <w:bCs/>
          <w:sz w:val="24"/>
          <w:szCs w:val="24"/>
        </w:rPr>
        <w:t>戴</w:t>
      </w:r>
      <w:r>
        <w:rPr>
          <w:rFonts w:ascii="楷体_GB2312" w:eastAsia="楷体_GB2312" w:hAnsi="宋体" w:hint="eastAsia"/>
          <w:bCs/>
          <w:sz w:val="24"/>
          <w:szCs w:val="24"/>
        </w:rPr>
        <w:t xml:space="preserve"> </w:t>
      </w:r>
      <w:r w:rsidRPr="0025316F">
        <w:rPr>
          <w:rFonts w:ascii="楷体_GB2312" w:eastAsia="楷体_GB2312" w:hAnsi="宋体" w:hint="eastAsia"/>
          <w:bCs/>
          <w:sz w:val="24"/>
          <w:szCs w:val="24"/>
        </w:rPr>
        <w:t>澍</w:t>
      </w:r>
      <w:r>
        <w:rPr>
          <w:rFonts w:ascii="楷体_GB2312" w:eastAsia="楷体_GB2312" w:hAnsi="宋体" w:hint="eastAsia"/>
          <w:bCs/>
          <w:sz w:val="24"/>
          <w:szCs w:val="24"/>
          <w:vertAlign w:val="superscript"/>
        </w:rPr>
        <w:t>2</w:t>
      </w:r>
      <w:r>
        <w:rPr>
          <w:rFonts w:ascii="楷体_GB2312" w:eastAsia="楷体_GB2312" w:hAnsi="宋体" w:hint="eastAsia"/>
          <w:bCs/>
          <w:sz w:val="24"/>
          <w:szCs w:val="24"/>
        </w:rPr>
        <w:t>，</w:t>
      </w:r>
      <w:r w:rsidRPr="0025316F">
        <w:rPr>
          <w:rFonts w:ascii="楷体_GB2312" w:eastAsia="楷体_GB2312" w:hAnsi="宋体" w:hint="eastAsia"/>
          <w:bCs/>
          <w:sz w:val="24"/>
          <w:szCs w:val="24"/>
        </w:rPr>
        <w:t>李振宇</w:t>
      </w:r>
      <w:r>
        <w:rPr>
          <w:rFonts w:ascii="楷体_GB2312" w:eastAsia="楷体_GB2312" w:hAnsi="宋体" w:hint="eastAsia"/>
          <w:bCs/>
          <w:sz w:val="24"/>
          <w:szCs w:val="24"/>
          <w:vertAlign w:val="superscript"/>
        </w:rPr>
        <w:t>2</w:t>
      </w:r>
    </w:p>
    <w:p w14:paraId="30E6214E" w14:textId="77777777" w:rsidR="00C35939" w:rsidRPr="00D03243" w:rsidRDefault="00C35939" w:rsidP="006A26A5">
      <w:pPr>
        <w:ind w:firstLineChars="350" w:firstLine="525"/>
        <w:jc w:val="center"/>
        <w:rPr>
          <w:rFonts w:ascii="宋体" w:eastAsia="宋体" w:hAnsi="宋体"/>
          <w:sz w:val="15"/>
          <w:szCs w:val="15"/>
        </w:rPr>
      </w:pPr>
      <w:r w:rsidRPr="00C35939">
        <w:rPr>
          <w:rFonts w:ascii="Times New Roman" w:eastAsia="宋体" w:hAnsi="Times New Roman" w:hint="eastAsia"/>
          <w:sz w:val="15"/>
          <w:szCs w:val="15"/>
        </w:rPr>
        <w:t>（</w:t>
      </w:r>
      <w:r w:rsidRPr="00D03243">
        <w:rPr>
          <w:rFonts w:ascii="宋体" w:eastAsia="宋体" w:hAnsi="宋体"/>
          <w:sz w:val="15"/>
          <w:szCs w:val="15"/>
        </w:rPr>
        <w:t>1.武汉理工大学 光纤传感技术与网络国家工程研究中心，湖北 武汉 430070；</w:t>
      </w:r>
    </w:p>
    <w:p w14:paraId="07988767" w14:textId="77777777" w:rsidR="008F329A" w:rsidRPr="00540410" w:rsidRDefault="00C35939" w:rsidP="006A26A5">
      <w:pPr>
        <w:jc w:val="center"/>
        <w:rPr>
          <w:rFonts w:ascii="Times New Roman" w:eastAsia="宋体" w:hAnsi="Times New Roman"/>
          <w:sz w:val="15"/>
          <w:szCs w:val="15"/>
        </w:rPr>
      </w:pPr>
      <w:r w:rsidRPr="00D03243">
        <w:rPr>
          <w:rFonts w:ascii="宋体" w:eastAsia="宋体" w:hAnsi="宋体"/>
          <w:sz w:val="15"/>
          <w:szCs w:val="15"/>
        </w:rPr>
        <w:t>2.武汉理工大学 机电学院，湖北 武汉 430070</w:t>
      </w:r>
      <w:r w:rsidRPr="00C35939">
        <w:rPr>
          <w:rFonts w:ascii="Times New Roman" w:eastAsia="宋体" w:hAnsi="Times New Roman"/>
          <w:sz w:val="15"/>
          <w:szCs w:val="15"/>
        </w:rPr>
        <w:t>）</w:t>
      </w:r>
    </w:p>
    <w:p w14:paraId="018F3AA3" w14:textId="77777777" w:rsidR="008F329A" w:rsidRPr="00F31BA5" w:rsidRDefault="008F329A" w:rsidP="006A26A5">
      <w:pPr>
        <w:rPr>
          <w:rFonts w:ascii="Times New Roman" w:eastAsia="宋体" w:hAnsi="Times New Roman"/>
          <w:b/>
          <w:szCs w:val="21"/>
        </w:rPr>
      </w:pPr>
    </w:p>
    <w:p w14:paraId="6EC925E0" w14:textId="227BC12D" w:rsidR="008F329A" w:rsidRPr="00447727" w:rsidRDefault="008F329A" w:rsidP="006A26A5">
      <w:pPr>
        <w:rPr>
          <w:rFonts w:ascii="Times New Roman" w:eastAsia="宋体" w:hAnsi="Times New Roman"/>
          <w:sz w:val="18"/>
          <w:szCs w:val="18"/>
        </w:rPr>
      </w:pPr>
      <w:r w:rsidRPr="00447727">
        <w:rPr>
          <w:rFonts w:ascii="Times New Roman" w:eastAsia="宋体" w:hAnsi="Times New Roman"/>
          <w:b/>
          <w:sz w:val="18"/>
          <w:szCs w:val="18"/>
        </w:rPr>
        <w:t>摘要：</w:t>
      </w:r>
      <w:r w:rsidR="00C35939" w:rsidRPr="00C35939">
        <w:rPr>
          <w:rFonts w:ascii="Times New Roman" w:eastAsia="楷体" w:hAnsi="楷体_GB2312" w:hint="eastAsia"/>
          <w:sz w:val="18"/>
          <w:szCs w:val="21"/>
        </w:rPr>
        <w:t>为降低实芯光纤</w:t>
      </w:r>
      <w:r w:rsidR="00C35939" w:rsidRPr="00C35939">
        <w:rPr>
          <w:rFonts w:ascii="Times New Roman" w:eastAsia="楷体" w:hAnsi="Times New Roman"/>
          <w:sz w:val="18"/>
          <w:szCs w:val="21"/>
        </w:rPr>
        <w:t>（</w:t>
      </w:r>
      <w:r w:rsidR="00C35939" w:rsidRPr="00C35939">
        <w:rPr>
          <w:rFonts w:ascii="Times New Roman" w:eastAsia="楷体" w:hAnsi="Times New Roman"/>
          <w:sz w:val="18"/>
        </w:rPr>
        <w:t>SCF</w:t>
      </w:r>
      <w:r w:rsidR="00C35939" w:rsidRPr="00C35939">
        <w:rPr>
          <w:rFonts w:ascii="Times New Roman" w:eastAsia="楷体" w:hAnsi="Times New Roman"/>
          <w:sz w:val="18"/>
          <w:szCs w:val="21"/>
        </w:rPr>
        <w:t>）</w:t>
      </w:r>
      <w:r w:rsidR="00C35939" w:rsidRPr="00C35939">
        <w:rPr>
          <w:rFonts w:ascii="Times New Roman" w:eastAsia="楷体" w:hAnsi="楷体_GB2312" w:hint="eastAsia"/>
          <w:sz w:val="18"/>
          <w:szCs w:val="21"/>
        </w:rPr>
        <w:t>与空芯光纤（</w:t>
      </w:r>
      <w:r w:rsidR="00C35939" w:rsidRPr="00C35939">
        <w:rPr>
          <w:rFonts w:ascii="Times New Roman" w:eastAsia="楷体" w:hAnsi="Times New Roman"/>
          <w:sz w:val="18"/>
        </w:rPr>
        <w:t>HCF</w:t>
      </w:r>
      <w:r w:rsidR="00C35939" w:rsidRPr="00C35939">
        <w:rPr>
          <w:rFonts w:ascii="Times New Roman" w:eastAsia="楷体" w:hAnsi="楷体_GB2312" w:hint="eastAsia"/>
          <w:sz w:val="18"/>
          <w:szCs w:val="21"/>
        </w:rPr>
        <w:t>）互连中模场失配和相位不同步</w:t>
      </w:r>
      <w:r w:rsidR="00C0524D">
        <w:rPr>
          <w:rFonts w:ascii="Times New Roman" w:eastAsia="楷体" w:hAnsi="楷体_GB2312" w:hint="eastAsia"/>
          <w:sz w:val="18"/>
          <w:szCs w:val="21"/>
        </w:rPr>
        <w:t>导致</w:t>
      </w:r>
      <w:r w:rsidR="00C35939" w:rsidRPr="00C35939">
        <w:rPr>
          <w:rFonts w:ascii="Times New Roman" w:eastAsia="楷体" w:hAnsi="楷体_GB2312" w:hint="eastAsia"/>
          <w:sz w:val="18"/>
          <w:szCs w:val="21"/>
        </w:rPr>
        <w:t>的耦合损耗，提出</w:t>
      </w:r>
      <w:r w:rsidR="00C35939" w:rsidRPr="00872A3F">
        <w:rPr>
          <w:rFonts w:ascii="Times New Roman" w:eastAsia="楷体" w:hAnsi="楷体_GB2312" w:hint="eastAsia"/>
          <w:color w:val="FF0000"/>
          <w:sz w:val="18"/>
          <w:szCs w:val="21"/>
        </w:rPr>
        <w:t>S</w:t>
      </w:r>
      <w:r w:rsidR="00C35939" w:rsidRPr="00872A3F">
        <w:rPr>
          <w:rFonts w:ascii="Times New Roman" w:eastAsia="楷体" w:hAnsi="楷体_GB2312"/>
          <w:color w:val="FF0000"/>
          <w:sz w:val="18"/>
          <w:szCs w:val="21"/>
        </w:rPr>
        <w:t>CF</w:t>
      </w:r>
      <w:r w:rsidR="00C35939" w:rsidRPr="00872A3F">
        <w:rPr>
          <w:rFonts w:ascii="Times New Roman" w:eastAsia="楷体" w:hAnsi="Times New Roman"/>
          <w:color w:val="FF0000"/>
          <w:sz w:val="18"/>
          <w:szCs w:val="21"/>
          <w:lang w:val="de-DE"/>
        </w:rPr>
        <w:t>–</w:t>
      </w:r>
      <w:r w:rsidR="00C35939" w:rsidRPr="00872A3F">
        <w:rPr>
          <w:rFonts w:ascii="Times New Roman" w:eastAsia="楷体" w:hAnsi="楷体_GB2312" w:hint="eastAsia"/>
          <w:color w:val="FF0000"/>
          <w:sz w:val="18"/>
          <w:szCs w:val="21"/>
        </w:rPr>
        <w:t>渐变折射率光纤</w:t>
      </w:r>
      <w:r w:rsidR="00C35939" w:rsidRPr="00872A3F">
        <w:rPr>
          <w:rFonts w:ascii="Times New Roman" w:eastAsia="楷体" w:hAnsi="Times New Roman"/>
          <w:color w:val="FF0000"/>
          <w:sz w:val="18"/>
          <w:szCs w:val="21"/>
          <w:lang w:val="de-DE"/>
        </w:rPr>
        <w:t>–</w:t>
      </w:r>
      <w:r w:rsidR="00C35939" w:rsidRPr="00872A3F">
        <w:rPr>
          <w:rFonts w:ascii="Times New Roman" w:eastAsia="楷体" w:hAnsi="楷体_GB2312" w:hint="eastAsia"/>
          <w:color w:val="FF0000"/>
          <w:sz w:val="18"/>
          <w:szCs w:val="21"/>
        </w:rPr>
        <w:t>嵌套反谐振无节点光纤</w:t>
      </w:r>
      <w:r w:rsidR="00C35939" w:rsidRPr="00872A3F">
        <w:rPr>
          <w:rFonts w:ascii="Times New Roman" w:eastAsia="楷体" w:hAnsi="Times New Roman"/>
          <w:color w:val="FF0000"/>
          <w:sz w:val="18"/>
          <w:szCs w:val="21"/>
        </w:rPr>
        <w:t>（</w:t>
      </w:r>
      <w:r w:rsidR="00C35939" w:rsidRPr="00872A3F">
        <w:rPr>
          <w:rFonts w:ascii="Times New Roman" w:eastAsia="楷体" w:hAnsi="Times New Roman"/>
          <w:color w:val="FF0000"/>
          <w:sz w:val="18"/>
        </w:rPr>
        <w:t>NANF</w:t>
      </w:r>
      <w:r w:rsidR="00C35939" w:rsidRPr="00872A3F">
        <w:rPr>
          <w:rFonts w:ascii="Times New Roman" w:eastAsia="楷体" w:hAnsi="Times New Roman"/>
          <w:color w:val="FF0000"/>
          <w:sz w:val="18"/>
          <w:szCs w:val="21"/>
        </w:rPr>
        <w:t>）</w:t>
      </w:r>
      <w:r w:rsidR="00C35939" w:rsidRPr="00872A3F">
        <w:rPr>
          <w:rFonts w:ascii="Times New Roman" w:eastAsia="楷体" w:hAnsi="Times New Roman" w:hint="eastAsia"/>
          <w:color w:val="FF0000"/>
          <w:sz w:val="18"/>
          <w:szCs w:val="21"/>
        </w:rPr>
        <w:t>结构</w:t>
      </w:r>
      <w:r w:rsidR="00C35939" w:rsidRPr="00C35939">
        <w:rPr>
          <w:rFonts w:ascii="Times New Roman" w:eastAsia="楷体" w:hAnsi="Times New Roman" w:hint="eastAsia"/>
          <w:sz w:val="18"/>
          <w:szCs w:val="21"/>
        </w:rPr>
        <w:t>，</w:t>
      </w:r>
      <w:r w:rsidR="00C0524D">
        <w:rPr>
          <w:rFonts w:ascii="Times New Roman" w:eastAsia="楷体" w:hAnsi="Times New Roman" w:hint="eastAsia"/>
          <w:sz w:val="18"/>
          <w:szCs w:val="21"/>
        </w:rPr>
        <w:t>并</w:t>
      </w:r>
      <w:r w:rsidR="00C35939" w:rsidRPr="00C35939">
        <w:rPr>
          <w:rFonts w:ascii="Times New Roman" w:eastAsia="楷体" w:hAnsi="Times New Roman" w:hint="eastAsia"/>
          <w:sz w:val="18"/>
          <w:szCs w:val="21"/>
        </w:rPr>
        <w:t>对耦合端</w:t>
      </w:r>
      <w:r w:rsidR="00C35939" w:rsidRPr="00C35939">
        <w:rPr>
          <w:rFonts w:ascii="Times New Roman" w:eastAsia="楷体" w:hAnsi="Times New Roman" w:hint="eastAsia"/>
          <w:sz w:val="18"/>
          <w:szCs w:val="21"/>
        </w:rPr>
        <w:t>N</w:t>
      </w:r>
      <w:r w:rsidR="00C35939" w:rsidRPr="00C35939">
        <w:rPr>
          <w:rFonts w:ascii="Times New Roman" w:eastAsia="楷体" w:hAnsi="Times New Roman"/>
          <w:sz w:val="18"/>
          <w:szCs w:val="21"/>
        </w:rPr>
        <w:t>ANF</w:t>
      </w:r>
      <w:r w:rsidR="00C35939" w:rsidRPr="00C35939">
        <w:rPr>
          <w:rFonts w:ascii="Times New Roman" w:eastAsia="楷体" w:hAnsi="Times New Roman" w:hint="eastAsia"/>
          <w:sz w:val="18"/>
          <w:szCs w:val="21"/>
        </w:rPr>
        <w:t>几何参数定向优化</w:t>
      </w:r>
      <w:r w:rsidR="00C35939" w:rsidRPr="00C35939">
        <w:rPr>
          <w:rFonts w:ascii="Times New Roman" w:eastAsia="楷体" w:hAnsi="楷体_GB2312" w:hint="eastAsia"/>
          <w:sz w:val="18"/>
          <w:szCs w:val="21"/>
        </w:rPr>
        <w:t>，实现</w:t>
      </w:r>
      <w:r w:rsidR="00C35939" w:rsidRPr="00872A3F">
        <w:rPr>
          <w:rFonts w:ascii="Times New Roman" w:eastAsia="楷体" w:hAnsi="楷体_GB2312" w:hint="eastAsia"/>
          <w:color w:val="FF0000"/>
          <w:sz w:val="18"/>
          <w:szCs w:val="21"/>
        </w:rPr>
        <w:t>与</w:t>
      </w:r>
      <w:r w:rsidR="00C35939" w:rsidRPr="00C35939">
        <w:rPr>
          <w:rFonts w:ascii="Times New Roman" w:eastAsia="楷体" w:hAnsi="楷体_GB2312" w:hint="eastAsia"/>
          <w:sz w:val="18"/>
          <w:szCs w:val="21"/>
        </w:rPr>
        <w:t>S</w:t>
      </w:r>
      <w:r w:rsidR="00C35939" w:rsidRPr="00C35939">
        <w:rPr>
          <w:rFonts w:ascii="Times New Roman" w:eastAsia="楷体" w:hAnsi="楷体_GB2312"/>
          <w:sz w:val="18"/>
          <w:szCs w:val="21"/>
        </w:rPr>
        <w:t>CF</w:t>
      </w:r>
      <w:r w:rsidR="00C35939" w:rsidRPr="00C35939">
        <w:rPr>
          <w:rFonts w:ascii="Times New Roman" w:eastAsia="楷体" w:hAnsi="楷体_GB2312" w:hint="eastAsia"/>
          <w:sz w:val="18"/>
          <w:szCs w:val="21"/>
        </w:rPr>
        <w:t>基模场形</w:t>
      </w:r>
      <w:r w:rsidR="00C0524D" w:rsidRPr="00872A3F">
        <w:rPr>
          <w:rFonts w:ascii="Times New Roman" w:eastAsia="楷体" w:hAnsi="楷体_GB2312" w:hint="eastAsia"/>
          <w:color w:val="FF0000"/>
          <w:sz w:val="18"/>
          <w:szCs w:val="21"/>
        </w:rPr>
        <w:t>与</w:t>
      </w:r>
      <w:r w:rsidR="00C35939" w:rsidRPr="00C35939">
        <w:rPr>
          <w:rFonts w:ascii="Times New Roman" w:eastAsia="楷体" w:hAnsi="楷体_GB2312" w:hint="eastAsia"/>
          <w:sz w:val="18"/>
          <w:szCs w:val="21"/>
        </w:rPr>
        <w:t>相位同步</w:t>
      </w:r>
      <w:r w:rsidR="00C0524D">
        <w:rPr>
          <w:rFonts w:ascii="Times New Roman" w:eastAsia="楷体" w:hAnsi="楷体_GB2312" w:hint="eastAsia"/>
          <w:sz w:val="18"/>
          <w:szCs w:val="21"/>
        </w:rPr>
        <w:t>匹配且保持</w:t>
      </w:r>
      <w:r w:rsidR="00C35939" w:rsidRPr="00C35939">
        <w:rPr>
          <w:rFonts w:ascii="Times New Roman" w:eastAsia="楷体" w:hAnsi="楷体_GB2312" w:hint="eastAsia"/>
          <w:sz w:val="18"/>
          <w:szCs w:val="21"/>
        </w:rPr>
        <w:t>单模传输。基于有限元</w:t>
      </w:r>
      <w:r w:rsidR="00C0524D">
        <w:rPr>
          <w:rFonts w:ascii="Times New Roman" w:eastAsia="楷体" w:hAnsi="楷体_GB2312" w:hint="eastAsia"/>
          <w:sz w:val="18"/>
          <w:szCs w:val="21"/>
        </w:rPr>
        <w:t>分析</w:t>
      </w:r>
      <w:r w:rsidR="00C35939" w:rsidRPr="00C35939">
        <w:rPr>
          <w:rFonts w:ascii="Times New Roman" w:eastAsia="楷体" w:hAnsi="楷体_GB2312" w:hint="eastAsia"/>
          <w:sz w:val="18"/>
          <w:szCs w:val="21"/>
        </w:rPr>
        <w:t>包层管数</w:t>
      </w:r>
      <w:r w:rsidR="00C35939" w:rsidRPr="00C35939">
        <w:rPr>
          <w:rFonts w:ascii="Times New Roman" w:eastAsia="楷体" w:hAnsi="楷体_GB2312" w:hint="eastAsia"/>
          <w:i/>
          <w:iCs/>
          <w:sz w:val="18"/>
          <w:szCs w:val="21"/>
        </w:rPr>
        <w:t>N</w:t>
      </w:r>
      <w:r w:rsidR="00C35939" w:rsidRPr="00C35939">
        <w:rPr>
          <w:rFonts w:ascii="Times New Roman" w:eastAsia="楷体" w:hAnsi="楷体_GB2312" w:hint="eastAsia"/>
          <w:sz w:val="18"/>
          <w:szCs w:val="21"/>
        </w:rPr>
        <w:t>、管间隙</w:t>
      </w:r>
      <w:r w:rsidR="00C35939" w:rsidRPr="00C35939">
        <w:rPr>
          <w:rFonts w:ascii="Times New Roman" w:eastAsia="楷体" w:hAnsi="楷体_GB2312" w:hint="eastAsia"/>
          <w:i/>
          <w:iCs/>
          <w:sz w:val="18"/>
          <w:szCs w:val="21"/>
        </w:rPr>
        <w:t>d</w:t>
      </w:r>
      <w:r w:rsidR="00C35939" w:rsidRPr="00C35939">
        <w:rPr>
          <w:rFonts w:ascii="Times New Roman" w:eastAsia="楷体" w:hAnsi="楷体_GB2312" w:hint="eastAsia"/>
          <w:sz w:val="18"/>
          <w:szCs w:val="21"/>
        </w:rPr>
        <w:t>及管径比</w:t>
      </w:r>
      <w:r w:rsidR="00C35939" w:rsidRPr="00C35939">
        <w:rPr>
          <w:rFonts w:ascii="Times New Roman" w:eastAsia="楷体" w:hAnsi="楷体_GB2312" w:hint="eastAsia"/>
          <w:i/>
          <w:iCs/>
          <w:sz w:val="18"/>
          <w:szCs w:val="21"/>
        </w:rPr>
        <w:t>D</w:t>
      </w:r>
      <w:r w:rsidR="00C35939" w:rsidRPr="00C35939">
        <w:rPr>
          <w:rFonts w:ascii="Times New Roman" w:eastAsia="楷体" w:hAnsi="楷体_GB2312" w:hint="eastAsia"/>
          <w:i/>
          <w:iCs/>
          <w:sz w:val="18"/>
          <w:szCs w:val="21"/>
          <w:vertAlign w:val="subscript"/>
        </w:rPr>
        <w:t>1</w:t>
      </w:r>
      <w:r w:rsidR="00C35939" w:rsidRPr="00C35939">
        <w:rPr>
          <w:rFonts w:ascii="Times New Roman" w:eastAsia="楷体" w:hAnsi="楷体_GB2312" w:hint="eastAsia"/>
          <w:i/>
          <w:iCs/>
          <w:sz w:val="18"/>
          <w:szCs w:val="21"/>
        </w:rPr>
        <w:t>/D</w:t>
      </w:r>
      <w:r w:rsidR="00C35939" w:rsidRPr="00C35939">
        <w:rPr>
          <w:rFonts w:ascii="Times New Roman" w:eastAsia="楷体" w:hAnsi="楷体_GB2312" w:hint="eastAsia"/>
          <w:sz w:val="18"/>
          <w:szCs w:val="21"/>
        </w:rPr>
        <w:t>对模式</w:t>
      </w:r>
      <w:r w:rsidR="009B6F09">
        <w:rPr>
          <w:rFonts w:ascii="Times New Roman" w:eastAsia="楷体" w:hAnsi="楷体_GB2312" w:hint="eastAsia"/>
          <w:sz w:val="18"/>
          <w:szCs w:val="21"/>
        </w:rPr>
        <w:t>特性</w:t>
      </w:r>
      <w:r w:rsidR="00C35939" w:rsidRPr="00C35939">
        <w:rPr>
          <w:rFonts w:ascii="Times New Roman" w:eastAsia="楷体" w:hAnsi="楷体_GB2312" w:hint="eastAsia"/>
          <w:sz w:val="18"/>
          <w:szCs w:val="21"/>
        </w:rPr>
        <w:t>的影响。结果表明：</w:t>
      </w:r>
      <w:r w:rsidR="00C35939" w:rsidRPr="00C35939">
        <w:rPr>
          <w:rFonts w:ascii="Times New Roman" w:eastAsia="楷体" w:hAnsi="楷体_GB2312" w:hint="eastAsia"/>
          <w:i/>
          <w:iCs/>
          <w:sz w:val="18"/>
          <w:szCs w:val="21"/>
        </w:rPr>
        <w:t>N</w:t>
      </w:r>
      <w:r w:rsidR="00C35939" w:rsidRPr="00C35939">
        <w:rPr>
          <w:rFonts w:ascii="Times New Roman" w:eastAsia="楷体" w:hAnsi="楷体_GB2312" w:hint="eastAsia"/>
          <w:sz w:val="18"/>
          <w:szCs w:val="21"/>
        </w:rPr>
        <w:t>=7</w:t>
      </w:r>
      <w:r w:rsidR="00C35939" w:rsidRPr="00C35939">
        <w:rPr>
          <w:rFonts w:ascii="Times New Roman" w:eastAsia="楷体" w:hAnsi="楷体_GB2312" w:hint="eastAsia"/>
          <w:sz w:val="18"/>
          <w:szCs w:val="21"/>
        </w:rPr>
        <w:t>、</w:t>
      </w:r>
      <w:r w:rsidR="00C35939" w:rsidRPr="00C35939">
        <w:rPr>
          <w:rFonts w:ascii="Times New Roman" w:eastAsia="楷体" w:hAnsi="楷体_GB2312" w:hint="eastAsia"/>
          <w:i/>
          <w:iCs/>
          <w:sz w:val="18"/>
          <w:szCs w:val="21"/>
        </w:rPr>
        <w:t>D</w:t>
      </w:r>
      <w:r w:rsidR="00C35939" w:rsidRPr="00C35939">
        <w:rPr>
          <w:rFonts w:ascii="Times New Roman" w:eastAsia="楷体" w:hAnsi="楷体_GB2312" w:hint="eastAsia"/>
          <w:i/>
          <w:iCs/>
          <w:sz w:val="18"/>
          <w:szCs w:val="21"/>
          <w:vertAlign w:val="subscript"/>
        </w:rPr>
        <w:t>1</w:t>
      </w:r>
      <w:r w:rsidR="00C35939" w:rsidRPr="00C35939">
        <w:rPr>
          <w:rFonts w:ascii="Times New Roman" w:eastAsia="楷体" w:hAnsi="楷体_GB2312" w:hint="eastAsia"/>
          <w:i/>
          <w:iCs/>
          <w:sz w:val="18"/>
          <w:szCs w:val="21"/>
        </w:rPr>
        <w:t>/D</w:t>
      </w:r>
      <w:r w:rsidR="00C35939" w:rsidRPr="00C35939">
        <w:rPr>
          <w:rFonts w:ascii="Times New Roman" w:eastAsia="楷体" w:hAnsi="楷体_GB2312" w:hint="eastAsia"/>
          <w:sz w:val="18"/>
          <w:szCs w:val="21"/>
        </w:rPr>
        <w:t>=0.9</w:t>
      </w:r>
      <w:r w:rsidR="00C35939" w:rsidRPr="00C35939">
        <w:rPr>
          <w:rFonts w:ascii="Times New Roman" w:eastAsia="楷体" w:hAnsi="楷体_GB2312" w:hint="eastAsia"/>
          <w:sz w:val="18"/>
          <w:szCs w:val="21"/>
        </w:rPr>
        <w:t>、</w:t>
      </w:r>
      <w:r w:rsidR="00C35939" w:rsidRPr="00C35939">
        <w:rPr>
          <w:rFonts w:ascii="Times New Roman" w:eastAsia="楷体" w:hAnsi="楷体_GB2312" w:hint="eastAsia"/>
          <w:i/>
          <w:iCs/>
          <w:sz w:val="18"/>
          <w:szCs w:val="21"/>
        </w:rPr>
        <w:t>d</w:t>
      </w:r>
      <w:r w:rsidR="00C35939" w:rsidRPr="00C35939">
        <w:rPr>
          <w:rFonts w:ascii="Times New Roman" w:eastAsia="楷体" w:hAnsi="楷体_GB2312" w:hint="eastAsia"/>
          <w:sz w:val="18"/>
          <w:szCs w:val="21"/>
        </w:rPr>
        <w:t xml:space="preserve">=0.9 </w:t>
      </w:r>
      <w:r w:rsidR="00C35939" w:rsidRPr="00C35939">
        <w:rPr>
          <w:rFonts w:ascii="Times New Roman" w:eastAsia="楷体" w:hAnsi="Times New Roman"/>
          <w:sz w:val="18"/>
          <w:szCs w:val="21"/>
        </w:rPr>
        <w:t>μm</w:t>
      </w:r>
      <w:r w:rsidR="00C35939" w:rsidRPr="00C35939">
        <w:rPr>
          <w:rFonts w:ascii="Times New Roman" w:eastAsia="楷体" w:hAnsi="楷体_GB2312" w:hint="eastAsia"/>
          <w:sz w:val="18"/>
          <w:szCs w:val="21"/>
        </w:rPr>
        <w:t>时，耦合损耗从</w:t>
      </w:r>
      <w:r w:rsidR="00C35939" w:rsidRPr="00C35939">
        <w:rPr>
          <w:rFonts w:ascii="Times New Roman" w:eastAsia="楷体" w:hAnsi="楷体_GB2312" w:hint="eastAsia"/>
          <w:sz w:val="18"/>
          <w:szCs w:val="21"/>
        </w:rPr>
        <w:t>0.116 dB</w:t>
      </w:r>
      <w:r w:rsidR="00C35939" w:rsidRPr="00C35939">
        <w:rPr>
          <w:rFonts w:ascii="Times New Roman" w:eastAsia="楷体" w:hAnsi="楷体_GB2312" w:hint="eastAsia"/>
          <w:sz w:val="18"/>
          <w:szCs w:val="21"/>
        </w:rPr>
        <w:t>降至</w:t>
      </w:r>
      <w:r w:rsidR="00C35939" w:rsidRPr="00C35939">
        <w:rPr>
          <w:rFonts w:ascii="Times New Roman" w:eastAsia="楷体" w:hAnsi="楷体_GB2312" w:hint="eastAsia"/>
          <w:sz w:val="18"/>
          <w:szCs w:val="21"/>
        </w:rPr>
        <w:t>0.069 dB</w:t>
      </w:r>
      <w:r w:rsidR="00C35939" w:rsidRPr="00C35939">
        <w:rPr>
          <w:rFonts w:ascii="Times New Roman" w:eastAsia="楷体" w:hAnsi="楷体_GB2312" w:hint="eastAsia"/>
          <w:sz w:val="18"/>
          <w:szCs w:val="21"/>
        </w:rPr>
        <w:t>，</w:t>
      </w:r>
      <w:r w:rsidR="009B6F09">
        <w:rPr>
          <w:rFonts w:ascii="Times New Roman" w:eastAsia="楷体" w:hAnsi="楷体_GB2312" w:hint="eastAsia"/>
          <w:sz w:val="18"/>
          <w:szCs w:val="21"/>
        </w:rPr>
        <w:t>高阶模</w:t>
      </w:r>
      <w:r w:rsidR="00C35939" w:rsidRPr="00C35939">
        <w:rPr>
          <w:rFonts w:ascii="Times New Roman" w:eastAsia="楷体" w:hAnsi="楷体_GB2312" w:hint="eastAsia"/>
          <w:sz w:val="18"/>
          <w:szCs w:val="21"/>
        </w:rPr>
        <w:t>抑制比</w:t>
      </w:r>
      <w:r w:rsidR="00C35939" w:rsidRPr="00C35939">
        <w:rPr>
          <w:rFonts w:ascii="Times New Roman" w:eastAsia="楷体" w:hAnsi="楷体_GB2312" w:hint="eastAsia"/>
          <w:i/>
          <w:iCs/>
          <w:sz w:val="18"/>
          <w:szCs w:val="21"/>
        </w:rPr>
        <w:t>R</w:t>
      </w:r>
      <w:r w:rsidR="00C35939" w:rsidRPr="00C35939">
        <w:rPr>
          <w:rFonts w:ascii="Times New Roman" w:eastAsia="楷体" w:hAnsi="楷体_GB2312" w:hint="eastAsia"/>
          <w:sz w:val="18"/>
          <w:szCs w:val="21"/>
        </w:rPr>
        <w:t>&gt;250</w:t>
      </w:r>
      <w:r w:rsidR="00C35939" w:rsidRPr="00C35939">
        <w:rPr>
          <w:rFonts w:ascii="Times New Roman" w:eastAsia="楷体" w:hAnsi="楷体_GB2312" w:hint="eastAsia"/>
          <w:sz w:val="18"/>
          <w:szCs w:val="21"/>
        </w:rPr>
        <w:t>；在</w:t>
      </w:r>
      <w:r w:rsidR="00C35939" w:rsidRPr="00C35939">
        <w:rPr>
          <w:rFonts w:ascii="Times New Roman" w:eastAsia="楷体" w:hAnsi="楷体_GB2312" w:hint="eastAsia"/>
          <w:i/>
          <w:iCs/>
          <w:sz w:val="18"/>
          <w:szCs w:val="21"/>
        </w:rPr>
        <w:t>d</w:t>
      </w:r>
      <w:r w:rsidR="00C35939" w:rsidRPr="00C35939">
        <w:rPr>
          <w:rFonts w:ascii="Times New Roman" w:eastAsia="楷体" w:hAnsi="楷体_GB2312" w:hint="eastAsia"/>
          <w:sz w:val="18"/>
          <w:szCs w:val="21"/>
        </w:rPr>
        <w:t>=0.5</w:t>
      </w:r>
      <w:r w:rsidR="00C35939" w:rsidRPr="00C35939">
        <w:rPr>
          <w:rFonts w:ascii="Times New Roman" w:eastAsia="楷体" w:hAnsi="楷体_GB2312"/>
          <w:sz w:val="18"/>
          <w:szCs w:val="21"/>
        </w:rPr>
        <w:t>~</w:t>
      </w:r>
      <w:r w:rsidR="00C35939" w:rsidRPr="00C35939">
        <w:rPr>
          <w:rFonts w:ascii="Times New Roman" w:eastAsia="楷体" w:hAnsi="楷体_GB2312" w:hint="eastAsia"/>
          <w:sz w:val="18"/>
          <w:szCs w:val="21"/>
        </w:rPr>
        <w:t>1.5</w:t>
      </w:r>
      <w:r w:rsidR="00C35939" w:rsidRPr="00C35939">
        <w:rPr>
          <w:rFonts w:ascii="Times New Roman" w:eastAsia="楷体" w:hAnsi="楷体_GB2312"/>
          <w:sz w:val="18"/>
          <w:szCs w:val="21"/>
        </w:rPr>
        <w:t xml:space="preserve"> </w:t>
      </w:r>
      <w:r w:rsidR="00C35939" w:rsidRPr="00C35939">
        <w:rPr>
          <w:rFonts w:ascii="Times New Roman" w:eastAsia="楷体" w:hAnsi="Times New Roman"/>
          <w:sz w:val="18"/>
          <w:szCs w:val="21"/>
        </w:rPr>
        <w:t>μm</w:t>
      </w:r>
      <w:r w:rsidR="00C35939" w:rsidRPr="00C35939">
        <w:rPr>
          <w:rFonts w:ascii="Times New Roman" w:eastAsia="楷体" w:hAnsi="楷体_GB2312" w:hint="eastAsia"/>
          <w:sz w:val="18"/>
          <w:szCs w:val="21"/>
        </w:rPr>
        <w:t>范围内仍保持</w:t>
      </w:r>
      <w:r w:rsidR="00C35939" w:rsidRPr="00C35939">
        <w:rPr>
          <w:rFonts w:ascii="Times New Roman" w:eastAsia="楷体" w:hAnsi="楷体_GB2312" w:hint="eastAsia"/>
          <w:i/>
          <w:iCs/>
          <w:sz w:val="18"/>
          <w:szCs w:val="21"/>
        </w:rPr>
        <w:t>R</w:t>
      </w:r>
      <w:r w:rsidR="00C35939" w:rsidRPr="00C35939">
        <w:rPr>
          <w:rFonts w:ascii="Times New Roman" w:eastAsia="楷体" w:hAnsi="楷体_GB2312" w:hint="eastAsia"/>
          <w:sz w:val="18"/>
          <w:szCs w:val="21"/>
        </w:rPr>
        <w:t>&gt;50</w:t>
      </w:r>
      <w:r w:rsidR="00C35939" w:rsidRPr="00C35939">
        <w:rPr>
          <w:rFonts w:ascii="Times New Roman" w:eastAsia="楷体" w:hAnsi="楷体_GB2312" w:hint="eastAsia"/>
          <w:sz w:val="18"/>
          <w:szCs w:val="21"/>
        </w:rPr>
        <w:t>。结果在保证光束质量的前提下，为高功率</w:t>
      </w:r>
      <w:r w:rsidR="00C35939" w:rsidRPr="00C35939">
        <w:rPr>
          <w:rFonts w:ascii="Times New Roman" w:eastAsia="楷体" w:hAnsi="楷体_GB2312" w:hint="eastAsia"/>
          <w:sz w:val="18"/>
          <w:szCs w:val="21"/>
        </w:rPr>
        <w:t>S</w:t>
      </w:r>
      <w:r w:rsidR="00C35939" w:rsidRPr="00C35939">
        <w:rPr>
          <w:rFonts w:ascii="Times New Roman" w:eastAsia="楷体" w:hAnsi="楷体_GB2312"/>
          <w:sz w:val="18"/>
          <w:szCs w:val="21"/>
        </w:rPr>
        <w:t>CF</w:t>
      </w:r>
      <w:r w:rsidR="00C35939" w:rsidRPr="00C35939">
        <w:rPr>
          <w:rFonts w:ascii="Times New Roman" w:eastAsia="楷体" w:hAnsi="Times New Roman"/>
          <w:sz w:val="18"/>
          <w:szCs w:val="21"/>
          <w:lang w:val="de-DE"/>
        </w:rPr>
        <w:t>–</w:t>
      </w:r>
      <w:r w:rsidR="00C35939" w:rsidRPr="00C35939">
        <w:rPr>
          <w:rFonts w:ascii="Times New Roman" w:eastAsia="楷体" w:hAnsi="楷体_GB2312" w:hint="eastAsia"/>
          <w:sz w:val="18"/>
          <w:szCs w:val="21"/>
        </w:rPr>
        <w:t>H</w:t>
      </w:r>
      <w:r w:rsidR="00C35939" w:rsidRPr="00C35939">
        <w:rPr>
          <w:rFonts w:ascii="Times New Roman" w:eastAsia="楷体" w:hAnsi="楷体_GB2312"/>
          <w:sz w:val="18"/>
          <w:szCs w:val="21"/>
        </w:rPr>
        <w:t>CF</w:t>
      </w:r>
      <w:r w:rsidR="00C35939" w:rsidRPr="00C35939">
        <w:rPr>
          <w:rFonts w:ascii="Times New Roman" w:eastAsia="楷体" w:hAnsi="楷体_GB2312" w:hint="eastAsia"/>
          <w:sz w:val="18"/>
          <w:szCs w:val="21"/>
        </w:rPr>
        <w:t>激光传输系统提供了低损耗互连新方案。</w:t>
      </w:r>
    </w:p>
    <w:p w14:paraId="35BEF817" w14:textId="77777777" w:rsidR="008F329A" w:rsidRPr="00447727" w:rsidRDefault="008F329A" w:rsidP="006A26A5">
      <w:pPr>
        <w:rPr>
          <w:rFonts w:ascii="Times New Roman" w:eastAsia="宋体" w:hAnsi="Times New Roman"/>
          <w:sz w:val="18"/>
          <w:szCs w:val="18"/>
        </w:rPr>
      </w:pPr>
      <w:r w:rsidRPr="00447727">
        <w:rPr>
          <w:rFonts w:ascii="Times New Roman" w:eastAsia="宋体" w:hAnsi="Times New Roman"/>
          <w:b/>
          <w:sz w:val="18"/>
          <w:szCs w:val="18"/>
        </w:rPr>
        <w:t>关键词：</w:t>
      </w:r>
      <w:r w:rsidR="00C35939" w:rsidRPr="00C35939">
        <w:rPr>
          <w:rFonts w:ascii="楷体_GB2312" w:eastAsia="楷体_GB2312" w:hAnsi="Times New Roman" w:hint="eastAsia"/>
          <w:sz w:val="18"/>
          <w:szCs w:val="18"/>
        </w:rPr>
        <w:t>耦合损耗；模场适配；有限元分析；空芯光纤；单模特性</w:t>
      </w:r>
    </w:p>
    <w:p w14:paraId="7A405727" w14:textId="77777777" w:rsidR="008F329A" w:rsidRPr="00447727" w:rsidRDefault="00A85D81" w:rsidP="006A26A5">
      <w:pPr>
        <w:rPr>
          <w:rFonts w:ascii="Times New Roman" w:eastAsia="宋体" w:hAnsi="Times New Roman"/>
          <w:sz w:val="18"/>
          <w:szCs w:val="18"/>
        </w:rPr>
      </w:pPr>
      <w:r w:rsidRPr="00447727">
        <w:rPr>
          <w:rFonts w:hint="eastAsia"/>
          <w:b/>
          <w:color w:val="000000"/>
          <w:sz w:val="18"/>
          <w:szCs w:val="18"/>
        </w:rPr>
        <w:t>中图分类号：</w:t>
      </w:r>
      <w:r w:rsidRPr="00447727">
        <w:rPr>
          <w:color w:val="000000"/>
          <w:sz w:val="18"/>
          <w:szCs w:val="18"/>
        </w:rPr>
        <w:t>TN25</w:t>
      </w:r>
      <w:r w:rsidR="00C35939">
        <w:rPr>
          <w:color w:val="000000"/>
          <w:sz w:val="18"/>
          <w:szCs w:val="18"/>
        </w:rPr>
        <w:t>3</w:t>
      </w:r>
      <w:r w:rsidRPr="00447727">
        <w:rPr>
          <w:color w:val="000000"/>
          <w:sz w:val="18"/>
          <w:szCs w:val="18"/>
        </w:rPr>
        <w:t xml:space="preserve"> </w:t>
      </w:r>
      <w:r w:rsidRPr="00447727">
        <w:rPr>
          <w:rFonts w:hint="eastAsia"/>
          <w:color w:val="000000"/>
          <w:sz w:val="18"/>
          <w:szCs w:val="18"/>
        </w:rPr>
        <w:t xml:space="preserve">   文献标识码</w:t>
      </w:r>
      <w:r w:rsidRPr="00447727">
        <w:rPr>
          <w:color w:val="000000"/>
          <w:sz w:val="18"/>
          <w:szCs w:val="18"/>
        </w:rPr>
        <w:t xml:space="preserve">: A        </w:t>
      </w:r>
    </w:p>
    <w:p w14:paraId="115C7A57" w14:textId="77777777" w:rsidR="00A85D81" w:rsidRDefault="00A85D81" w:rsidP="006A26A5">
      <w:pPr>
        <w:adjustRightInd w:val="0"/>
        <w:snapToGrid w:val="0"/>
        <w:contextualSpacing/>
        <w:jc w:val="center"/>
        <w:rPr>
          <w:rFonts w:ascii="Times New Roman" w:eastAsia="宋体" w:hAnsi="Times New Roman"/>
          <w:b/>
          <w:szCs w:val="21"/>
        </w:rPr>
      </w:pPr>
    </w:p>
    <w:p w14:paraId="23CE2929" w14:textId="77777777" w:rsidR="008F329A" w:rsidRPr="00C35939" w:rsidRDefault="00C35939" w:rsidP="006A26A5">
      <w:pPr>
        <w:adjustRightInd w:val="0"/>
        <w:snapToGrid w:val="0"/>
        <w:contextualSpacing/>
        <w:jc w:val="center"/>
        <w:rPr>
          <w:rFonts w:ascii="Times New Roman" w:eastAsia="宋体" w:hAnsi="Times New Roman"/>
          <w:b/>
          <w:szCs w:val="21"/>
        </w:rPr>
      </w:pPr>
      <w:r w:rsidRPr="00C35939">
        <w:rPr>
          <w:rFonts w:ascii="Times New Roman" w:eastAsia="宋体" w:hAnsi="Times New Roman"/>
          <w:b/>
          <w:sz w:val="32"/>
          <w:szCs w:val="32"/>
        </w:rPr>
        <w:t>Single-Mode-Constrained Optimisation of</w:t>
      </w:r>
      <w:r>
        <w:rPr>
          <w:rFonts w:ascii="Times New Roman" w:eastAsia="宋体" w:hAnsi="Times New Roman"/>
          <w:b/>
          <w:sz w:val="32"/>
          <w:szCs w:val="32"/>
        </w:rPr>
        <w:t xml:space="preserve"> </w:t>
      </w:r>
      <w:r w:rsidRPr="00C35939">
        <w:rPr>
          <w:rFonts w:ascii="Times New Roman" w:eastAsia="宋体" w:hAnsi="Times New Roman"/>
          <w:b/>
          <w:sz w:val="32"/>
          <w:szCs w:val="32"/>
        </w:rPr>
        <w:t>Low-Coupling-Loss HCF Structures</w:t>
      </w:r>
    </w:p>
    <w:p w14:paraId="370DBD4C" w14:textId="77777777" w:rsidR="008F329A" w:rsidRPr="00C35939" w:rsidRDefault="00C35939" w:rsidP="006A26A5">
      <w:pPr>
        <w:jc w:val="center"/>
        <w:rPr>
          <w:rFonts w:ascii="Times New Roman"/>
          <w:sz w:val="24"/>
          <w:szCs w:val="24"/>
          <w:lang w:val="de-DE"/>
        </w:rPr>
      </w:pPr>
      <w:bookmarkStart w:id="0" w:name="OLE_LINK5"/>
      <w:r w:rsidRPr="00C35939">
        <w:rPr>
          <w:rFonts w:ascii="黑体" w:eastAsia="黑体" w:hAnsi="黑体"/>
          <w:b/>
          <w:bCs/>
          <w:szCs w:val="21"/>
          <w:lang w:val="de-DE"/>
        </w:rPr>
        <w:t>TONG Xiaoling</w:t>
      </w:r>
      <w:r w:rsidRPr="00C35939">
        <w:rPr>
          <w:rFonts w:ascii="黑体" w:eastAsia="黑体" w:hAnsi="黑体" w:hint="eastAsia"/>
          <w:b/>
          <w:bCs/>
          <w:szCs w:val="21"/>
          <w:vertAlign w:val="superscript"/>
          <w:lang w:val="de-DE"/>
        </w:rPr>
        <w:t>2</w:t>
      </w:r>
      <w:r w:rsidRPr="00C35939">
        <w:rPr>
          <w:rFonts w:ascii="黑体" w:eastAsia="黑体" w:hAnsi="黑体"/>
          <w:b/>
          <w:bCs/>
          <w:szCs w:val="21"/>
          <w:lang w:val="de-DE"/>
        </w:rPr>
        <w:t>, LIU Chenyu</w:t>
      </w:r>
      <w:r w:rsidRPr="00C35939">
        <w:rPr>
          <w:rFonts w:ascii="黑体" w:eastAsia="黑体" w:hAnsi="黑体" w:hint="eastAsia"/>
          <w:b/>
          <w:bCs/>
          <w:szCs w:val="21"/>
          <w:vertAlign w:val="superscript"/>
          <w:lang w:val="de-DE"/>
        </w:rPr>
        <w:t>2</w:t>
      </w:r>
      <w:r w:rsidRPr="00C35939">
        <w:rPr>
          <w:rFonts w:ascii="黑体" w:eastAsia="黑体" w:hAnsi="黑体"/>
          <w:b/>
          <w:bCs/>
          <w:szCs w:val="21"/>
          <w:lang w:val="de-DE"/>
        </w:rPr>
        <w:t>, LIANG Lei</w:t>
      </w:r>
      <w:r w:rsidRPr="00C35939">
        <w:rPr>
          <w:rFonts w:ascii="黑体" w:eastAsia="黑体" w:hAnsi="黑体" w:hint="eastAsia"/>
          <w:b/>
          <w:bCs/>
          <w:szCs w:val="21"/>
          <w:vertAlign w:val="superscript"/>
          <w:lang w:val="de-DE"/>
        </w:rPr>
        <w:t>1,2</w:t>
      </w:r>
      <w:r w:rsidR="007E44F6" w:rsidRPr="001A2626">
        <w:rPr>
          <w:rFonts w:ascii="Times New Roman" w:eastAsia="宋体" w:hAnsi="Times New Roman"/>
          <w:b/>
          <w:szCs w:val="21"/>
        </w:rPr>
        <w:t>*</w:t>
      </w:r>
      <w:r w:rsidRPr="00C35939">
        <w:rPr>
          <w:rFonts w:ascii="黑体" w:eastAsia="黑体" w:hAnsi="黑体" w:hint="eastAsia"/>
          <w:b/>
          <w:bCs/>
          <w:szCs w:val="21"/>
          <w:lang w:val="de-DE"/>
        </w:rPr>
        <w:t>,</w:t>
      </w:r>
      <w:r w:rsidRPr="00C35939">
        <w:rPr>
          <w:rFonts w:ascii="黑体" w:eastAsia="黑体" w:hAnsi="黑体"/>
          <w:b/>
          <w:bCs/>
          <w:szCs w:val="21"/>
          <w:lang w:val="de-DE"/>
        </w:rPr>
        <w:t xml:space="preserve"> DAI Shu</w:t>
      </w:r>
      <w:r w:rsidRPr="00C35939">
        <w:rPr>
          <w:rFonts w:ascii="黑体" w:eastAsia="黑体" w:hAnsi="黑体" w:hint="eastAsia"/>
          <w:b/>
          <w:bCs/>
          <w:szCs w:val="21"/>
          <w:vertAlign w:val="superscript"/>
          <w:lang w:val="de-DE"/>
        </w:rPr>
        <w:t>2</w:t>
      </w:r>
      <w:r w:rsidRPr="00C35939">
        <w:rPr>
          <w:rFonts w:ascii="黑体" w:eastAsia="黑体" w:hAnsi="黑体" w:hint="eastAsia"/>
          <w:b/>
          <w:bCs/>
          <w:szCs w:val="21"/>
          <w:lang w:val="de-DE"/>
        </w:rPr>
        <w:t>,</w:t>
      </w:r>
      <w:r w:rsidRPr="00C35939">
        <w:rPr>
          <w:rFonts w:ascii="黑体" w:eastAsia="黑体" w:hAnsi="黑体"/>
          <w:b/>
          <w:bCs/>
          <w:szCs w:val="21"/>
          <w:lang w:val="de-DE"/>
        </w:rPr>
        <w:t xml:space="preserve"> LI Zhenyu</w:t>
      </w:r>
      <w:r w:rsidRPr="00C35939">
        <w:rPr>
          <w:rFonts w:ascii="黑体" w:eastAsia="黑体" w:hAnsi="黑体" w:hint="eastAsia"/>
          <w:b/>
          <w:bCs/>
          <w:szCs w:val="21"/>
          <w:vertAlign w:val="superscript"/>
          <w:lang w:val="de-DE"/>
        </w:rPr>
        <w:t>2</w:t>
      </w:r>
    </w:p>
    <w:p w14:paraId="2523D751" w14:textId="77777777" w:rsidR="008F329A" w:rsidRPr="00C35939" w:rsidRDefault="00C35939" w:rsidP="006A26A5">
      <w:pPr>
        <w:adjustRightInd w:val="0"/>
        <w:snapToGrid w:val="0"/>
        <w:ind w:leftChars="250" w:left="525" w:rightChars="250" w:right="525"/>
        <w:jc w:val="center"/>
        <w:rPr>
          <w:rFonts w:ascii="Times New Roman" w:eastAsia="宋体" w:hAnsi="Times New Roman"/>
          <w:b/>
          <w:sz w:val="15"/>
          <w:szCs w:val="15"/>
        </w:rPr>
      </w:pPr>
      <w:r w:rsidRPr="00C35939">
        <w:rPr>
          <w:rFonts w:ascii="Times New Roman" w:eastAsia="宋体" w:hAnsi="Times New Roman"/>
          <w:b/>
          <w:sz w:val="15"/>
          <w:szCs w:val="15"/>
        </w:rPr>
        <w:t>（</w:t>
      </w:r>
      <w:r w:rsidRPr="00C35939">
        <w:rPr>
          <w:rFonts w:ascii="Times New Roman" w:eastAsia="宋体" w:hAnsi="Times New Roman"/>
          <w:b/>
          <w:sz w:val="15"/>
          <w:szCs w:val="15"/>
        </w:rPr>
        <w:t>1. National Engineering Research Center of Fiber Optic Sensing Technology and Networks, Wuhan University of Technology, Wuhan 430070, China; 2. School of Mechanical and Electrical Engineering, Wuhan University of Technology, Wuhan 430070, China</w:t>
      </w:r>
      <w:r>
        <w:rPr>
          <w:rFonts w:ascii="Times New Roman" w:eastAsia="宋体" w:hAnsi="Times New Roman" w:hint="eastAsia"/>
          <w:b/>
          <w:sz w:val="15"/>
          <w:szCs w:val="15"/>
        </w:rPr>
        <w:t>）</w:t>
      </w:r>
      <w:r w:rsidR="008F329A" w:rsidRPr="00C35939">
        <w:rPr>
          <w:rFonts w:ascii="Times New Roman" w:eastAsia="宋体" w:hAnsi="Times New Roman"/>
          <w:b/>
          <w:sz w:val="15"/>
          <w:szCs w:val="15"/>
        </w:rPr>
        <w:t xml:space="preserve"> </w:t>
      </w:r>
    </w:p>
    <w:p w14:paraId="6B07F592" w14:textId="77777777" w:rsidR="008F329A" w:rsidRPr="00F31BA5" w:rsidRDefault="008F329A" w:rsidP="006A26A5">
      <w:pPr>
        <w:adjustRightInd w:val="0"/>
        <w:snapToGrid w:val="0"/>
        <w:ind w:leftChars="250" w:left="525" w:rightChars="250" w:right="525"/>
        <w:jc w:val="center"/>
        <w:rPr>
          <w:rFonts w:ascii="Times New Roman" w:eastAsia="宋体" w:hAnsi="Times New Roman"/>
          <w:b/>
          <w:strike/>
          <w:szCs w:val="21"/>
        </w:rPr>
      </w:pPr>
    </w:p>
    <w:p w14:paraId="2B64D641" w14:textId="77777777" w:rsidR="008F329A" w:rsidRPr="00C35939" w:rsidRDefault="008F329A" w:rsidP="006A26A5">
      <w:pPr>
        <w:rPr>
          <w:rFonts w:ascii="Times New Roman" w:eastAsia="宋体" w:hAnsi="Times New Roman"/>
          <w:sz w:val="18"/>
          <w:szCs w:val="18"/>
        </w:rPr>
      </w:pPr>
      <w:bookmarkStart w:id="1" w:name="OLE_LINK1"/>
      <w:bookmarkEnd w:id="0"/>
      <w:r w:rsidRPr="0014790E">
        <w:rPr>
          <w:rFonts w:ascii="Times New Roman" w:eastAsia="宋体" w:hAnsi="Times New Roman"/>
          <w:b/>
          <w:sz w:val="18"/>
          <w:szCs w:val="18"/>
        </w:rPr>
        <w:t>Abstract:</w:t>
      </w:r>
      <w:bookmarkEnd w:id="1"/>
      <w:r w:rsidR="00C35939">
        <w:rPr>
          <w:rFonts w:ascii="Times New Roman" w:eastAsia="宋体" w:hAnsi="Times New Roman"/>
          <w:b/>
          <w:sz w:val="18"/>
          <w:szCs w:val="18"/>
        </w:rPr>
        <w:t xml:space="preserve"> </w:t>
      </w:r>
      <w:r w:rsidR="00C35939" w:rsidRPr="00C35939">
        <w:rPr>
          <w:rFonts w:ascii="Times New Roman" w:hAnsi="Times New Roman"/>
          <w:sz w:val="18"/>
          <w:szCs w:val="18"/>
          <w:lang w:val="de-DE"/>
        </w:rPr>
        <w:t xml:space="preserve">To mitigate the high coupling loss in solid-core fiber (SCF)–hollow-core fiber (HCF) interconnection caused by mode-field mismatch and phase asynchrony, this paper proposes an SCF–graded-index fiber–nested anti-resonant nodeless fiber (NANF) scheme, in which the NANF geometry at the coupling end is directionally optimized to realize electric-field profile matching and phase synchronization with the SCF fundamental mode while maintaining single-mode operation. Using the finite-element method, the effects of the cladding-tube number </w:t>
      </w:r>
      <w:r w:rsidR="00C35939" w:rsidRPr="00C35939">
        <w:rPr>
          <w:rFonts w:ascii="Times New Roman" w:hAnsi="Times New Roman"/>
          <w:i/>
          <w:iCs/>
          <w:sz w:val="18"/>
          <w:szCs w:val="18"/>
          <w:lang w:val="de-DE"/>
        </w:rPr>
        <w:t>N</w:t>
      </w:r>
      <w:r w:rsidR="00C35939" w:rsidRPr="00C35939">
        <w:rPr>
          <w:rFonts w:ascii="Times New Roman" w:hAnsi="Times New Roman"/>
          <w:sz w:val="18"/>
          <w:szCs w:val="18"/>
          <w:lang w:val="de-DE"/>
        </w:rPr>
        <w:t xml:space="preserve">, the inter-tube gap </w:t>
      </w:r>
      <w:r w:rsidR="00C35939" w:rsidRPr="00C35939">
        <w:rPr>
          <w:rFonts w:ascii="Times New Roman" w:hAnsi="Times New Roman"/>
          <w:i/>
          <w:iCs/>
          <w:sz w:val="18"/>
          <w:szCs w:val="18"/>
          <w:lang w:val="de-DE"/>
        </w:rPr>
        <w:t>d</w:t>
      </w:r>
      <w:r w:rsidR="00C35939" w:rsidRPr="00C35939">
        <w:rPr>
          <w:rFonts w:ascii="Times New Roman" w:hAnsi="Times New Roman"/>
          <w:sz w:val="18"/>
          <w:szCs w:val="18"/>
          <w:lang w:val="de-DE"/>
        </w:rPr>
        <w:t xml:space="preserve">, and the tube-diameter ratio </w:t>
      </w:r>
      <w:r w:rsidR="00C35939" w:rsidRPr="00C35939">
        <w:rPr>
          <w:rFonts w:ascii="Times New Roman" w:hAnsi="Times New Roman"/>
          <w:i/>
          <w:iCs/>
          <w:sz w:val="18"/>
          <w:szCs w:val="18"/>
          <w:lang w:val="de-DE"/>
        </w:rPr>
        <w:t>D</w:t>
      </w:r>
      <w:r w:rsidR="00C35939" w:rsidRPr="00C35939">
        <w:rPr>
          <w:rFonts w:ascii="Times New Roman" w:hAnsi="Times New Roman"/>
          <w:i/>
          <w:iCs/>
          <w:sz w:val="18"/>
          <w:szCs w:val="18"/>
          <w:vertAlign w:val="subscript"/>
          <w:lang w:val="de-DE"/>
        </w:rPr>
        <w:t>1</w:t>
      </w:r>
      <w:r w:rsidR="00C35939" w:rsidRPr="00C35939">
        <w:rPr>
          <w:rFonts w:ascii="Times New Roman" w:hAnsi="Times New Roman"/>
          <w:i/>
          <w:iCs/>
          <w:sz w:val="18"/>
          <w:szCs w:val="18"/>
          <w:lang w:val="de-DE"/>
        </w:rPr>
        <w:t>/D</w:t>
      </w:r>
      <w:r w:rsidR="00C35939" w:rsidRPr="00C35939">
        <w:rPr>
          <w:rFonts w:ascii="Times New Roman" w:hAnsi="Times New Roman"/>
          <w:sz w:val="18"/>
          <w:szCs w:val="18"/>
          <w:lang w:val="de-DE"/>
        </w:rPr>
        <w:t xml:space="preserve"> on the effective refractive index, fundamental-mode field distribution, and phase characteristics are systematically investigated. The results show that, for </w:t>
      </w:r>
      <w:r w:rsidR="00C35939" w:rsidRPr="00C35939">
        <w:rPr>
          <w:rFonts w:ascii="Times New Roman" w:hAnsi="Times New Roman"/>
          <w:i/>
          <w:iCs/>
          <w:sz w:val="18"/>
          <w:szCs w:val="18"/>
          <w:lang w:val="de-DE"/>
        </w:rPr>
        <w:t>N</w:t>
      </w:r>
      <w:r w:rsidR="00C35939" w:rsidRPr="00C35939">
        <w:rPr>
          <w:rFonts w:ascii="Times New Roman" w:hAnsi="Times New Roman"/>
          <w:sz w:val="18"/>
          <w:szCs w:val="18"/>
          <w:lang w:val="de-DE"/>
        </w:rPr>
        <w:t xml:space="preserve">=7, </w:t>
      </w:r>
      <w:r w:rsidR="00C35939" w:rsidRPr="00C35939">
        <w:rPr>
          <w:rFonts w:ascii="Times New Roman" w:hAnsi="Times New Roman"/>
          <w:i/>
          <w:iCs/>
          <w:sz w:val="18"/>
          <w:szCs w:val="18"/>
          <w:lang w:val="de-DE"/>
        </w:rPr>
        <w:t>D</w:t>
      </w:r>
      <w:r w:rsidR="00C35939" w:rsidRPr="00C35939">
        <w:rPr>
          <w:rFonts w:ascii="Times New Roman" w:hAnsi="Times New Roman"/>
          <w:i/>
          <w:iCs/>
          <w:sz w:val="18"/>
          <w:szCs w:val="18"/>
          <w:vertAlign w:val="subscript"/>
          <w:lang w:val="de-DE"/>
        </w:rPr>
        <w:t>1</w:t>
      </w:r>
      <w:r w:rsidR="00C35939" w:rsidRPr="00C35939">
        <w:rPr>
          <w:rFonts w:ascii="Times New Roman" w:hAnsi="Times New Roman"/>
          <w:i/>
          <w:iCs/>
          <w:sz w:val="18"/>
          <w:szCs w:val="18"/>
          <w:lang w:val="de-DE"/>
        </w:rPr>
        <w:t>/D</w:t>
      </w:r>
      <w:r w:rsidR="00C35939" w:rsidRPr="00C35939">
        <w:rPr>
          <w:rFonts w:ascii="Times New Roman" w:hAnsi="Times New Roman"/>
          <w:sz w:val="18"/>
          <w:szCs w:val="18"/>
          <w:lang w:val="de-DE"/>
        </w:rPr>
        <w:t xml:space="preserve">=0.9, and </w:t>
      </w:r>
      <w:r w:rsidR="00C35939" w:rsidRPr="00C35939">
        <w:rPr>
          <w:rFonts w:ascii="Times New Roman" w:hAnsi="Times New Roman"/>
          <w:i/>
          <w:iCs/>
          <w:sz w:val="18"/>
          <w:szCs w:val="18"/>
          <w:lang w:val="de-DE"/>
        </w:rPr>
        <w:t>d</w:t>
      </w:r>
      <w:r w:rsidR="00C35939" w:rsidRPr="00C35939">
        <w:rPr>
          <w:rFonts w:ascii="Times New Roman" w:hAnsi="Times New Roman"/>
          <w:sz w:val="18"/>
          <w:szCs w:val="18"/>
          <w:lang w:val="de-DE"/>
        </w:rPr>
        <w:t>=0.9 μ</w:t>
      </w:r>
      <w:r w:rsidR="00C35939" w:rsidRPr="00C35939">
        <w:rPr>
          <w:rFonts w:ascii="Times New Roman" w:hAnsi="Times New Roman" w:hint="eastAsia"/>
          <w:sz w:val="18"/>
          <w:szCs w:val="18"/>
          <w:lang w:val="de-DE"/>
        </w:rPr>
        <w:t>m</w:t>
      </w:r>
      <w:r w:rsidR="00C35939" w:rsidRPr="00C35939">
        <w:rPr>
          <w:rFonts w:ascii="Times New Roman" w:hAnsi="Times New Roman"/>
          <w:sz w:val="18"/>
          <w:szCs w:val="18"/>
          <w:lang w:val="de-DE"/>
        </w:rPr>
        <w:t>, the coupling loss is reduced from 0.116 dB to 0.069 dB, together with a higher-order-mode suppression ratio of</w:t>
      </w:r>
      <w:r w:rsidR="00C35939" w:rsidRPr="00C35939">
        <w:rPr>
          <w:rFonts w:ascii="Times New Roman" w:hAnsi="Times New Roman"/>
          <w:i/>
          <w:iCs/>
          <w:sz w:val="18"/>
          <w:szCs w:val="18"/>
          <w:lang w:val="de-DE"/>
        </w:rPr>
        <w:t xml:space="preserve"> R</w:t>
      </w:r>
      <w:r w:rsidR="00C35939" w:rsidRPr="00C35939">
        <w:rPr>
          <w:rFonts w:ascii="Times New Roman" w:hAnsi="Times New Roman"/>
          <w:sz w:val="18"/>
          <w:szCs w:val="18"/>
          <w:lang w:val="de-DE"/>
        </w:rPr>
        <w:t xml:space="preserve">&gt;250. In addition, a single-mode characteristic with </w:t>
      </w:r>
      <w:r w:rsidR="00C35939" w:rsidRPr="00C35939">
        <w:rPr>
          <w:rFonts w:ascii="Times New Roman" w:hAnsi="Times New Roman"/>
          <w:i/>
          <w:iCs/>
          <w:sz w:val="18"/>
          <w:szCs w:val="18"/>
          <w:lang w:val="de-DE"/>
        </w:rPr>
        <w:t>R</w:t>
      </w:r>
      <w:r w:rsidR="00C35939" w:rsidRPr="00C35939">
        <w:rPr>
          <w:rFonts w:ascii="Times New Roman" w:hAnsi="Times New Roman"/>
          <w:sz w:val="18"/>
          <w:szCs w:val="18"/>
          <w:lang w:val="de-DE"/>
        </w:rPr>
        <w:t>&gt;50 is preserved over a dynamic range of</w:t>
      </w:r>
      <w:r w:rsidR="00C35939" w:rsidRPr="00C35939">
        <w:rPr>
          <w:rFonts w:ascii="Times New Roman" w:hAnsi="Times New Roman"/>
          <w:i/>
          <w:iCs/>
          <w:sz w:val="18"/>
          <w:szCs w:val="18"/>
          <w:lang w:val="de-DE"/>
        </w:rPr>
        <w:t xml:space="preserve"> d</w:t>
      </w:r>
      <w:r w:rsidR="00C35939" w:rsidRPr="00C35939">
        <w:rPr>
          <w:rFonts w:ascii="Times New Roman" w:hAnsi="Times New Roman"/>
          <w:sz w:val="18"/>
          <w:szCs w:val="18"/>
          <w:lang w:val="de-DE"/>
        </w:rPr>
        <w:t>=0.5</w:t>
      </w:r>
      <w:r w:rsidR="00C35939" w:rsidRPr="00C35939">
        <w:rPr>
          <w:rFonts w:ascii="Times New Roman" w:eastAsia="楷体_GB2312" w:hAnsi="楷体_GB2312"/>
          <w:sz w:val="18"/>
          <w:szCs w:val="18"/>
        </w:rPr>
        <w:t>~</w:t>
      </w:r>
      <w:r w:rsidR="00C35939" w:rsidRPr="00C35939">
        <w:rPr>
          <w:rFonts w:ascii="Times New Roman" w:hAnsi="Times New Roman"/>
          <w:sz w:val="18"/>
          <w:szCs w:val="18"/>
          <w:lang w:val="de-DE"/>
        </w:rPr>
        <w:t>1.5 μ</w:t>
      </w:r>
      <w:r w:rsidR="00C35939" w:rsidRPr="00C35939">
        <w:rPr>
          <w:rFonts w:ascii="Times New Roman" w:hAnsi="Times New Roman" w:hint="eastAsia"/>
          <w:sz w:val="18"/>
          <w:szCs w:val="18"/>
          <w:lang w:val="de-DE"/>
        </w:rPr>
        <w:t>m</w:t>
      </w:r>
      <w:r w:rsidR="00C35939" w:rsidRPr="00C35939">
        <w:rPr>
          <w:rFonts w:ascii="Times New Roman" w:hAnsi="Times New Roman"/>
          <w:sz w:val="18"/>
          <w:szCs w:val="18"/>
          <w:lang w:val="de-DE"/>
        </w:rPr>
        <w:t>. These results provide a new low-loss interconnection solution for high-power SCF–HCF laser transmission systems without compromising beam quality.</w:t>
      </w:r>
    </w:p>
    <w:p w14:paraId="567C4AF6" w14:textId="77777777" w:rsidR="008F329A" w:rsidRPr="0014790E" w:rsidRDefault="008F329A" w:rsidP="006A26A5">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00C35939" w:rsidRPr="00C35939">
        <w:rPr>
          <w:rFonts w:ascii="Times New Roman" w:eastAsia="宋体" w:hAnsi="Times New Roman"/>
          <w:sz w:val="18"/>
          <w:szCs w:val="18"/>
        </w:rPr>
        <w:t>coupling loss; mode-field matching; finite-element analysis; hollow-core fiber; single-mode characteristics</w:t>
      </w:r>
    </w:p>
    <w:p w14:paraId="7954A6EA" w14:textId="77777777" w:rsidR="008F329A" w:rsidRPr="00F31BA5" w:rsidRDefault="008F329A" w:rsidP="006A26A5">
      <w:pPr>
        <w:jc w:val="center"/>
        <w:rPr>
          <w:rFonts w:ascii="Times New Roman" w:eastAsia="宋体" w:hAnsi="Times New Roman"/>
          <w:b/>
          <w:szCs w:val="21"/>
        </w:rPr>
      </w:pPr>
    </w:p>
    <w:p w14:paraId="3F946042" w14:textId="77777777" w:rsidR="008F329A" w:rsidRPr="00234CBF" w:rsidRDefault="008F329A" w:rsidP="006A26A5">
      <w:pPr>
        <w:rPr>
          <w:rFonts w:ascii="Times New Roman" w:eastAsia="宋体" w:hAnsi="Times New Roman"/>
          <w:b/>
          <w:sz w:val="24"/>
          <w:szCs w:val="24"/>
        </w:rPr>
      </w:pPr>
      <w:r w:rsidRPr="00234CBF">
        <w:rPr>
          <w:rFonts w:ascii="Times New Roman" w:eastAsia="宋体" w:hAnsi="Times New Roman"/>
          <w:b/>
          <w:sz w:val="24"/>
          <w:szCs w:val="24"/>
        </w:rPr>
        <w:t>0</w:t>
      </w:r>
      <w:r w:rsidRPr="00234CBF">
        <w:rPr>
          <w:rFonts w:ascii="Times New Roman" w:eastAsia="宋体" w:hAnsi="Times New Roman"/>
          <w:b/>
          <w:sz w:val="24"/>
          <w:szCs w:val="24"/>
        </w:rPr>
        <w:t>引言</w:t>
      </w:r>
    </w:p>
    <w:p w14:paraId="3A3DAA8E" w14:textId="78A624D7" w:rsidR="00C35939" w:rsidRPr="00C35939" w:rsidRDefault="00C35939" w:rsidP="006A26A5">
      <w:pPr>
        <w:ind w:firstLineChars="200" w:firstLine="420"/>
        <w:rPr>
          <w:rFonts w:ascii="Times New Roman" w:eastAsia="宋体" w:hAnsi="Times New Roman"/>
          <w:kern w:val="0"/>
          <w:szCs w:val="21"/>
        </w:rPr>
      </w:pPr>
      <w:r w:rsidRPr="00C35939">
        <w:rPr>
          <w:rFonts w:ascii="Times New Roman" w:eastAsia="宋体" w:hAnsi="Times New Roman" w:hint="eastAsia"/>
          <w:kern w:val="0"/>
          <w:szCs w:val="21"/>
        </w:rPr>
        <w:t>近十年来，空芯反谐振光纤（</w:t>
      </w:r>
      <w:r w:rsidRPr="00C35939">
        <w:rPr>
          <w:rFonts w:ascii="Times New Roman" w:eastAsia="宋体" w:hAnsi="Times New Roman"/>
          <w:kern w:val="0"/>
          <w:szCs w:val="21"/>
        </w:rPr>
        <w:t>HC-ARF</w:t>
      </w:r>
      <w:r w:rsidRPr="00C35939">
        <w:rPr>
          <w:rFonts w:ascii="Times New Roman" w:eastAsia="宋体" w:hAnsi="Times New Roman"/>
          <w:kern w:val="0"/>
          <w:szCs w:val="21"/>
        </w:rPr>
        <w:t>）的结构设计与制备技术快速发展，其传输衰减已降至</w:t>
      </w:r>
      <w:r w:rsidRPr="00C35939">
        <w:rPr>
          <w:rFonts w:ascii="Times New Roman" w:eastAsia="宋体" w:hAnsi="Times New Roman"/>
          <w:kern w:val="0"/>
          <w:szCs w:val="21"/>
        </w:rPr>
        <w:t xml:space="preserve"> 0.174 dB/km</w:t>
      </w:r>
      <w:r w:rsidRPr="00234CBF">
        <w:rPr>
          <w:rFonts w:ascii="Times New Roman" w:eastAsia="宋体" w:hAnsi="Times New Roman"/>
          <w:kern w:val="0"/>
          <w:szCs w:val="21"/>
          <w:vertAlign w:val="superscript"/>
        </w:rPr>
        <w:t>[1]</w:t>
      </w:r>
      <w:r w:rsidR="00872A3F">
        <w:rPr>
          <w:rFonts w:ascii="Times New Roman" w:eastAsia="宋体" w:hAnsi="Times New Roman"/>
          <w:kern w:val="0"/>
          <w:szCs w:val="21"/>
        </w:rPr>
        <w:t>。</w:t>
      </w:r>
      <w:r w:rsidR="00872A3F" w:rsidRPr="00C35939">
        <w:rPr>
          <w:rFonts w:ascii="Times New Roman" w:eastAsia="宋体" w:hAnsi="Times New Roman"/>
          <w:kern w:val="0"/>
          <w:szCs w:val="21"/>
        </w:rPr>
        <w:t>HC-ARF</w:t>
      </w:r>
      <w:r w:rsidR="00872A3F">
        <w:rPr>
          <w:rFonts w:ascii="Times New Roman" w:eastAsia="宋体" w:hAnsi="Times New Roman" w:hint="eastAsia"/>
          <w:kern w:val="0"/>
          <w:szCs w:val="21"/>
        </w:rPr>
        <w:t>的</w:t>
      </w:r>
      <w:r w:rsidRPr="00C35939">
        <w:rPr>
          <w:rFonts w:ascii="Times New Roman" w:eastAsia="宋体" w:hAnsi="Times New Roman"/>
          <w:kern w:val="0"/>
          <w:szCs w:val="21"/>
        </w:rPr>
        <w:t>导模主要在近真空的低折射率介质中传播，导光场与玻璃结构的重叠显著减小，使</w:t>
      </w:r>
      <w:r w:rsidR="00872A3F">
        <w:rPr>
          <w:rFonts w:ascii="Times New Roman" w:eastAsia="宋体" w:hAnsi="Times New Roman" w:hint="eastAsia"/>
          <w:kern w:val="0"/>
          <w:szCs w:val="21"/>
        </w:rPr>
        <w:t>其</w:t>
      </w:r>
      <w:r w:rsidRPr="00C35939">
        <w:rPr>
          <w:rFonts w:ascii="Times New Roman" w:eastAsia="宋体" w:hAnsi="Times New Roman"/>
          <w:kern w:val="0"/>
          <w:szCs w:val="21"/>
        </w:rPr>
        <w:t>具有更低非线性与更高激光损伤阈值，在高功率激光传输系统中具有重要应用潜力</w:t>
      </w:r>
      <w:r w:rsidRPr="00234CBF">
        <w:rPr>
          <w:rFonts w:ascii="Times New Roman" w:eastAsia="宋体" w:hAnsi="Times New Roman"/>
          <w:kern w:val="0"/>
          <w:szCs w:val="21"/>
          <w:vertAlign w:val="superscript"/>
        </w:rPr>
        <w:t>[2]</w:t>
      </w:r>
      <w:r w:rsidRPr="00C35939">
        <w:rPr>
          <w:rFonts w:ascii="Times New Roman" w:eastAsia="宋体" w:hAnsi="Times New Roman"/>
          <w:kern w:val="0"/>
          <w:szCs w:val="21"/>
        </w:rPr>
        <w:t>。随着</w:t>
      </w:r>
      <w:r w:rsidR="00872A3F">
        <w:rPr>
          <w:rFonts w:ascii="Times New Roman" w:eastAsia="宋体" w:hAnsi="Times New Roman" w:hint="eastAsia"/>
          <w:kern w:val="0"/>
          <w:szCs w:val="21"/>
        </w:rPr>
        <w:t>空芯</w:t>
      </w:r>
      <w:r w:rsidR="00872A3F">
        <w:rPr>
          <w:rFonts w:ascii="Times New Roman" w:eastAsia="宋体" w:hAnsi="Times New Roman"/>
          <w:kern w:val="0"/>
          <w:szCs w:val="21"/>
        </w:rPr>
        <w:t>光纤</w:t>
      </w:r>
      <w:r w:rsidRPr="00C35939">
        <w:rPr>
          <w:rFonts w:ascii="Times New Roman" w:eastAsia="宋体" w:hAnsi="Times New Roman"/>
          <w:kern w:val="0"/>
          <w:szCs w:val="21"/>
        </w:rPr>
        <w:t>（</w:t>
      </w:r>
      <w:r w:rsidRPr="00C35939">
        <w:rPr>
          <w:rFonts w:ascii="Times New Roman" w:eastAsia="宋体" w:hAnsi="Times New Roman"/>
          <w:kern w:val="0"/>
          <w:szCs w:val="21"/>
        </w:rPr>
        <w:t>HCF</w:t>
      </w:r>
      <w:r w:rsidRPr="00C35939">
        <w:rPr>
          <w:rFonts w:ascii="Times New Roman" w:eastAsia="宋体" w:hAnsi="Times New Roman"/>
          <w:kern w:val="0"/>
          <w:szCs w:val="21"/>
        </w:rPr>
        <w:t>）本征损耗持续降低，</w:t>
      </w:r>
      <w:r w:rsidR="009B6F09">
        <w:rPr>
          <w:rFonts w:ascii="Times New Roman" w:eastAsia="宋体" w:hAnsi="Times New Roman" w:hint="eastAsia"/>
          <w:kern w:val="0"/>
          <w:szCs w:val="21"/>
        </w:rPr>
        <w:t>如何</w:t>
      </w:r>
      <w:r w:rsidR="00872A3F">
        <w:rPr>
          <w:rFonts w:ascii="Times New Roman" w:eastAsia="宋体" w:hAnsi="Times New Roman" w:hint="eastAsia"/>
          <w:kern w:val="0"/>
          <w:szCs w:val="21"/>
        </w:rPr>
        <w:t>将</w:t>
      </w:r>
      <w:r w:rsidR="00872A3F">
        <w:rPr>
          <w:rFonts w:ascii="Times New Roman" w:eastAsia="宋体" w:hAnsi="Times New Roman"/>
          <w:kern w:val="0"/>
          <w:szCs w:val="21"/>
        </w:rPr>
        <w:t>其</w:t>
      </w:r>
      <w:r w:rsidRPr="00C35939">
        <w:rPr>
          <w:rFonts w:ascii="Times New Roman" w:eastAsia="宋体" w:hAnsi="Times New Roman"/>
          <w:kern w:val="0"/>
          <w:szCs w:val="21"/>
        </w:rPr>
        <w:t>与现有实芯光纤（</w:t>
      </w:r>
      <w:r w:rsidRPr="00C35939">
        <w:rPr>
          <w:rFonts w:ascii="Times New Roman" w:eastAsia="宋体" w:hAnsi="Times New Roman"/>
          <w:kern w:val="0"/>
          <w:szCs w:val="21"/>
        </w:rPr>
        <w:t>SCF</w:t>
      </w:r>
      <w:r w:rsidRPr="00C35939">
        <w:rPr>
          <w:rFonts w:ascii="Times New Roman" w:eastAsia="宋体" w:hAnsi="Times New Roman"/>
          <w:kern w:val="0"/>
          <w:szCs w:val="21"/>
        </w:rPr>
        <w:t>）系统</w:t>
      </w:r>
      <w:r w:rsidR="009B6F09">
        <w:rPr>
          <w:rFonts w:ascii="Times New Roman" w:eastAsia="宋体" w:hAnsi="Times New Roman" w:hint="eastAsia"/>
          <w:kern w:val="0"/>
          <w:szCs w:val="21"/>
        </w:rPr>
        <w:t>实现稳定、低损耗</w:t>
      </w:r>
      <w:r w:rsidRPr="00C35939">
        <w:rPr>
          <w:rFonts w:ascii="Times New Roman" w:eastAsia="宋体" w:hAnsi="Times New Roman"/>
          <w:kern w:val="0"/>
          <w:szCs w:val="21"/>
        </w:rPr>
        <w:t>互连</w:t>
      </w:r>
      <w:r w:rsidR="009B6F09">
        <w:rPr>
          <w:rFonts w:ascii="Times New Roman" w:eastAsia="宋体" w:hAnsi="Times New Roman" w:hint="eastAsia"/>
          <w:kern w:val="0"/>
          <w:szCs w:val="21"/>
        </w:rPr>
        <w:t>，已成</w:t>
      </w:r>
      <w:r w:rsidRPr="00C35939">
        <w:rPr>
          <w:rFonts w:ascii="Times New Roman" w:eastAsia="宋体" w:hAnsi="Times New Roman"/>
          <w:kern w:val="0"/>
          <w:szCs w:val="21"/>
        </w:rPr>
        <w:t>为</w:t>
      </w:r>
      <w:r w:rsidR="009B6F09">
        <w:rPr>
          <w:rFonts w:ascii="Times New Roman" w:eastAsia="宋体" w:hAnsi="Times New Roman" w:hint="eastAsia"/>
          <w:kern w:val="0"/>
          <w:szCs w:val="21"/>
        </w:rPr>
        <w:t>推动</w:t>
      </w:r>
      <w:r w:rsidRPr="00C35939">
        <w:rPr>
          <w:rFonts w:ascii="Times New Roman" w:eastAsia="宋体" w:hAnsi="Times New Roman"/>
          <w:kern w:val="0"/>
          <w:szCs w:val="21"/>
        </w:rPr>
        <w:t>其工</w:t>
      </w:r>
      <w:r w:rsidRPr="00C35939">
        <w:rPr>
          <w:rFonts w:ascii="Times New Roman" w:eastAsia="宋体" w:hAnsi="Times New Roman" w:hint="eastAsia"/>
          <w:kern w:val="0"/>
          <w:szCs w:val="21"/>
        </w:rPr>
        <w:t>程应用的关键问题之一。</w:t>
      </w:r>
    </w:p>
    <w:p w14:paraId="1C6A1463" w14:textId="5F3EF5E7" w:rsidR="00C35939" w:rsidRPr="00C35939" w:rsidRDefault="00C35939" w:rsidP="00872A3F">
      <w:pPr>
        <w:ind w:firstLineChars="200" w:firstLine="420"/>
        <w:rPr>
          <w:rFonts w:ascii="Times New Roman" w:eastAsia="宋体" w:hAnsi="Times New Roman"/>
          <w:kern w:val="0"/>
          <w:szCs w:val="21"/>
        </w:rPr>
      </w:pPr>
      <w:r w:rsidRPr="00C35939">
        <w:rPr>
          <w:rFonts w:ascii="Times New Roman" w:eastAsia="宋体" w:hAnsi="Times New Roman" w:hint="eastAsia"/>
          <w:kern w:val="0"/>
          <w:szCs w:val="21"/>
        </w:rPr>
        <w:t>在互连中，</w:t>
      </w:r>
      <w:r w:rsidRPr="00C35939">
        <w:rPr>
          <w:rFonts w:ascii="Times New Roman" w:eastAsia="宋体" w:hAnsi="Times New Roman"/>
          <w:kern w:val="0"/>
          <w:szCs w:val="21"/>
        </w:rPr>
        <w:t>HCF</w:t>
      </w:r>
      <w:r w:rsidRPr="00C35939">
        <w:rPr>
          <w:rFonts w:ascii="Times New Roman" w:eastAsia="宋体" w:hAnsi="Times New Roman"/>
          <w:kern w:val="0"/>
          <w:szCs w:val="21"/>
        </w:rPr>
        <w:t>为降低传输损耗往往采用较大纤芯尺寸，而</w:t>
      </w:r>
      <w:r w:rsidRPr="00C35939">
        <w:rPr>
          <w:rFonts w:ascii="Times New Roman" w:eastAsia="宋体" w:hAnsi="Times New Roman"/>
          <w:kern w:val="0"/>
          <w:szCs w:val="21"/>
        </w:rPr>
        <w:t>SCF</w:t>
      </w:r>
      <w:r w:rsidRPr="00C35939">
        <w:rPr>
          <w:rFonts w:ascii="Times New Roman" w:eastAsia="宋体" w:hAnsi="Times New Roman"/>
          <w:kern w:val="0"/>
          <w:szCs w:val="21"/>
        </w:rPr>
        <w:t>输出基模的模场直径（</w:t>
      </w:r>
      <w:r w:rsidRPr="00C35939">
        <w:rPr>
          <w:rFonts w:ascii="Times New Roman" w:eastAsia="宋体" w:hAnsi="Times New Roman"/>
          <w:kern w:val="0"/>
          <w:szCs w:val="21"/>
        </w:rPr>
        <w:t>MFD</w:t>
      </w:r>
      <w:r w:rsidRPr="00C35939">
        <w:rPr>
          <w:rFonts w:ascii="Times New Roman" w:eastAsia="宋体" w:hAnsi="Times New Roman"/>
          <w:kern w:val="0"/>
          <w:szCs w:val="21"/>
        </w:rPr>
        <w:t>）通常为</w:t>
      </w:r>
      <w:r w:rsidRPr="00C35939">
        <w:rPr>
          <w:rFonts w:ascii="Times New Roman" w:eastAsia="宋体" w:hAnsi="Times New Roman"/>
          <w:kern w:val="0"/>
          <w:szCs w:val="21"/>
        </w:rPr>
        <w:t xml:space="preserve"> 6~25 μm</w:t>
      </w:r>
      <w:r w:rsidRPr="00234CBF">
        <w:rPr>
          <w:rFonts w:ascii="Times New Roman" w:eastAsia="宋体" w:hAnsi="Times New Roman"/>
          <w:kern w:val="0"/>
          <w:szCs w:val="21"/>
          <w:vertAlign w:val="superscript"/>
        </w:rPr>
        <w:t>[3]</w:t>
      </w:r>
      <w:r w:rsidRPr="00C35939">
        <w:rPr>
          <w:rFonts w:ascii="Times New Roman" w:eastAsia="宋体" w:hAnsi="Times New Roman"/>
          <w:kern w:val="0"/>
          <w:szCs w:val="21"/>
        </w:rPr>
        <w:t>，两者模场差异</w:t>
      </w:r>
      <w:r w:rsidR="00872A3F">
        <w:rPr>
          <w:rFonts w:ascii="Times New Roman" w:eastAsia="宋体" w:hAnsi="Times New Roman" w:hint="eastAsia"/>
          <w:kern w:val="0"/>
          <w:szCs w:val="21"/>
        </w:rPr>
        <w:t>会</w:t>
      </w:r>
      <w:r w:rsidRPr="00C35939">
        <w:rPr>
          <w:rFonts w:ascii="Times New Roman" w:eastAsia="宋体" w:hAnsi="Times New Roman"/>
          <w:kern w:val="0"/>
          <w:szCs w:val="21"/>
        </w:rPr>
        <w:t>导致传统熔接或直接对接方式易引入较高耦合损耗，限制了</w:t>
      </w:r>
      <w:r w:rsidRPr="00C35939">
        <w:rPr>
          <w:rFonts w:ascii="Times New Roman" w:eastAsia="宋体" w:hAnsi="Times New Roman"/>
          <w:kern w:val="0"/>
          <w:szCs w:val="21"/>
        </w:rPr>
        <w:t>HCF</w:t>
      </w:r>
      <w:r w:rsidRPr="00C35939">
        <w:rPr>
          <w:rFonts w:ascii="Times New Roman" w:eastAsia="宋体" w:hAnsi="Times New Roman"/>
          <w:kern w:val="0"/>
          <w:szCs w:val="21"/>
        </w:rPr>
        <w:t>在高功率系统中的进一步</w:t>
      </w:r>
      <w:r w:rsidR="001311C9">
        <w:rPr>
          <w:rFonts w:ascii="Times New Roman" w:eastAsia="宋体" w:hAnsi="Times New Roman" w:hint="eastAsia"/>
          <w:kern w:val="0"/>
          <w:szCs w:val="21"/>
        </w:rPr>
        <w:t>推广</w:t>
      </w:r>
      <w:r w:rsidRPr="00C35939">
        <w:rPr>
          <w:rFonts w:ascii="Times New Roman" w:eastAsia="宋体" w:hAnsi="Times New Roman"/>
          <w:kern w:val="0"/>
          <w:szCs w:val="21"/>
        </w:rPr>
        <w:t>。根据光纤模式耦合理论，功率转移由耦合界面处电场振幅分布的空间重叠与相位匹配共同决定</w:t>
      </w:r>
      <w:r w:rsidRPr="00234CBF">
        <w:rPr>
          <w:rFonts w:ascii="Times New Roman" w:eastAsia="宋体" w:hAnsi="Times New Roman"/>
          <w:kern w:val="0"/>
          <w:szCs w:val="21"/>
          <w:vertAlign w:val="superscript"/>
        </w:rPr>
        <w:t>[4]</w:t>
      </w:r>
      <w:r w:rsidR="00872A3F">
        <w:rPr>
          <w:rFonts w:ascii="Times New Roman" w:eastAsia="宋体" w:hAnsi="Times New Roman" w:hint="eastAsia"/>
          <w:kern w:val="0"/>
          <w:szCs w:val="21"/>
        </w:rPr>
        <w:t>。</w:t>
      </w:r>
      <w:r w:rsidRPr="00C35939">
        <w:rPr>
          <w:rFonts w:ascii="Times New Roman" w:eastAsia="宋体" w:hAnsi="Times New Roman"/>
          <w:kern w:val="0"/>
          <w:szCs w:val="21"/>
        </w:rPr>
        <w:t>因此，通过结构设计改善</w:t>
      </w:r>
      <w:r w:rsidRPr="00C35939">
        <w:rPr>
          <w:rFonts w:ascii="Times New Roman" w:eastAsia="宋体" w:hAnsi="Times New Roman"/>
          <w:kern w:val="0"/>
          <w:szCs w:val="21"/>
        </w:rPr>
        <w:t>SCF</w:t>
      </w:r>
      <w:r w:rsidRPr="00C35939">
        <w:rPr>
          <w:rFonts w:ascii="Times New Roman" w:eastAsia="宋体" w:hAnsi="Times New Roman"/>
          <w:kern w:val="0"/>
          <w:szCs w:val="21"/>
        </w:rPr>
        <w:t>与</w:t>
      </w:r>
      <w:r w:rsidRPr="00C35939">
        <w:rPr>
          <w:rFonts w:ascii="Times New Roman" w:eastAsia="宋体" w:hAnsi="Times New Roman"/>
          <w:kern w:val="0"/>
          <w:szCs w:val="21"/>
        </w:rPr>
        <w:lastRenderedPageBreak/>
        <w:t>HCF</w:t>
      </w:r>
      <w:r w:rsidRPr="00C35939">
        <w:rPr>
          <w:rFonts w:ascii="Times New Roman" w:eastAsia="宋体" w:hAnsi="Times New Roman"/>
          <w:kern w:val="0"/>
          <w:szCs w:val="21"/>
        </w:rPr>
        <w:t>在场形与相位上的一致性，是降低耦合损耗的核心途径。</w:t>
      </w:r>
      <w:r w:rsidRPr="00C35939">
        <w:rPr>
          <w:rFonts w:ascii="Times New Roman" w:eastAsia="宋体" w:hAnsi="Times New Roman" w:hint="eastAsia"/>
          <w:kern w:val="0"/>
          <w:szCs w:val="21"/>
        </w:rPr>
        <w:t>现有研究多从入射端出发，通过调制</w:t>
      </w:r>
      <w:r w:rsidRPr="00C35939">
        <w:rPr>
          <w:rFonts w:ascii="Times New Roman" w:eastAsia="宋体" w:hAnsi="Times New Roman"/>
          <w:kern w:val="0"/>
          <w:szCs w:val="21"/>
        </w:rPr>
        <w:t>SCF</w:t>
      </w:r>
      <w:r w:rsidRPr="00C35939">
        <w:rPr>
          <w:rFonts w:ascii="Times New Roman" w:eastAsia="宋体" w:hAnsi="Times New Roman"/>
          <w:kern w:val="0"/>
          <w:szCs w:val="21"/>
        </w:rPr>
        <w:t>侧模场来提高匹配度</w:t>
      </w:r>
      <w:r w:rsidRPr="00234CBF">
        <w:rPr>
          <w:rFonts w:ascii="Times New Roman" w:eastAsia="宋体" w:hAnsi="Times New Roman"/>
          <w:kern w:val="0"/>
          <w:szCs w:val="21"/>
          <w:vertAlign w:val="superscript"/>
        </w:rPr>
        <w:t>[5]</w:t>
      </w:r>
      <w:r w:rsidRPr="00C35939">
        <w:rPr>
          <w:rFonts w:ascii="Times New Roman" w:eastAsia="宋体" w:hAnsi="Times New Roman"/>
          <w:kern w:val="0"/>
          <w:szCs w:val="21"/>
        </w:rPr>
        <w:t>，例如光纤锥化并结合抗反射涂层（</w:t>
      </w:r>
      <w:r w:rsidRPr="00C35939">
        <w:rPr>
          <w:rFonts w:ascii="Times New Roman" w:eastAsia="宋体" w:hAnsi="Times New Roman"/>
          <w:kern w:val="0"/>
          <w:szCs w:val="21"/>
        </w:rPr>
        <w:t>AR coating</w:t>
      </w:r>
      <w:r w:rsidRPr="00C35939">
        <w:rPr>
          <w:rFonts w:ascii="Times New Roman" w:eastAsia="宋体" w:hAnsi="Times New Roman"/>
          <w:kern w:val="0"/>
          <w:szCs w:val="21"/>
        </w:rPr>
        <w:t>）</w:t>
      </w:r>
      <w:r w:rsidRPr="00234CBF">
        <w:rPr>
          <w:rFonts w:ascii="Times New Roman" w:eastAsia="宋体" w:hAnsi="Times New Roman"/>
          <w:kern w:val="0"/>
          <w:szCs w:val="21"/>
          <w:vertAlign w:val="superscript"/>
        </w:rPr>
        <w:t>[6]</w:t>
      </w:r>
      <w:r w:rsidRPr="00C35939">
        <w:rPr>
          <w:rFonts w:ascii="Times New Roman" w:eastAsia="宋体" w:hAnsi="Times New Roman"/>
          <w:kern w:val="0"/>
          <w:szCs w:val="21"/>
        </w:rPr>
        <w:t>、热扩芯技术（</w:t>
      </w:r>
      <w:r w:rsidRPr="00C35939">
        <w:rPr>
          <w:rFonts w:ascii="Times New Roman" w:eastAsia="宋体" w:hAnsi="Times New Roman"/>
          <w:kern w:val="0"/>
          <w:szCs w:val="21"/>
        </w:rPr>
        <w:t>TEC</w:t>
      </w:r>
      <w:r w:rsidRPr="00C35939">
        <w:rPr>
          <w:rFonts w:ascii="Times New Roman" w:eastAsia="宋体" w:hAnsi="Times New Roman"/>
          <w:kern w:val="0"/>
          <w:szCs w:val="21"/>
        </w:rPr>
        <w:t>）</w:t>
      </w:r>
      <w:r w:rsidRPr="00234CBF">
        <w:rPr>
          <w:rFonts w:ascii="Times New Roman" w:eastAsia="宋体" w:hAnsi="Times New Roman"/>
          <w:kern w:val="0"/>
          <w:szCs w:val="21"/>
          <w:vertAlign w:val="superscript"/>
        </w:rPr>
        <w:t>[7]</w:t>
      </w:r>
      <w:r w:rsidRPr="00C35939">
        <w:rPr>
          <w:rFonts w:ascii="Times New Roman" w:eastAsia="宋体" w:hAnsi="Times New Roman"/>
          <w:kern w:val="0"/>
          <w:szCs w:val="21"/>
        </w:rPr>
        <w:t>以及插入梯度折射率（</w:t>
      </w:r>
      <w:r w:rsidRPr="00C35939">
        <w:rPr>
          <w:rFonts w:ascii="Times New Roman" w:eastAsia="宋体" w:hAnsi="Times New Roman"/>
          <w:kern w:val="0"/>
          <w:szCs w:val="21"/>
        </w:rPr>
        <w:t>GRIN</w:t>
      </w:r>
      <w:r w:rsidRPr="00C35939">
        <w:rPr>
          <w:rFonts w:ascii="Times New Roman" w:eastAsia="宋体" w:hAnsi="Times New Roman"/>
          <w:kern w:val="0"/>
          <w:szCs w:val="21"/>
        </w:rPr>
        <w:t>）光纤作为模场适配器</w:t>
      </w:r>
      <w:r w:rsidRPr="00234CBF">
        <w:rPr>
          <w:rFonts w:ascii="Times New Roman" w:eastAsia="宋体" w:hAnsi="Times New Roman"/>
          <w:kern w:val="0"/>
          <w:szCs w:val="21"/>
          <w:vertAlign w:val="superscript"/>
        </w:rPr>
        <w:t>[8]</w:t>
      </w:r>
      <w:r w:rsidRPr="00C35939">
        <w:rPr>
          <w:rFonts w:ascii="Times New Roman" w:eastAsia="宋体" w:hAnsi="Times New Roman"/>
          <w:kern w:val="0"/>
          <w:szCs w:val="21"/>
        </w:rPr>
        <w:t>，并配合自由空间整形或插拔式连接等方案实现低损耗互连</w:t>
      </w:r>
      <w:r w:rsidRPr="00234CBF">
        <w:rPr>
          <w:rFonts w:ascii="Times New Roman" w:eastAsia="宋体" w:hAnsi="Times New Roman"/>
          <w:kern w:val="0"/>
          <w:szCs w:val="21"/>
          <w:vertAlign w:val="superscript"/>
        </w:rPr>
        <w:t>[9</w:t>
      </w:r>
      <w:r w:rsidR="00FF4995">
        <w:rPr>
          <w:rFonts w:ascii="Times New Roman" w:eastAsia="宋体" w:hAnsi="Times New Roman" w:hint="eastAsia"/>
          <w:kern w:val="0"/>
          <w:szCs w:val="21"/>
          <w:vertAlign w:val="superscript"/>
        </w:rPr>
        <w:t>-</w:t>
      </w:r>
      <w:r w:rsidRPr="00234CBF">
        <w:rPr>
          <w:rFonts w:ascii="Times New Roman" w:eastAsia="宋体" w:hAnsi="Times New Roman"/>
          <w:kern w:val="0"/>
          <w:szCs w:val="21"/>
          <w:vertAlign w:val="superscript"/>
        </w:rPr>
        <w:t>10]</w:t>
      </w:r>
      <w:r w:rsidRPr="00C35939">
        <w:rPr>
          <w:rFonts w:ascii="Times New Roman" w:eastAsia="宋体" w:hAnsi="Times New Roman"/>
          <w:kern w:val="0"/>
          <w:szCs w:val="21"/>
        </w:rPr>
        <w:t>。上述工作充分表明模场匹配对降低耦合损耗具有显著作用，但总体上更侧重于</w:t>
      </w:r>
      <w:r w:rsidRPr="00C35939">
        <w:rPr>
          <w:rFonts w:ascii="Times New Roman" w:eastAsia="宋体" w:hAnsi="Times New Roman"/>
          <w:kern w:val="0"/>
          <w:szCs w:val="21"/>
        </w:rPr>
        <w:t>SCF</w:t>
      </w:r>
      <w:r w:rsidRPr="00C35939">
        <w:rPr>
          <w:rFonts w:ascii="Times New Roman" w:eastAsia="宋体" w:hAnsi="Times New Roman"/>
          <w:kern w:val="0"/>
          <w:szCs w:val="21"/>
        </w:rPr>
        <w:t>端的调制；针对耦合端</w:t>
      </w:r>
      <w:r w:rsidRPr="00C35939">
        <w:rPr>
          <w:rFonts w:ascii="Times New Roman" w:eastAsia="宋体" w:hAnsi="Times New Roman"/>
          <w:kern w:val="0"/>
          <w:szCs w:val="21"/>
        </w:rPr>
        <w:t>HCF</w:t>
      </w:r>
      <w:r w:rsidRPr="00C35939">
        <w:rPr>
          <w:rFonts w:ascii="Times New Roman" w:eastAsia="宋体" w:hAnsi="Times New Roman"/>
          <w:kern w:val="0"/>
          <w:szCs w:val="21"/>
        </w:rPr>
        <w:t>结构进行定向优</w:t>
      </w:r>
      <w:r w:rsidRPr="00C35939">
        <w:rPr>
          <w:rFonts w:ascii="Times New Roman" w:eastAsia="宋体" w:hAnsi="Times New Roman" w:hint="eastAsia"/>
          <w:kern w:val="0"/>
          <w:szCs w:val="21"/>
        </w:rPr>
        <w:t>化以同步改善场形与相位条件的研究仍相对不足。</w:t>
      </w:r>
    </w:p>
    <w:p w14:paraId="2C9CDB3B" w14:textId="4D885720" w:rsidR="00C35939" w:rsidRPr="00C35939" w:rsidRDefault="00C35939" w:rsidP="006A26A5">
      <w:pPr>
        <w:ind w:firstLineChars="200" w:firstLine="420"/>
        <w:rPr>
          <w:rFonts w:ascii="Times New Roman" w:eastAsia="宋体" w:hAnsi="Times New Roman"/>
          <w:kern w:val="0"/>
          <w:szCs w:val="21"/>
        </w:rPr>
      </w:pPr>
      <w:r w:rsidRPr="00C35939">
        <w:rPr>
          <w:rFonts w:ascii="Times New Roman" w:eastAsia="宋体" w:hAnsi="Times New Roman" w:hint="eastAsia"/>
          <w:kern w:val="0"/>
          <w:szCs w:val="21"/>
        </w:rPr>
        <w:t>需要注意的是，</w:t>
      </w:r>
      <w:r w:rsidRPr="00C35939">
        <w:rPr>
          <w:rFonts w:ascii="Times New Roman" w:eastAsia="宋体" w:hAnsi="Times New Roman"/>
          <w:kern w:val="0"/>
          <w:szCs w:val="21"/>
        </w:rPr>
        <w:t>HCF</w:t>
      </w:r>
      <w:r w:rsidRPr="00C35939">
        <w:rPr>
          <w:rFonts w:ascii="Times New Roman" w:eastAsia="宋体" w:hAnsi="Times New Roman"/>
          <w:kern w:val="0"/>
          <w:szCs w:val="21"/>
        </w:rPr>
        <w:t>的基模场形与相位特性受纤芯尺寸、薄壁厚度、包层管数、管间隙及管径比等参数控制</w:t>
      </w:r>
      <w:r w:rsidRPr="00A57D9D">
        <w:rPr>
          <w:rFonts w:ascii="Times New Roman" w:eastAsia="宋体" w:hAnsi="Times New Roman"/>
          <w:kern w:val="0"/>
          <w:szCs w:val="21"/>
          <w:vertAlign w:val="superscript"/>
        </w:rPr>
        <w:t>[11</w:t>
      </w:r>
      <w:r w:rsidR="006A26A5">
        <w:rPr>
          <w:rFonts w:ascii="Times New Roman" w:eastAsia="宋体" w:hAnsi="Times New Roman"/>
          <w:kern w:val="0"/>
          <w:szCs w:val="21"/>
          <w:vertAlign w:val="superscript"/>
        </w:rPr>
        <w:t>,</w:t>
      </w:r>
      <w:r w:rsidRPr="00A57D9D">
        <w:rPr>
          <w:rFonts w:ascii="Times New Roman" w:eastAsia="宋体" w:hAnsi="Times New Roman"/>
          <w:kern w:val="0"/>
          <w:szCs w:val="21"/>
          <w:vertAlign w:val="superscript"/>
        </w:rPr>
        <w:t>12]</w:t>
      </w:r>
      <w:r w:rsidRPr="00C35939">
        <w:rPr>
          <w:rFonts w:ascii="Times New Roman" w:eastAsia="宋体" w:hAnsi="Times New Roman"/>
          <w:kern w:val="0"/>
          <w:szCs w:val="21"/>
        </w:rPr>
        <w:t>。参数调谐有望降低耦合损耗，但也会改变管模与高阶模（</w:t>
      </w:r>
      <w:r w:rsidRPr="00C35939">
        <w:rPr>
          <w:rFonts w:ascii="Times New Roman" w:eastAsia="宋体" w:hAnsi="Times New Roman"/>
          <w:kern w:val="0"/>
          <w:szCs w:val="21"/>
        </w:rPr>
        <w:t>HOMs</w:t>
      </w:r>
      <w:r w:rsidRPr="00C35939">
        <w:rPr>
          <w:rFonts w:ascii="Times New Roman" w:eastAsia="宋体" w:hAnsi="Times New Roman"/>
          <w:kern w:val="0"/>
          <w:szCs w:val="21"/>
        </w:rPr>
        <w:t>）的演化，从而影响高阶模抑制能力。本文以高阶模抑制比</w:t>
      </w:r>
      <w:r w:rsidRPr="00C35939">
        <w:rPr>
          <w:rFonts w:ascii="Times New Roman" w:eastAsia="宋体" w:hAnsi="Times New Roman"/>
          <w:kern w:val="0"/>
          <w:szCs w:val="21"/>
        </w:rPr>
        <w:t>R</w:t>
      </w:r>
      <w:r w:rsidRPr="00C35939">
        <w:rPr>
          <w:rFonts w:ascii="Times New Roman" w:eastAsia="宋体" w:hAnsi="Times New Roman"/>
          <w:kern w:val="0"/>
          <w:szCs w:val="21"/>
        </w:rPr>
        <w:t>表征单模裕度，定义为高阶模与基模限制损耗之比</w:t>
      </w:r>
      <w:r w:rsidRPr="00A57D9D">
        <w:rPr>
          <w:rFonts w:ascii="Times New Roman" w:eastAsia="宋体" w:hAnsi="Times New Roman"/>
          <w:kern w:val="0"/>
          <w:szCs w:val="21"/>
          <w:vertAlign w:val="superscript"/>
        </w:rPr>
        <w:t>[13</w:t>
      </w:r>
      <w:r w:rsidR="006A26A5">
        <w:rPr>
          <w:rFonts w:ascii="Times New Roman" w:eastAsia="宋体" w:hAnsi="Times New Roman"/>
          <w:kern w:val="0"/>
          <w:szCs w:val="21"/>
          <w:vertAlign w:val="superscript"/>
        </w:rPr>
        <w:t>,</w:t>
      </w:r>
      <w:r w:rsidRPr="00A57D9D">
        <w:rPr>
          <w:rFonts w:ascii="Times New Roman" w:eastAsia="宋体" w:hAnsi="Times New Roman"/>
          <w:kern w:val="0"/>
          <w:szCs w:val="21"/>
          <w:vertAlign w:val="superscript"/>
        </w:rPr>
        <w:t>14]</w:t>
      </w:r>
      <w:r w:rsidRPr="00C35939">
        <w:rPr>
          <w:rFonts w:ascii="Times New Roman" w:eastAsia="宋体" w:hAnsi="Times New Roman"/>
          <w:kern w:val="0"/>
          <w:szCs w:val="21"/>
        </w:rPr>
        <w:t>；当抑制不足时，可能引发光斑畸变与光束质量因子（</w:t>
      </w:r>
      <w:bookmarkStart w:id="2" w:name="_GoBack"/>
      <w:bookmarkEnd w:id="2"/>
      <w:r w:rsidRPr="00C35939">
        <w:rPr>
          <w:rFonts w:ascii="Times New Roman" w:eastAsia="宋体" w:hAnsi="Times New Roman"/>
          <w:kern w:val="0"/>
          <w:szCs w:val="21"/>
        </w:rPr>
        <w:t>M</w:t>
      </w:r>
      <w:r w:rsidRPr="00A57D9D">
        <w:rPr>
          <w:rFonts w:ascii="Times New Roman" w:eastAsia="宋体" w:hAnsi="Times New Roman"/>
          <w:kern w:val="0"/>
          <w:szCs w:val="21"/>
          <w:vertAlign w:val="superscript"/>
        </w:rPr>
        <w:t>2</w:t>
      </w:r>
      <w:r w:rsidRPr="00C35939">
        <w:rPr>
          <w:rFonts w:ascii="Times New Roman" w:eastAsia="宋体" w:hAnsi="Times New Roman"/>
          <w:kern w:val="0"/>
          <w:szCs w:val="21"/>
        </w:rPr>
        <w:t>）升高等问题</w:t>
      </w:r>
      <w:r w:rsidRPr="00A57D9D">
        <w:rPr>
          <w:rFonts w:ascii="Times New Roman" w:eastAsia="宋体" w:hAnsi="Times New Roman"/>
          <w:kern w:val="0"/>
          <w:szCs w:val="21"/>
          <w:vertAlign w:val="superscript"/>
        </w:rPr>
        <w:t>[15</w:t>
      </w:r>
      <w:r w:rsidR="006A26A5">
        <w:rPr>
          <w:rFonts w:ascii="Times New Roman" w:eastAsia="宋体" w:hAnsi="Times New Roman"/>
          <w:kern w:val="0"/>
          <w:szCs w:val="21"/>
          <w:vertAlign w:val="superscript"/>
        </w:rPr>
        <w:t>,</w:t>
      </w:r>
      <w:r w:rsidRPr="00A57D9D">
        <w:rPr>
          <w:rFonts w:ascii="Times New Roman" w:eastAsia="宋体" w:hAnsi="Times New Roman"/>
          <w:kern w:val="0"/>
          <w:szCs w:val="21"/>
          <w:vertAlign w:val="superscript"/>
        </w:rPr>
        <w:t>16]</w:t>
      </w:r>
      <w:r w:rsidRPr="00C35939">
        <w:rPr>
          <w:rFonts w:ascii="Times New Roman" w:eastAsia="宋体" w:hAnsi="Times New Roman"/>
          <w:kern w:val="0"/>
          <w:szCs w:val="21"/>
        </w:rPr>
        <w:t>。因此，在降低耦合损耗的同时维持单模传输特性，是</w:t>
      </w:r>
      <w:r w:rsidRPr="00C35939">
        <w:rPr>
          <w:rFonts w:ascii="Times New Roman" w:eastAsia="宋体" w:hAnsi="Times New Roman"/>
          <w:kern w:val="0"/>
          <w:szCs w:val="21"/>
        </w:rPr>
        <w:t>SCF–HCF</w:t>
      </w:r>
      <w:r w:rsidRPr="00C35939">
        <w:rPr>
          <w:rFonts w:ascii="Times New Roman" w:eastAsia="宋体" w:hAnsi="Times New Roman"/>
          <w:kern w:val="0"/>
          <w:szCs w:val="21"/>
        </w:rPr>
        <w:t>互连设计的关</w:t>
      </w:r>
      <w:r w:rsidRPr="00C35939">
        <w:rPr>
          <w:rFonts w:ascii="Times New Roman" w:eastAsia="宋体" w:hAnsi="Times New Roman" w:hint="eastAsia"/>
          <w:kern w:val="0"/>
          <w:szCs w:val="21"/>
        </w:rPr>
        <w:t>键难点。</w:t>
      </w:r>
    </w:p>
    <w:p w14:paraId="189321EE" w14:textId="77777777" w:rsidR="00DB64BF" w:rsidRPr="00F31BA5" w:rsidRDefault="00C35939" w:rsidP="006A26A5">
      <w:pPr>
        <w:ind w:firstLineChars="200" w:firstLine="420"/>
        <w:rPr>
          <w:rFonts w:ascii="Times New Roman" w:eastAsia="宋体" w:hAnsi="Times New Roman"/>
          <w:kern w:val="0"/>
          <w:szCs w:val="21"/>
        </w:rPr>
      </w:pPr>
      <w:r w:rsidRPr="00C35939">
        <w:rPr>
          <w:rFonts w:ascii="Times New Roman" w:eastAsia="宋体" w:hAnsi="Times New Roman" w:hint="eastAsia"/>
          <w:kern w:val="0"/>
          <w:szCs w:val="21"/>
        </w:rPr>
        <w:t>针对</w:t>
      </w:r>
      <w:r w:rsidRPr="00C35939">
        <w:rPr>
          <w:rFonts w:ascii="Times New Roman" w:eastAsia="宋体" w:hAnsi="Times New Roman"/>
          <w:kern w:val="0"/>
          <w:szCs w:val="21"/>
        </w:rPr>
        <w:t>SCF–HCF</w:t>
      </w:r>
      <w:r w:rsidRPr="00C35939">
        <w:rPr>
          <w:rFonts w:ascii="Times New Roman" w:eastAsia="宋体" w:hAnsi="Times New Roman"/>
          <w:kern w:val="0"/>
          <w:szCs w:val="21"/>
        </w:rPr>
        <w:t>互连中场形与相位失配导致的耦合损耗偏高问题，本文构建</w:t>
      </w:r>
      <w:r w:rsidRPr="00C35939">
        <w:rPr>
          <w:rFonts w:ascii="Times New Roman" w:eastAsia="宋体" w:hAnsi="Times New Roman"/>
          <w:kern w:val="0"/>
          <w:szCs w:val="21"/>
        </w:rPr>
        <w:t>SCF–GRIN</w:t>
      </w:r>
      <w:r w:rsidRPr="00C35939">
        <w:rPr>
          <w:rFonts w:ascii="Times New Roman" w:eastAsia="宋体" w:hAnsi="Times New Roman"/>
          <w:kern w:val="0"/>
          <w:szCs w:val="21"/>
        </w:rPr>
        <w:t>光纤</w:t>
      </w:r>
      <w:r w:rsidRPr="00C35939">
        <w:rPr>
          <w:rFonts w:ascii="Times New Roman" w:eastAsia="宋体" w:hAnsi="Times New Roman"/>
          <w:kern w:val="0"/>
          <w:szCs w:val="21"/>
        </w:rPr>
        <w:t>–HCF</w:t>
      </w:r>
      <w:r w:rsidRPr="00C35939">
        <w:rPr>
          <w:rFonts w:ascii="Times New Roman" w:eastAsia="宋体" w:hAnsi="Times New Roman"/>
          <w:kern w:val="0"/>
          <w:szCs w:val="21"/>
        </w:rPr>
        <w:t>互连模型：利用</w:t>
      </w:r>
      <w:r w:rsidRPr="00C35939">
        <w:rPr>
          <w:rFonts w:ascii="Times New Roman" w:eastAsia="宋体" w:hAnsi="Times New Roman"/>
          <w:kern w:val="0"/>
          <w:szCs w:val="21"/>
        </w:rPr>
        <w:t>GRIN</w:t>
      </w:r>
      <w:r w:rsidRPr="00C35939">
        <w:rPr>
          <w:rFonts w:ascii="Times New Roman" w:eastAsia="宋体" w:hAnsi="Times New Roman"/>
          <w:kern w:val="0"/>
          <w:szCs w:val="21"/>
        </w:rPr>
        <w:t>光纤实现模场尺寸预匹配，在此基础上对耦合端</w:t>
      </w:r>
      <w:r w:rsidRPr="00C35939">
        <w:rPr>
          <w:rFonts w:ascii="Times New Roman" w:eastAsia="宋体" w:hAnsi="Times New Roman"/>
          <w:kern w:val="0"/>
          <w:szCs w:val="21"/>
        </w:rPr>
        <w:t>NANF</w:t>
      </w:r>
      <w:r w:rsidRPr="00C35939">
        <w:rPr>
          <w:rFonts w:ascii="Times New Roman" w:eastAsia="宋体" w:hAnsi="Times New Roman"/>
          <w:kern w:val="0"/>
          <w:szCs w:val="21"/>
        </w:rPr>
        <w:t>的包层管数</w:t>
      </w:r>
      <w:r w:rsidRPr="00A57D9D">
        <w:rPr>
          <w:rFonts w:ascii="Times New Roman" w:eastAsia="宋体" w:hAnsi="Times New Roman"/>
          <w:i/>
          <w:iCs/>
          <w:kern w:val="0"/>
          <w:szCs w:val="21"/>
        </w:rPr>
        <w:t>N</w:t>
      </w:r>
      <w:r w:rsidRPr="00C35939">
        <w:rPr>
          <w:rFonts w:ascii="Times New Roman" w:eastAsia="宋体" w:hAnsi="Times New Roman"/>
          <w:kern w:val="0"/>
          <w:szCs w:val="21"/>
        </w:rPr>
        <w:t>、管间隙</w:t>
      </w:r>
      <w:r w:rsidRPr="00A57D9D">
        <w:rPr>
          <w:rFonts w:ascii="Times New Roman" w:eastAsia="宋体" w:hAnsi="Times New Roman"/>
          <w:i/>
          <w:iCs/>
          <w:kern w:val="0"/>
          <w:szCs w:val="21"/>
        </w:rPr>
        <w:t>d</w:t>
      </w:r>
      <w:r w:rsidRPr="00C35939">
        <w:rPr>
          <w:rFonts w:ascii="Times New Roman" w:eastAsia="宋体" w:hAnsi="Times New Roman"/>
          <w:kern w:val="0"/>
          <w:szCs w:val="21"/>
        </w:rPr>
        <w:t>和大小管径比</w:t>
      </w:r>
      <w:r w:rsidRPr="00A57D9D">
        <w:rPr>
          <w:rFonts w:ascii="Times New Roman" w:eastAsia="宋体" w:hAnsi="Times New Roman"/>
          <w:i/>
          <w:iCs/>
          <w:kern w:val="0"/>
          <w:szCs w:val="21"/>
        </w:rPr>
        <w:t>D</w:t>
      </w:r>
      <w:r w:rsidRPr="00A57D9D">
        <w:rPr>
          <w:rFonts w:ascii="Times New Roman" w:eastAsia="宋体" w:hAnsi="Times New Roman"/>
          <w:i/>
          <w:iCs/>
          <w:kern w:val="0"/>
          <w:szCs w:val="21"/>
          <w:vertAlign w:val="subscript"/>
        </w:rPr>
        <w:t>1</w:t>
      </w:r>
      <w:r w:rsidRPr="00A57D9D">
        <w:rPr>
          <w:rFonts w:ascii="Times New Roman" w:eastAsia="宋体" w:hAnsi="Times New Roman"/>
          <w:i/>
          <w:iCs/>
          <w:kern w:val="0"/>
          <w:szCs w:val="21"/>
        </w:rPr>
        <w:t>/D</w:t>
      </w:r>
      <w:r w:rsidRPr="00C35939">
        <w:rPr>
          <w:rFonts w:ascii="Times New Roman" w:eastAsia="宋体" w:hAnsi="Times New Roman"/>
          <w:kern w:val="0"/>
          <w:szCs w:val="21"/>
        </w:rPr>
        <w:t>进行定向优化，使</w:t>
      </w:r>
      <w:r w:rsidRPr="00C35939">
        <w:rPr>
          <w:rFonts w:ascii="Times New Roman" w:eastAsia="宋体" w:hAnsi="Times New Roman"/>
          <w:kern w:val="0"/>
          <w:szCs w:val="21"/>
        </w:rPr>
        <w:t>NANF</w:t>
      </w:r>
      <w:r w:rsidRPr="00C35939">
        <w:rPr>
          <w:rFonts w:ascii="Times New Roman" w:eastAsia="宋体" w:hAnsi="Times New Roman"/>
          <w:kern w:val="0"/>
          <w:szCs w:val="21"/>
        </w:rPr>
        <w:t>基模的振幅与相位分布更接近入射高斯光束。同时，基于管模与高阶芯模耦合机理抬升关键高阶模限制损耗，以增强单模工作裕度。数值结果表明，优化后耦合损耗最低为</w:t>
      </w:r>
      <w:r w:rsidRPr="00C35939">
        <w:rPr>
          <w:rFonts w:ascii="Times New Roman" w:eastAsia="宋体" w:hAnsi="Times New Roman"/>
          <w:kern w:val="0"/>
          <w:szCs w:val="21"/>
        </w:rPr>
        <w:t>0.069 dB</w:t>
      </w:r>
      <w:r w:rsidRPr="00C35939">
        <w:rPr>
          <w:rFonts w:ascii="Times New Roman" w:eastAsia="宋体" w:hAnsi="Times New Roman"/>
          <w:kern w:val="0"/>
          <w:szCs w:val="21"/>
        </w:rPr>
        <w:t>，较初始结构降低</w:t>
      </w:r>
      <w:r w:rsidRPr="00C35939">
        <w:rPr>
          <w:rFonts w:ascii="Times New Roman" w:eastAsia="宋体" w:hAnsi="Times New Roman"/>
          <w:kern w:val="0"/>
          <w:szCs w:val="21"/>
        </w:rPr>
        <w:t>40%</w:t>
      </w:r>
      <w:r w:rsidRPr="00C35939">
        <w:rPr>
          <w:rFonts w:ascii="Times New Roman" w:eastAsia="宋体" w:hAnsi="Times New Roman"/>
          <w:kern w:val="0"/>
          <w:szCs w:val="21"/>
        </w:rPr>
        <w:t>以上，并获得</w:t>
      </w:r>
      <w:r w:rsidRPr="00A57D9D">
        <w:rPr>
          <w:rFonts w:ascii="Times New Roman" w:eastAsia="宋体" w:hAnsi="Times New Roman"/>
          <w:i/>
          <w:iCs/>
          <w:kern w:val="0"/>
          <w:szCs w:val="21"/>
        </w:rPr>
        <w:t>R</w:t>
      </w:r>
      <w:r w:rsidRPr="00C35939">
        <w:rPr>
          <w:rFonts w:ascii="Times New Roman" w:eastAsia="宋体" w:hAnsi="Times New Roman"/>
          <w:kern w:val="0"/>
          <w:szCs w:val="21"/>
        </w:rPr>
        <w:t>&gt;250</w:t>
      </w:r>
      <w:r w:rsidRPr="00C35939">
        <w:rPr>
          <w:rFonts w:ascii="Times New Roman" w:eastAsia="宋体" w:hAnsi="Times New Roman"/>
          <w:kern w:val="0"/>
          <w:szCs w:val="21"/>
        </w:rPr>
        <w:t>的高阶模抑制比，为高功率</w:t>
      </w:r>
      <w:r w:rsidRPr="00C35939">
        <w:rPr>
          <w:rFonts w:ascii="Times New Roman" w:eastAsia="宋体" w:hAnsi="Times New Roman"/>
          <w:kern w:val="0"/>
          <w:szCs w:val="21"/>
        </w:rPr>
        <w:t>SCF–HCF</w:t>
      </w:r>
      <w:r w:rsidRPr="00C35939">
        <w:rPr>
          <w:rFonts w:ascii="Times New Roman" w:eastAsia="宋体" w:hAnsi="Times New Roman"/>
          <w:kern w:val="0"/>
          <w:szCs w:val="21"/>
        </w:rPr>
        <w:t>激光传输系统提供了兼顾低损耗</w:t>
      </w:r>
      <w:r w:rsidRPr="00C35939">
        <w:rPr>
          <w:rFonts w:ascii="Times New Roman" w:eastAsia="宋体" w:hAnsi="Times New Roman" w:hint="eastAsia"/>
          <w:kern w:val="0"/>
          <w:szCs w:val="21"/>
        </w:rPr>
        <w:t>互连与单模稳定性的设计思路。</w:t>
      </w:r>
    </w:p>
    <w:p w14:paraId="5F89637A" w14:textId="77777777" w:rsidR="008F329A" w:rsidRPr="00234CBF" w:rsidRDefault="00C35939" w:rsidP="006A26A5">
      <w:pPr>
        <w:rPr>
          <w:rFonts w:ascii="Times New Roman" w:eastAsia="宋体" w:hAnsi="Times New Roman"/>
          <w:b/>
          <w:sz w:val="24"/>
          <w:szCs w:val="24"/>
        </w:rPr>
      </w:pPr>
      <w:r w:rsidRPr="00234CBF">
        <w:rPr>
          <w:rFonts w:ascii="Times New Roman" w:eastAsia="宋体" w:hAnsi="Times New Roman"/>
          <w:b/>
          <w:sz w:val="24"/>
          <w:szCs w:val="24"/>
        </w:rPr>
        <w:t>1</w:t>
      </w:r>
      <w:r w:rsidRPr="00234CBF">
        <w:rPr>
          <w:rFonts w:ascii="Times New Roman" w:eastAsia="宋体" w:hAnsi="Times New Roman"/>
          <w:b/>
          <w:sz w:val="24"/>
          <w:szCs w:val="24"/>
        </w:rPr>
        <w:t>耦合理论</w:t>
      </w:r>
    </w:p>
    <w:p w14:paraId="34BA2C1E" w14:textId="77777777" w:rsidR="00283939" w:rsidRPr="00234CBF" w:rsidRDefault="00283939" w:rsidP="006A26A5">
      <w:pPr>
        <w:ind w:firstLineChars="200" w:firstLine="420"/>
        <w:rPr>
          <w:rFonts w:ascii="Times New Roman" w:eastAsia="宋体" w:hAnsi="Times New Roman"/>
          <w:kern w:val="0"/>
          <w:szCs w:val="21"/>
        </w:rPr>
      </w:pPr>
      <w:bookmarkStart w:id="3" w:name="_Hlk218623750"/>
      <w:r w:rsidRPr="00234CBF">
        <w:rPr>
          <w:rFonts w:ascii="Times New Roman" w:eastAsia="宋体" w:hAnsi="Times New Roman"/>
          <w:kern w:val="0"/>
          <w:szCs w:val="21"/>
        </w:rPr>
        <w:t>在光纤与自由空间光场或其他波导结构之间进行耦合时，能量传输效率主要由两端光场在空间分布和相位特征上的匹配程度所决定。为了对这种匹配程度及其对耦合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的影响进行定量刻画，通常采用模场重叠积分（</w:t>
      </w:r>
      <w:r w:rsidRPr="00234CBF">
        <w:rPr>
          <w:rFonts w:ascii="Times New Roman" w:eastAsia="宋体" w:hAnsi="Times New Roman"/>
          <w:kern w:val="0"/>
          <w:szCs w:val="21"/>
        </w:rPr>
        <w:t>mode overlap integral</w:t>
      </w:r>
      <w:r w:rsidRPr="00234CBF">
        <w:rPr>
          <w:rFonts w:ascii="Times New Roman" w:eastAsia="宋体" w:hAnsi="Times New Roman"/>
          <w:kern w:val="0"/>
          <w:szCs w:val="21"/>
        </w:rPr>
        <w:t>）进行分析。该方法以电磁场的正交性和功率守恒为基础，将两个光场模式之间的能量耦合关系表示为场分布的内积形式，从而实现对耦合效率的定量描述。</w:t>
      </w:r>
    </w:p>
    <w:p w14:paraId="653B4AD8" w14:textId="2A520823" w:rsidR="00283939"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设入射到</w:t>
      </w:r>
      <w:r w:rsidRPr="00234CBF">
        <w:rPr>
          <w:rFonts w:ascii="Times New Roman" w:eastAsia="宋体" w:hAnsi="Times New Roman" w:hint="eastAsia"/>
          <w:kern w:val="0"/>
          <w:szCs w:val="21"/>
        </w:rPr>
        <w:t>H</w:t>
      </w:r>
      <w:r w:rsidRPr="00234CBF">
        <w:rPr>
          <w:rFonts w:ascii="Times New Roman" w:eastAsia="宋体" w:hAnsi="Times New Roman"/>
          <w:kern w:val="0"/>
          <w:szCs w:val="21"/>
        </w:rPr>
        <w:t>CF</w:t>
      </w:r>
      <w:r w:rsidRPr="00234CBF">
        <w:rPr>
          <w:rFonts w:ascii="Times New Roman" w:eastAsia="宋体" w:hAnsi="Times New Roman"/>
          <w:kern w:val="0"/>
          <w:szCs w:val="21"/>
        </w:rPr>
        <w:t>输入端的光场基模电场分布为</w:t>
      </w:r>
      <w:r w:rsidRPr="00A57D9D">
        <w:rPr>
          <w:rFonts w:ascii="Times New Roman" w:eastAsia="宋体" w:hAnsi="Times New Roman"/>
          <w:i/>
          <w:iCs/>
          <w:kern w:val="0"/>
          <w:szCs w:val="21"/>
        </w:rPr>
        <w:t>E</w:t>
      </w:r>
      <w:r w:rsidRPr="00A57D9D">
        <w:rPr>
          <w:rFonts w:ascii="Times New Roman" w:eastAsia="宋体" w:hAnsi="Times New Roman"/>
          <w:i/>
          <w:iCs/>
          <w:kern w:val="0"/>
          <w:szCs w:val="21"/>
          <w:vertAlign w:val="subscript"/>
        </w:rPr>
        <w:t>i</w:t>
      </w:r>
      <w:r w:rsidRPr="00234CBF">
        <w:rPr>
          <w:rFonts w:ascii="Times New Roman" w:eastAsia="宋体" w:hAnsi="Times New Roman"/>
          <w:kern w:val="0"/>
          <w:szCs w:val="21"/>
        </w:rPr>
        <w:t>，</w:t>
      </w:r>
      <w:r w:rsidRPr="00234CBF">
        <w:rPr>
          <w:rFonts w:ascii="Times New Roman" w:eastAsia="宋体" w:hAnsi="Times New Roman" w:hint="eastAsia"/>
          <w:kern w:val="0"/>
          <w:szCs w:val="21"/>
        </w:rPr>
        <w:t>H</w:t>
      </w:r>
      <w:r w:rsidRPr="00234CBF">
        <w:rPr>
          <w:rFonts w:ascii="Times New Roman" w:eastAsia="宋体" w:hAnsi="Times New Roman"/>
          <w:kern w:val="0"/>
          <w:szCs w:val="21"/>
        </w:rPr>
        <w:t>CF</w:t>
      </w:r>
      <w:r w:rsidRPr="00234CBF">
        <w:rPr>
          <w:rFonts w:ascii="Times New Roman" w:eastAsia="宋体" w:hAnsi="Times New Roman"/>
          <w:kern w:val="0"/>
          <w:szCs w:val="21"/>
        </w:rPr>
        <w:t>待耦合的基模（</w:t>
      </w:r>
      <w:r w:rsidRPr="00234CBF">
        <w:rPr>
          <w:rFonts w:ascii="Times New Roman" w:eastAsia="宋体" w:hAnsi="Times New Roman"/>
          <w:kern w:val="0"/>
          <w:szCs w:val="21"/>
        </w:rPr>
        <w:t>LP</w:t>
      </w:r>
      <w:r w:rsidRPr="00A57D9D">
        <w:rPr>
          <w:rFonts w:ascii="Times New Roman" w:eastAsia="宋体" w:hAnsi="Times New Roman"/>
          <w:kern w:val="0"/>
          <w:szCs w:val="21"/>
          <w:vertAlign w:val="subscript"/>
        </w:rPr>
        <w:t>01</w:t>
      </w:r>
      <w:r w:rsidRPr="00234CBF">
        <w:rPr>
          <w:rFonts w:ascii="Times New Roman" w:eastAsia="宋体" w:hAnsi="Times New Roman"/>
          <w:kern w:val="0"/>
          <w:szCs w:val="21"/>
        </w:rPr>
        <w:t>模）电场分布为</w:t>
      </w:r>
      <w:r w:rsidRPr="00A57D9D">
        <w:rPr>
          <w:rFonts w:ascii="Times New Roman" w:eastAsia="宋体" w:hAnsi="Times New Roman"/>
          <w:i/>
          <w:iCs/>
          <w:kern w:val="0"/>
          <w:szCs w:val="21"/>
        </w:rPr>
        <w:t>E</w:t>
      </w:r>
      <w:r w:rsidRPr="00A57D9D">
        <w:rPr>
          <w:rFonts w:ascii="Times New Roman" w:eastAsia="宋体" w:hAnsi="Times New Roman"/>
          <w:i/>
          <w:iCs/>
          <w:kern w:val="0"/>
          <w:szCs w:val="21"/>
          <w:vertAlign w:val="subscript"/>
        </w:rPr>
        <w:t>t</w:t>
      </w:r>
      <w:r w:rsidRPr="00234CBF">
        <w:rPr>
          <w:rFonts w:ascii="Times New Roman" w:eastAsia="宋体" w:hAnsi="Times New Roman"/>
          <w:kern w:val="0"/>
          <w:szCs w:val="21"/>
        </w:rPr>
        <w:t>。两者在横截面上的复电场分布共同决定了能量耦合的程度。根据电磁场模态展开的思想，入射光场在光纤基模方向上的功率分量可以写成场的内积形式</w:t>
      </w:r>
      <w:r w:rsidRPr="00234CBF">
        <w:rPr>
          <w:rFonts w:ascii="Times New Roman" w:eastAsia="宋体" w:hAnsi="Times New Roman" w:hint="eastAsia"/>
          <w:kern w:val="0"/>
          <w:szCs w:val="21"/>
        </w:rPr>
        <w:t>，</w:t>
      </w:r>
      <w:r w:rsidRPr="00234CBF">
        <w:rPr>
          <w:rFonts w:ascii="Times New Roman" w:eastAsia="宋体" w:hAnsi="Times New Roman"/>
          <w:kern w:val="0"/>
          <w:szCs w:val="21"/>
        </w:rPr>
        <w:t>为了得到无量纲的耦合效率，需要分别对光纤基模和入射光场的功率进行归一化。</w:t>
      </w:r>
      <w:r w:rsidRPr="00234CBF">
        <w:rPr>
          <w:rFonts w:ascii="Times New Roman" w:eastAsia="宋体" w:hAnsi="Times New Roman" w:hint="eastAsia"/>
          <w:kern w:val="0"/>
          <w:szCs w:val="21"/>
        </w:rPr>
        <w:t>在上述基础上，</w:t>
      </w:r>
      <w:r w:rsidRPr="00234CBF">
        <w:rPr>
          <w:rFonts w:ascii="Times New Roman" w:eastAsia="宋体" w:hAnsi="Times New Roman"/>
          <w:kern w:val="0"/>
          <w:szCs w:val="21"/>
        </w:rPr>
        <w:t>模场重叠积分给出的标准耦合效率表达式为</w:t>
      </w:r>
      <w:r w:rsidR="00587AB7">
        <w:rPr>
          <w:rFonts w:ascii="Times New Roman" w:eastAsia="宋体" w:hAnsi="Times New Roman"/>
          <w:kern w:val="0"/>
          <w:szCs w:val="21"/>
          <w:vertAlign w:val="superscript"/>
        </w:rPr>
        <w:t>[3]</w:t>
      </w:r>
      <w:r w:rsidRPr="00234CBF">
        <w:rPr>
          <w:rFonts w:ascii="Times New Roman" w:eastAsia="宋体" w:hAnsi="Times New Roman" w:hint="eastAsia"/>
          <w:kern w:val="0"/>
          <w:szCs w:val="21"/>
        </w:rPr>
        <w:t>：</w:t>
      </w:r>
    </w:p>
    <w:p w14:paraId="6C6CC416" w14:textId="3FE3E710" w:rsidR="00F82EE3" w:rsidRPr="00DD127B" w:rsidRDefault="00DD127B" w:rsidP="00DD127B">
      <w:pPr>
        <w:tabs>
          <w:tab w:val="center" w:pos="1537"/>
          <w:tab w:val="center" w:pos="4150"/>
          <w:tab w:val="right" w:pos="10104"/>
        </w:tabs>
        <w:jc w:val="center"/>
        <w:rPr>
          <w:rFonts w:ascii="Times New Roman" w:eastAsia="宋体" w:hAnsi="Times New Roman"/>
          <w:kern w:val="0"/>
          <w:sz w:val="24"/>
          <w:szCs w:val="24"/>
        </w:rPr>
      </w:pPr>
      <w:r>
        <w:rPr>
          <w:rFonts w:ascii="Times New Roman" w:eastAsia="宋体" w:hAnsi="Times New Roman"/>
          <w:kern w:val="0"/>
          <w:sz w:val="24"/>
          <w:szCs w:val="24"/>
        </w:rPr>
        <w:t xml:space="preserve">                          </w:t>
      </w:r>
      <m:oMath>
        <m:r>
          <w:rPr>
            <w:rFonts w:ascii="Cambria Math" w:eastAsia="宋体" w:hAnsi="Cambria Math"/>
            <w:kern w:val="0"/>
            <w:sz w:val="24"/>
            <w:szCs w:val="24"/>
          </w:rPr>
          <m:t>η=</m:t>
        </m:r>
        <m:f>
          <m:fPr>
            <m:ctrlPr>
              <w:rPr>
                <w:rFonts w:ascii="Cambria Math" w:eastAsia="宋体" w:hAnsi="Cambria Math"/>
                <w:i/>
                <w:kern w:val="0"/>
                <w:sz w:val="24"/>
                <w:szCs w:val="24"/>
              </w:rPr>
            </m:ctrlPr>
          </m:fPr>
          <m:num>
            <m:sSup>
              <m:sSupPr>
                <m:ctrlPr>
                  <w:rPr>
                    <w:rFonts w:ascii="Cambria Math" w:eastAsia="宋体" w:hAnsi="Cambria Math"/>
                    <w:i/>
                    <w:kern w:val="0"/>
                    <w:sz w:val="24"/>
                    <w:szCs w:val="24"/>
                  </w:rPr>
                </m:ctrlPr>
              </m:sSupPr>
              <m:e>
                <m:d>
                  <m:dPr>
                    <m:begChr m:val="|"/>
                    <m:endChr m:val="|"/>
                    <m:ctrlPr>
                      <w:rPr>
                        <w:rFonts w:ascii="Cambria Math" w:eastAsia="宋体" w:hAnsi="Cambria Math"/>
                        <w:i/>
                        <w:kern w:val="0"/>
                        <w:sz w:val="24"/>
                        <w:szCs w:val="24"/>
                      </w:rPr>
                    </m:ctrlPr>
                  </m:dPr>
                  <m:e>
                    <m:nary>
                      <m:naryPr>
                        <m:chr m:val="∬"/>
                        <m:limLoc m:val="undOvr"/>
                        <m:subHide m:val="1"/>
                        <m:supHide m:val="1"/>
                        <m:ctrlPr>
                          <w:rPr>
                            <w:rFonts w:ascii="Cambria Math" w:eastAsia="宋体" w:hAnsi="Cambria Math"/>
                            <w:i/>
                            <w:kern w:val="0"/>
                            <w:sz w:val="24"/>
                            <w:szCs w:val="24"/>
                          </w:rPr>
                        </m:ctrlPr>
                      </m:naryPr>
                      <m:sub/>
                      <m:sup/>
                      <m:e>
                        <m:sSubSup>
                          <m:sSubSupPr>
                            <m:ctrlPr>
                              <w:rPr>
                                <w:rFonts w:ascii="Cambria Math" w:eastAsia="宋体" w:hAnsi="Cambria Math"/>
                                <w:i/>
                                <w:kern w:val="0"/>
                                <w:sz w:val="24"/>
                                <w:szCs w:val="24"/>
                              </w:rPr>
                            </m:ctrlPr>
                          </m:sSubSupPr>
                          <m:e>
                            <m:r>
                              <w:rPr>
                                <w:rFonts w:ascii="Cambria Math" w:eastAsia="宋体" w:hAnsi="Cambria Math"/>
                                <w:kern w:val="0"/>
                                <w:sz w:val="24"/>
                                <w:szCs w:val="24"/>
                              </w:rPr>
                              <m:t>E</m:t>
                            </m:r>
                          </m:e>
                          <m:sub>
                            <m:r>
                              <w:rPr>
                                <w:rFonts w:ascii="Cambria Math" w:eastAsia="宋体" w:hAnsi="Cambria Math"/>
                                <w:kern w:val="0"/>
                                <w:sz w:val="24"/>
                                <w:szCs w:val="24"/>
                              </w:rPr>
                              <m:t>i</m:t>
                            </m:r>
                          </m:sub>
                          <m:sup>
                            <m:r>
                              <w:rPr>
                                <w:rFonts w:ascii="Cambria Math" w:eastAsia="宋体" w:hAnsi="Cambria Math"/>
                                <w:kern w:val="0"/>
                                <w:sz w:val="24"/>
                                <w:szCs w:val="24"/>
                              </w:rPr>
                              <m:t>*</m:t>
                            </m:r>
                          </m:sup>
                        </m:sSubSup>
                        <m:sSub>
                          <m:sSubPr>
                            <m:ctrlPr>
                              <w:rPr>
                                <w:rFonts w:ascii="Cambria Math" w:eastAsia="宋体" w:hAnsi="Cambria Math"/>
                                <w:i/>
                                <w:kern w:val="0"/>
                                <w:sz w:val="24"/>
                                <w:szCs w:val="24"/>
                              </w:rPr>
                            </m:ctrlPr>
                          </m:sSubPr>
                          <m:e>
                            <m:r>
                              <w:rPr>
                                <w:rFonts w:ascii="Cambria Math" w:eastAsia="宋体" w:hAnsi="Cambria Math"/>
                                <w:kern w:val="0"/>
                                <w:sz w:val="24"/>
                                <w:szCs w:val="24"/>
                              </w:rPr>
                              <m:t>E</m:t>
                            </m:r>
                          </m:e>
                          <m:sub>
                            <m:r>
                              <w:rPr>
                                <w:rFonts w:ascii="Cambria Math" w:eastAsia="宋体" w:hAnsi="Cambria Math"/>
                                <w:kern w:val="0"/>
                                <w:sz w:val="24"/>
                                <w:szCs w:val="24"/>
                              </w:rPr>
                              <m:t>t</m:t>
                            </m:r>
                          </m:sub>
                        </m:sSub>
                        <m:r>
                          <w:rPr>
                            <w:rFonts w:ascii="Cambria Math" w:eastAsia="宋体" w:hAnsi="Cambria Math"/>
                            <w:kern w:val="0"/>
                            <w:sz w:val="24"/>
                            <w:szCs w:val="24"/>
                          </w:rPr>
                          <m:t>ds</m:t>
                        </m:r>
                      </m:e>
                    </m:nary>
                  </m:e>
                </m:d>
              </m:e>
              <m:sup>
                <m:r>
                  <w:rPr>
                    <w:rFonts w:ascii="Cambria Math" w:eastAsia="宋体" w:hAnsi="Cambria Math"/>
                    <w:kern w:val="0"/>
                    <w:sz w:val="24"/>
                    <w:szCs w:val="24"/>
                  </w:rPr>
                  <m:t>2</m:t>
                </m:r>
              </m:sup>
            </m:sSup>
          </m:num>
          <m:den>
            <m:nary>
              <m:naryPr>
                <m:chr m:val="∬"/>
                <m:limLoc m:val="undOvr"/>
                <m:subHide m:val="1"/>
                <m:supHide m:val="1"/>
                <m:ctrlPr>
                  <w:rPr>
                    <w:rFonts w:ascii="Cambria Math" w:eastAsia="宋体" w:hAnsi="Cambria Math"/>
                    <w:i/>
                    <w:kern w:val="0"/>
                    <w:sz w:val="24"/>
                    <w:szCs w:val="24"/>
                  </w:rPr>
                </m:ctrlPr>
              </m:naryPr>
              <m:sub/>
              <m:sup/>
              <m:e>
                <m:sSup>
                  <m:sSupPr>
                    <m:ctrlPr>
                      <w:rPr>
                        <w:rFonts w:ascii="Cambria Math" w:eastAsia="宋体" w:hAnsi="Cambria Math"/>
                        <w:i/>
                        <w:kern w:val="0"/>
                        <w:sz w:val="24"/>
                        <w:szCs w:val="24"/>
                      </w:rPr>
                    </m:ctrlPr>
                  </m:sSupPr>
                  <m:e>
                    <m:d>
                      <m:dPr>
                        <m:begChr m:val="|"/>
                        <m:endChr m:val="|"/>
                        <m:ctrlPr>
                          <w:rPr>
                            <w:rFonts w:ascii="Cambria Math" w:eastAsia="宋体" w:hAnsi="Cambria Math"/>
                            <w:i/>
                            <w:kern w:val="0"/>
                            <w:sz w:val="24"/>
                            <w:szCs w:val="24"/>
                          </w:rPr>
                        </m:ctrlPr>
                      </m:dPr>
                      <m:e>
                        <m:sSub>
                          <m:sSubPr>
                            <m:ctrlPr>
                              <w:rPr>
                                <w:rFonts w:ascii="Cambria Math" w:eastAsia="宋体" w:hAnsi="Cambria Math"/>
                                <w:i/>
                                <w:kern w:val="0"/>
                                <w:sz w:val="24"/>
                                <w:szCs w:val="24"/>
                              </w:rPr>
                            </m:ctrlPr>
                          </m:sSubPr>
                          <m:e>
                            <m:r>
                              <w:rPr>
                                <w:rFonts w:ascii="Cambria Math" w:eastAsia="宋体" w:hAnsi="Cambria Math"/>
                                <w:kern w:val="0"/>
                                <w:sz w:val="24"/>
                                <w:szCs w:val="24"/>
                              </w:rPr>
                              <m:t>E</m:t>
                            </m:r>
                          </m:e>
                          <m:sub>
                            <m:r>
                              <w:rPr>
                                <w:rFonts w:ascii="Cambria Math" w:eastAsia="宋体" w:hAnsi="Cambria Math"/>
                                <w:kern w:val="0"/>
                                <w:sz w:val="24"/>
                                <w:szCs w:val="24"/>
                              </w:rPr>
                              <m:t>i</m:t>
                            </m:r>
                          </m:sub>
                        </m:sSub>
                      </m:e>
                    </m:d>
                  </m:e>
                  <m:sup>
                    <m:r>
                      <w:rPr>
                        <w:rFonts w:ascii="Cambria Math" w:eastAsia="宋体" w:hAnsi="Cambria Math"/>
                        <w:kern w:val="0"/>
                        <w:sz w:val="24"/>
                        <w:szCs w:val="24"/>
                      </w:rPr>
                      <m:t>2</m:t>
                    </m:r>
                  </m:sup>
                </m:sSup>
                <m:r>
                  <w:rPr>
                    <w:rFonts w:ascii="Cambria Math" w:eastAsia="宋体" w:hAnsi="Cambria Math"/>
                    <w:kern w:val="0"/>
                    <w:sz w:val="24"/>
                    <w:szCs w:val="24"/>
                  </w:rPr>
                  <m:t>ds</m:t>
                </m:r>
              </m:e>
            </m:nary>
            <m:r>
              <w:rPr>
                <w:rFonts w:ascii="Cambria Math" w:eastAsia="宋体" w:hAnsi="Cambria Math"/>
                <w:kern w:val="0"/>
                <w:sz w:val="24"/>
                <w:szCs w:val="24"/>
              </w:rPr>
              <m:t>⋅</m:t>
            </m:r>
            <m:nary>
              <m:naryPr>
                <m:chr m:val="∬"/>
                <m:limLoc m:val="undOvr"/>
                <m:subHide m:val="1"/>
                <m:supHide m:val="1"/>
                <m:ctrlPr>
                  <w:rPr>
                    <w:rFonts w:ascii="Cambria Math" w:eastAsia="宋体" w:hAnsi="Cambria Math"/>
                    <w:i/>
                    <w:kern w:val="0"/>
                    <w:sz w:val="24"/>
                    <w:szCs w:val="24"/>
                  </w:rPr>
                </m:ctrlPr>
              </m:naryPr>
              <m:sub/>
              <m:sup/>
              <m:e>
                <m:sSup>
                  <m:sSupPr>
                    <m:ctrlPr>
                      <w:rPr>
                        <w:rFonts w:ascii="Cambria Math" w:eastAsia="宋体" w:hAnsi="Cambria Math"/>
                        <w:i/>
                        <w:kern w:val="0"/>
                        <w:sz w:val="24"/>
                        <w:szCs w:val="24"/>
                      </w:rPr>
                    </m:ctrlPr>
                  </m:sSupPr>
                  <m:e>
                    <m:d>
                      <m:dPr>
                        <m:begChr m:val="|"/>
                        <m:endChr m:val="|"/>
                        <m:ctrlPr>
                          <w:rPr>
                            <w:rFonts w:ascii="Cambria Math" w:eastAsia="宋体" w:hAnsi="Cambria Math"/>
                            <w:i/>
                            <w:kern w:val="0"/>
                            <w:sz w:val="24"/>
                            <w:szCs w:val="24"/>
                          </w:rPr>
                        </m:ctrlPr>
                      </m:dPr>
                      <m:e>
                        <m:sSub>
                          <m:sSubPr>
                            <m:ctrlPr>
                              <w:rPr>
                                <w:rFonts w:ascii="Cambria Math" w:eastAsia="宋体" w:hAnsi="Cambria Math"/>
                                <w:i/>
                                <w:kern w:val="0"/>
                                <w:sz w:val="24"/>
                                <w:szCs w:val="24"/>
                              </w:rPr>
                            </m:ctrlPr>
                          </m:sSubPr>
                          <m:e>
                            <m:r>
                              <w:rPr>
                                <w:rFonts w:ascii="Cambria Math" w:eastAsia="宋体" w:hAnsi="Cambria Math"/>
                                <w:kern w:val="0"/>
                                <w:sz w:val="24"/>
                                <w:szCs w:val="24"/>
                              </w:rPr>
                              <m:t>E</m:t>
                            </m:r>
                          </m:e>
                          <m:sub>
                            <m:r>
                              <w:rPr>
                                <w:rFonts w:ascii="Cambria Math" w:eastAsia="宋体" w:hAnsi="Cambria Math"/>
                                <w:kern w:val="0"/>
                                <w:sz w:val="24"/>
                                <w:szCs w:val="24"/>
                              </w:rPr>
                              <m:t>t</m:t>
                            </m:r>
                          </m:sub>
                        </m:sSub>
                      </m:e>
                    </m:d>
                  </m:e>
                  <m:sup>
                    <m:r>
                      <w:rPr>
                        <w:rFonts w:ascii="Cambria Math" w:eastAsia="宋体" w:hAnsi="Cambria Math"/>
                        <w:kern w:val="0"/>
                        <w:sz w:val="24"/>
                        <w:szCs w:val="24"/>
                      </w:rPr>
                      <m:t>2</m:t>
                    </m:r>
                  </m:sup>
                </m:sSup>
                <m:r>
                  <w:rPr>
                    <w:rFonts w:ascii="Cambria Math" w:eastAsia="宋体" w:hAnsi="Cambria Math"/>
                    <w:kern w:val="0"/>
                    <w:sz w:val="24"/>
                    <w:szCs w:val="24"/>
                  </w:rPr>
                  <m:t>ds</m:t>
                </m:r>
              </m:e>
            </m:nary>
          </m:den>
        </m:f>
      </m:oMath>
      <w:r>
        <w:rPr>
          <w:rFonts w:ascii="Times New Roman" w:eastAsia="宋体" w:hAnsi="Times New Roman" w:hint="eastAsia"/>
          <w:kern w:val="0"/>
          <w:sz w:val="24"/>
          <w:szCs w:val="24"/>
        </w:rPr>
        <w:t xml:space="preserve"> </w:t>
      </w:r>
      <w:r>
        <w:rPr>
          <w:rFonts w:ascii="Times New Roman" w:eastAsia="宋体" w:hAnsi="Times New Roman"/>
          <w:kern w:val="0"/>
          <w:sz w:val="24"/>
          <w:szCs w:val="24"/>
        </w:rPr>
        <w:t xml:space="preserve">                       (1)</w:t>
      </w:r>
    </w:p>
    <w:p w14:paraId="03701BA4" w14:textId="77777777" w:rsidR="00587AB7" w:rsidRDefault="00587AB7" w:rsidP="006A26A5">
      <w:pPr>
        <w:ind w:firstLineChars="200" w:firstLine="420"/>
        <w:rPr>
          <w:rFonts w:ascii="Times New Roman" w:eastAsia="宋体" w:hAnsi="Times New Roman"/>
          <w:kern w:val="0"/>
          <w:szCs w:val="21"/>
        </w:rPr>
      </w:pPr>
      <w:r>
        <w:rPr>
          <w:rFonts w:ascii="Times New Roman" w:eastAsia="宋体" w:hAnsi="Times New Roman" w:hint="eastAsia"/>
          <w:kern w:val="0"/>
          <w:szCs w:val="21"/>
        </w:rPr>
        <w:t>其中</w:t>
      </w:r>
      <w:r w:rsidRPr="00587AB7">
        <w:rPr>
          <w:rFonts w:ascii="Times New Roman" w:eastAsia="宋体" w:hAnsi="Times New Roman" w:hint="eastAsia"/>
          <w:i/>
          <w:iCs/>
          <w:kern w:val="0"/>
          <w:szCs w:val="21"/>
        </w:rPr>
        <w:t>η</w:t>
      </w:r>
      <w:r>
        <w:rPr>
          <w:rFonts w:ascii="Times New Roman" w:eastAsia="宋体" w:hAnsi="Times New Roman" w:hint="eastAsia"/>
          <w:kern w:val="0"/>
          <w:szCs w:val="21"/>
        </w:rPr>
        <w:t>表示耦合效率，</w:t>
      </w:r>
      <w:r>
        <w:rPr>
          <w:rFonts w:ascii="Times New Roman" w:eastAsia="宋体" w:hAnsi="Times New Roman" w:hint="eastAsia"/>
          <w:kern w:val="0"/>
          <w:szCs w:val="21"/>
        </w:rPr>
        <w:t>*</w:t>
      </w:r>
      <w:r>
        <w:rPr>
          <w:rFonts w:ascii="Times New Roman" w:eastAsia="宋体" w:hAnsi="Times New Roman" w:hint="eastAsia"/>
          <w:kern w:val="0"/>
          <w:szCs w:val="21"/>
        </w:rPr>
        <w:t>表示复共轭，</w:t>
      </w:r>
      <w:r w:rsidRPr="00587AB7">
        <w:rPr>
          <w:rFonts w:ascii="Times New Roman" w:eastAsia="宋体" w:hAnsi="Times New Roman" w:hint="eastAsia"/>
          <w:i/>
          <w:iCs/>
          <w:kern w:val="0"/>
          <w:szCs w:val="21"/>
        </w:rPr>
        <w:t>ds</w:t>
      </w:r>
      <w:r>
        <w:rPr>
          <w:rFonts w:ascii="Times New Roman" w:eastAsia="宋体" w:hAnsi="Times New Roman" w:hint="eastAsia"/>
          <w:kern w:val="0"/>
          <w:szCs w:val="21"/>
        </w:rPr>
        <w:t>表示横截面积分微元。</w:t>
      </w:r>
    </w:p>
    <w:p w14:paraId="2CAE04B4" w14:textId="540FF67E" w:rsidR="00283939"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hint="eastAsia"/>
          <w:kern w:val="0"/>
          <w:szCs w:val="21"/>
        </w:rPr>
        <w:t>则耦合损耗表达式可以表示为：</w:t>
      </w:r>
    </w:p>
    <w:p w14:paraId="2ECC11E6" w14:textId="2C0CD3E1" w:rsidR="002A3E66" w:rsidRPr="002A3E66" w:rsidRDefault="002A3E66" w:rsidP="002A3E66">
      <w:pPr>
        <w:rPr>
          <w:rFonts w:ascii="Times New Roman" w:eastAsia="宋体" w:hAnsi="Times New Roman"/>
          <w:sz w:val="24"/>
          <w:szCs w:val="24"/>
        </w:rPr>
      </w:pPr>
      <w:r>
        <w:rPr>
          <w:rFonts w:ascii="Times New Roman" w:eastAsia="宋体" w:hAnsi="Times New Roman"/>
          <w:kern w:val="0"/>
          <w:sz w:val="24"/>
          <w:szCs w:val="24"/>
        </w:rPr>
        <w:t xml:space="preserve">                          </w:t>
      </w:r>
      <m:oMath>
        <m:r>
          <w:rPr>
            <w:rFonts w:ascii="Cambria Math" w:eastAsia="宋体" w:hAnsi="Cambria Math"/>
            <w:sz w:val="24"/>
            <w:szCs w:val="24"/>
          </w:rPr>
          <m:t>Loss=-10</m:t>
        </m:r>
        <m:sSub>
          <m:sSubPr>
            <m:ctrlPr>
              <w:rPr>
                <w:rFonts w:ascii="Cambria Math" w:eastAsia="宋体" w:hAnsi="Cambria Math"/>
                <w:i/>
                <w:sz w:val="24"/>
                <w:szCs w:val="24"/>
              </w:rPr>
            </m:ctrlPr>
          </m:sSubPr>
          <m:e>
            <m:r>
              <w:rPr>
                <w:rFonts w:ascii="Cambria Math" w:eastAsia="宋体" w:hAnsi="Cambria Math"/>
                <w:sz w:val="24"/>
                <w:szCs w:val="24"/>
              </w:rPr>
              <m:t>log</m:t>
            </m:r>
          </m:e>
          <m:sub>
            <m:r>
              <w:rPr>
                <w:rFonts w:ascii="Cambria Math" w:eastAsia="宋体" w:hAnsi="Cambria Math"/>
                <w:sz w:val="24"/>
                <w:szCs w:val="24"/>
              </w:rPr>
              <m:t>10</m:t>
            </m:r>
          </m:sub>
        </m:sSub>
        <m:r>
          <w:rPr>
            <w:rFonts w:ascii="Cambria Math" w:eastAsia="宋体" w:hAnsi="Cambria Math"/>
            <w:sz w:val="24"/>
            <w:szCs w:val="24"/>
          </w:rPr>
          <m:t>(η)</m:t>
        </m:r>
      </m:oMath>
      <w:r>
        <w:rPr>
          <w:rFonts w:ascii="Times New Roman" w:eastAsia="宋体" w:hAnsi="Times New Roman" w:hint="eastAsia"/>
          <w:kern w:val="0"/>
          <w:sz w:val="24"/>
          <w:szCs w:val="24"/>
        </w:rPr>
        <w:t xml:space="preserve"> </w:t>
      </w:r>
      <w:r>
        <w:rPr>
          <w:rFonts w:ascii="Times New Roman" w:eastAsia="宋体" w:hAnsi="Times New Roman"/>
          <w:kern w:val="0"/>
          <w:sz w:val="24"/>
          <w:szCs w:val="24"/>
        </w:rPr>
        <w:t xml:space="preserve">                      (2)</w:t>
      </w:r>
    </w:p>
    <w:p w14:paraId="680D7B4A" w14:textId="77777777" w:rsidR="00D87119" w:rsidRPr="00234CBF" w:rsidRDefault="00283939" w:rsidP="001F53CE">
      <w:pPr>
        <w:ind w:firstLineChars="200" w:firstLine="420"/>
        <w:rPr>
          <w:rFonts w:ascii="Times New Roman" w:eastAsia="宋体" w:hAnsi="Times New Roman"/>
          <w:kern w:val="0"/>
          <w:szCs w:val="21"/>
        </w:rPr>
      </w:pPr>
      <w:r w:rsidRPr="00234CBF">
        <w:rPr>
          <w:rFonts w:ascii="Times New Roman" w:eastAsia="宋体" w:hAnsi="Times New Roman"/>
          <w:kern w:val="0"/>
          <w:szCs w:val="21"/>
        </w:rPr>
        <w:t>由上述表达式可以看出，耦合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由两光场在横向分布和相位上的匹配程度共同决定：分子中的内积项综合反映了振幅分布的重叠程度及相对相位关系，而分母中的功率项则起到归一化的作用。</w:t>
      </w:r>
      <w:bookmarkEnd w:id="3"/>
    </w:p>
    <w:p w14:paraId="683FB453" w14:textId="77777777" w:rsidR="008F329A" w:rsidRPr="00234CBF" w:rsidRDefault="00283939" w:rsidP="006A26A5">
      <w:pPr>
        <w:rPr>
          <w:rFonts w:ascii="Times New Roman" w:eastAsia="宋体" w:hAnsi="Times New Roman"/>
          <w:b/>
          <w:sz w:val="24"/>
          <w:szCs w:val="24"/>
        </w:rPr>
      </w:pPr>
      <w:r w:rsidRPr="00234CBF">
        <w:rPr>
          <w:rFonts w:ascii="Times New Roman" w:eastAsia="宋体" w:hAnsi="Times New Roman"/>
          <w:b/>
          <w:sz w:val="24"/>
          <w:szCs w:val="24"/>
        </w:rPr>
        <w:t>2</w:t>
      </w:r>
      <w:r w:rsidRPr="00234CBF">
        <w:rPr>
          <w:rFonts w:ascii="Times New Roman" w:eastAsia="宋体" w:hAnsi="Times New Roman"/>
          <w:b/>
          <w:sz w:val="24"/>
          <w:szCs w:val="24"/>
        </w:rPr>
        <w:t>耦合数值优化</w:t>
      </w:r>
    </w:p>
    <w:p w14:paraId="6EF5CA50" w14:textId="77777777" w:rsidR="00D87119" w:rsidRPr="00234CBF" w:rsidRDefault="00283939" w:rsidP="006A26A5">
      <w:pPr>
        <w:rPr>
          <w:rFonts w:ascii="Times New Roman" w:eastAsia="宋体" w:hAnsi="Times New Roman"/>
          <w:b/>
          <w:szCs w:val="21"/>
        </w:rPr>
      </w:pPr>
      <w:r w:rsidRPr="00234CBF">
        <w:rPr>
          <w:rFonts w:ascii="Times New Roman" w:eastAsia="宋体" w:hAnsi="Times New Roman"/>
          <w:b/>
          <w:szCs w:val="21"/>
        </w:rPr>
        <w:t>2.1</w:t>
      </w:r>
      <w:r w:rsidRPr="00234CBF">
        <w:rPr>
          <w:rFonts w:ascii="Times New Roman" w:eastAsia="宋体" w:hAnsi="Times New Roman"/>
          <w:b/>
          <w:szCs w:val="21"/>
        </w:rPr>
        <w:t>模型构建与方法</w:t>
      </w:r>
    </w:p>
    <w:p w14:paraId="665F4A0F"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hint="eastAsia"/>
          <w:kern w:val="0"/>
          <w:szCs w:val="21"/>
        </w:rPr>
        <w:t>使用</w:t>
      </w:r>
      <w:r w:rsidRPr="00234CBF">
        <w:rPr>
          <w:rFonts w:ascii="Times New Roman" w:eastAsia="宋体" w:hAnsi="Times New Roman"/>
          <w:kern w:val="0"/>
          <w:szCs w:val="21"/>
        </w:rPr>
        <w:t>COMSOL Multiphysics</w:t>
      </w:r>
      <w:r w:rsidRPr="00234CBF">
        <w:rPr>
          <w:rFonts w:ascii="Times New Roman" w:eastAsia="宋体" w:hAnsi="Times New Roman"/>
          <w:kern w:val="0"/>
          <w:szCs w:val="21"/>
        </w:rPr>
        <w:t>软件，我们对由</w:t>
      </w:r>
      <w:r w:rsidRPr="00234CBF">
        <w:rPr>
          <w:rFonts w:ascii="Times New Roman" w:eastAsia="宋体" w:hAnsi="Times New Roman"/>
          <w:kern w:val="0"/>
          <w:szCs w:val="21"/>
        </w:rPr>
        <w:t>SCF</w:t>
      </w:r>
      <w:r w:rsidRPr="00234CBF">
        <w:rPr>
          <w:rFonts w:ascii="Times New Roman" w:eastAsia="宋体" w:hAnsi="Times New Roman"/>
          <w:kern w:val="0"/>
          <w:szCs w:val="21"/>
        </w:rPr>
        <w:t>、</w:t>
      </w:r>
      <w:r w:rsidRPr="00234CBF">
        <w:rPr>
          <w:rFonts w:ascii="Times New Roman" w:eastAsia="宋体" w:hAnsi="Times New Roman"/>
          <w:kern w:val="0"/>
          <w:szCs w:val="21"/>
        </w:rPr>
        <w:t>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和</w:t>
      </w:r>
      <w:r w:rsidRPr="00234CBF">
        <w:rPr>
          <w:rFonts w:ascii="Times New Roman" w:eastAsia="宋体" w:hAnsi="Times New Roman"/>
          <w:kern w:val="0"/>
          <w:szCs w:val="21"/>
        </w:rPr>
        <w:t>HCF</w:t>
      </w:r>
      <w:r w:rsidRPr="00234CBF">
        <w:rPr>
          <w:rFonts w:ascii="Times New Roman" w:eastAsia="宋体" w:hAnsi="Times New Roman"/>
          <w:kern w:val="0"/>
          <w:szCs w:val="21"/>
        </w:rPr>
        <w:t>组成的</w:t>
      </w:r>
      <w:r w:rsidRPr="00234CBF">
        <w:rPr>
          <w:rFonts w:ascii="Times New Roman" w:eastAsia="宋体" w:hAnsi="Times New Roman"/>
          <w:kern w:val="0"/>
          <w:szCs w:val="21"/>
        </w:rPr>
        <w:t>SCF–GRIN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–HCF</w:t>
      </w:r>
      <w:r w:rsidRPr="00234CBF">
        <w:rPr>
          <w:rFonts w:ascii="Times New Roman" w:eastAsia="宋体" w:hAnsi="Times New Roman"/>
          <w:kern w:val="0"/>
          <w:szCs w:val="21"/>
        </w:rPr>
        <w:t>结构进行</w:t>
      </w:r>
      <w:r w:rsidRPr="00234CBF">
        <w:rPr>
          <w:rFonts w:ascii="Times New Roman" w:eastAsia="宋体" w:hAnsi="Times New Roman" w:hint="eastAsia"/>
          <w:kern w:val="0"/>
          <w:szCs w:val="21"/>
        </w:rPr>
        <w:t>有限元</w:t>
      </w:r>
      <w:r w:rsidRPr="00234CBF">
        <w:rPr>
          <w:rFonts w:ascii="Times New Roman" w:eastAsia="宋体" w:hAnsi="Times New Roman"/>
          <w:kern w:val="0"/>
          <w:szCs w:val="21"/>
        </w:rPr>
        <w:t>数值模拟，其结构原理图如图</w:t>
      </w:r>
      <w:r w:rsidRPr="00234CBF">
        <w:rPr>
          <w:rFonts w:ascii="Times New Roman" w:eastAsia="宋体" w:hAnsi="Times New Roman"/>
          <w:kern w:val="0"/>
          <w:szCs w:val="21"/>
        </w:rPr>
        <w:t>1</w:t>
      </w:r>
      <w:r w:rsidRPr="00234CBF">
        <w:rPr>
          <w:rFonts w:ascii="Times New Roman" w:eastAsia="宋体" w:hAnsi="Times New Roman"/>
          <w:kern w:val="0"/>
          <w:szCs w:val="21"/>
        </w:rPr>
        <w:t>所示。</w:t>
      </w:r>
      <w:r w:rsidRPr="00234CBF">
        <w:rPr>
          <w:rFonts w:ascii="Times New Roman" w:eastAsia="宋体" w:hAnsi="Times New Roman"/>
          <w:kern w:val="0"/>
          <w:szCs w:val="21"/>
        </w:rPr>
        <w:t>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在该结构中作为模场尺寸适配器，将经过</w:t>
      </w:r>
      <w:r w:rsidRPr="00234CBF">
        <w:rPr>
          <w:rFonts w:ascii="Times New Roman" w:eastAsia="宋体" w:hAnsi="Times New Roman"/>
          <w:kern w:val="0"/>
          <w:szCs w:val="21"/>
        </w:rPr>
        <w:t>SCF</w:t>
      </w:r>
      <w:r w:rsidRPr="00234CBF">
        <w:rPr>
          <w:rFonts w:ascii="Times New Roman" w:eastAsia="宋体" w:hAnsi="Times New Roman"/>
          <w:kern w:val="0"/>
          <w:szCs w:val="21"/>
        </w:rPr>
        <w:t>传输的光束逐步扩展到与</w:t>
      </w:r>
      <w:r w:rsidRPr="00234CBF">
        <w:rPr>
          <w:rFonts w:ascii="Times New Roman" w:eastAsia="宋体" w:hAnsi="Times New Roman"/>
          <w:kern w:val="0"/>
          <w:szCs w:val="21"/>
        </w:rPr>
        <w:t>NANF</w:t>
      </w:r>
      <w:r w:rsidRPr="00234CBF">
        <w:rPr>
          <w:rFonts w:ascii="Times New Roman" w:eastAsia="宋体" w:hAnsi="Times New Roman" w:hint="eastAsia"/>
          <w:kern w:val="0"/>
          <w:szCs w:val="21"/>
        </w:rPr>
        <w:t>（</w:t>
      </w:r>
      <w:r w:rsidRPr="00234CBF">
        <w:rPr>
          <w:rFonts w:ascii="Times New Roman" w:eastAsia="宋体" w:hAnsi="Times New Roman"/>
          <w:kern w:val="0"/>
          <w:szCs w:val="21"/>
        </w:rPr>
        <w:t>nested anti-resonant nodeless fiber</w:t>
      </w:r>
      <w:r w:rsidRPr="00234CBF">
        <w:rPr>
          <w:rFonts w:ascii="Times New Roman" w:eastAsia="宋体" w:hAnsi="Times New Roman"/>
          <w:kern w:val="0"/>
          <w:szCs w:val="21"/>
        </w:rPr>
        <w:t>，</w:t>
      </w:r>
      <w:r w:rsidRPr="00234CBF">
        <w:rPr>
          <w:rFonts w:ascii="Times New Roman" w:eastAsia="宋体" w:hAnsi="Times New Roman"/>
          <w:kern w:val="0"/>
          <w:szCs w:val="21"/>
        </w:rPr>
        <w:t>NANF</w:t>
      </w:r>
      <w:r w:rsidRPr="00234CBF">
        <w:rPr>
          <w:rFonts w:ascii="Times New Roman" w:eastAsia="宋体" w:hAnsi="Times New Roman" w:hint="eastAsia"/>
          <w:kern w:val="0"/>
          <w:szCs w:val="21"/>
        </w:rPr>
        <w:t>）</w:t>
      </w:r>
      <w:r w:rsidRPr="00234CBF">
        <w:rPr>
          <w:rFonts w:ascii="Times New Roman" w:eastAsia="宋体" w:hAnsi="Times New Roman"/>
          <w:kern w:val="0"/>
          <w:szCs w:val="21"/>
        </w:rPr>
        <w:t>所需模场半径相匹配的大小，并在此基础上评估</w:t>
      </w:r>
      <w:r w:rsidRPr="00234CBF">
        <w:rPr>
          <w:rFonts w:ascii="Times New Roman" w:eastAsia="宋体" w:hAnsi="Times New Roman" w:hint="eastAsia"/>
          <w:kern w:val="0"/>
          <w:szCs w:val="21"/>
        </w:rPr>
        <w:t>二者</w:t>
      </w:r>
      <w:r w:rsidRPr="00234CBF">
        <w:rPr>
          <w:rFonts w:ascii="Times New Roman" w:eastAsia="宋体" w:hAnsi="Times New Roman"/>
          <w:kern w:val="0"/>
          <w:szCs w:val="21"/>
        </w:rPr>
        <w:t>之间的耦合</w:t>
      </w:r>
      <w:r w:rsidRPr="00234CBF">
        <w:rPr>
          <w:rFonts w:ascii="Times New Roman" w:eastAsia="宋体" w:hAnsi="Times New Roman" w:hint="eastAsia"/>
          <w:kern w:val="0"/>
          <w:szCs w:val="21"/>
        </w:rPr>
        <w:t>损耗。</w:t>
      </w:r>
      <w:r w:rsidR="007E44F6" w:rsidRPr="001311C9">
        <w:rPr>
          <w:rFonts w:ascii="Times New Roman" w:eastAsia="宋体" w:hAnsi="Times New Roman" w:hint="eastAsia"/>
          <w:kern w:val="0"/>
          <w:szCs w:val="21"/>
        </w:rPr>
        <w:t>本文</w:t>
      </w:r>
      <w:r w:rsidR="007E44F6" w:rsidRPr="001311C9">
        <w:rPr>
          <w:rFonts w:ascii="Times New Roman" w:eastAsia="宋体" w:hAnsi="Times New Roman" w:hint="eastAsia"/>
          <w:kern w:val="0"/>
          <w:szCs w:val="21"/>
        </w:rPr>
        <w:lastRenderedPageBreak/>
        <w:t>研究的重点在于通过改变</w:t>
      </w:r>
      <w:r w:rsidR="007E44F6" w:rsidRPr="001311C9">
        <w:rPr>
          <w:rFonts w:ascii="Times New Roman" w:eastAsia="宋体" w:hAnsi="Times New Roman"/>
          <w:kern w:val="0"/>
          <w:szCs w:val="21"/>
        </w:rPr>
        <w:t>GRIN</w:t>
      </w:r>
      <w:r w:rsidR="007E44F6" w:rsidRPr="001311C9">
        <w:rPr>
          <w:rFonts w:ascii="Times New Roman" w:eastAsia="宋体" w:hAnsi="Times New Roman"/>
          <w:kern w:val="0"/>
          <w:szCs w:val="21"/>
        </w:rPr>
        <w:t>长度与</w:t>
      </w:r>
      <w:r w:rsidR="007E44F6" w:rsidRPr="001311C9">
        <w:rPr>
          <w:rFonts w:ascii="Times New Roman" w:eastAsia="宋体" w:hAnsi="Times New Roman"/>
          <w:kern w:val="0"/>
          <w:szCs w:val="21"/>
        </w:rPr>
        <w:t>NANF</w:t>
      </w:r>
      <w:r w:rsidR="007E44F6" w:rsidRPr="001311C9">
        <w:rPr>
          <w:rFonts w:ascii="Times New Roman" w:eastAsia="宋体" w:hAnsi="Times New Roman"/>
          <w:kern w:val="0"/>
          <w:szCs w:val="21"/>
        </w:rPr>
        <w:t>光纤参数使得实芯与空芯光纤的模场更加适配以降低耦合损耗，因此在仿真时采用对接耦合的方式来研究二者之间的模场适配，可不考虑菲涅尔反射的影响。</w:t>
      </w:r>
      <w:r w:rsidR="00A20F65" w:rsidRPr="001311C9">
        <w:rPr>
          <w:rFonts w:ascii="Times New Roman" w:eastAsia="宋体" w:hAnsi="Times New Roman"/>
          <w:kern w:val="0"/>
          <w:szCs w:val="21"/>
        </w:rPr>
        <w:t>同时，在实际工程应用中，可通过减反（</w:t>
      </w:r>
      <w:r w:rsidR="00A20F65" w:rsidRPr="001311C9">
        <w:rPr>
          <w:rFonts w:ascii="Times New Roman" w:eastAsia="宋体" w:hAnsi="Times New Roman"/>
          <w:kern w:val="0"/>
          <w:szCs w:val="21"/>
        </w:rPr>
        <w:t>AR</w:t>
      </w:r>
      <w:r w:rsidR="00A20F65" w:rsidRPr="001311C9">
        <w:rPr>
          <w:rFonts w:ascii="Times New Roman" w:eastAsia="宋体" w:hAnsi="Times New Roman"/>
          <w:kern w:val="0"/>
          <w:szCs w:val="21"/>
        </w:rPr>
        <w:t>）涂层、折射率匹配介质</w:t>
      </w:r>
      <w:r w:rsidR="00A20F65" w:rsidRPr="001311C9">
        <w:rPr>
          <w:rFonts w:ascii="Times New Roman" w:eastAsia="宋体" w:hAnsi="Times New Roman"/>
          <w:kern w:val="0"/>
          <w:szCs w:val="21"/>
        </w:rPr>
        <w:t>/</w:t>
      </w:r>
      <w:r w:rsidR="00A20F65" w:rsidRPr="001311C9">
        <w:rPr>
          <w:rFonts w:ascii="Times New Roman" w:eastAsia="宋体" w:hAnsi="Times New Roman"/>
          <w:kern w:val="0"/>
          <w:szCs w:val="21"/>
        </w:rPr>
        <w:t>胶以及端面角度切割等方法</w:t>
      </w:r>
      <w:r w:rsidR="00A20F65" w:rsidRPr="000B5C06">
        <w:rPr>
          <w:rFonts w:ascii="Times New Roman" w:eastAsia="宋体" w:hAnsi="Times New Roman"/>
          <w:kern w:val="0"/>
          <w:szCs w:val="21"/>
          <w:vertAlign w:val="superscript"/>
        </w:rPr>
        <w:t>[5]</w:t>
      </w:r>
      <w:r w:rsidR="00A20F65" w:rsidRPr="001311C9">
        <w:rPr>
          <w:rFonts w:ascii="Times New Roman" w:eastAsia="宋体" w:hAnsi="Times New Roman"/>
          <w:kern w:val="0"/>
          <w:szCs w:val="21"/>
        </w:rPr>
        <w:t>有效抑制</w:t>
      </w:r>
      <w:r w:rsidR="00A20F65" w:rsidRPr="001311C9">
        <w:rPr>
          <w:rFonts w:ascii="Times New Roman" w:eastAsia="宋体" w:hAnsi="Times New Roman" w:hint="eastAsia"/>
          <w:kern w:val="0"/>
          <w:szCs w:val="21"/>
        </w:rPr>
        <w:t>菲涅尔反射引起的</w:t>
      </w:r>
      <w:r w:rsidR="00A20F65" w:rsidRPr="001311C9">
        <w:rPr>
          <w:rFonts w:ascii="Times New Roman" w:eastAsia="宋体" w:hAnsi="Times New Roman"/>
          <w:kern w:val="0"/>
          <w:szCs w:val="21"/>
        </w:rPr>
        <w:t>回反与附加插入损耗</w:t>
      </w:r>
      <w:r w:rsidR="00A20F65" w:rsidRPr="001311C9">
        <w:rPr>
          <w:rFonts w:ascii="Times New Roman" w:eastAsia="宋体" w:hAnsi="Times New Roman" w:hint="eastAsia"/>
          <w:kern w:val="0"/>
          <w:szCs w:val="21"/>
        </w:rPr>
        <w:t>。</w:t>
      </w:r>
    </w:p>
    <w:p w14:paraId="70A909F9" w14:textId="77777777" w:rsidR="00283939" w:rsidRPr="006B1A9F" w:rsidRDefault="00C578F1" w:rsidP="006A26A5">
      <w:pPr>
        <w:ind w:firstLineChars="200" w:firstLine="420"/>
        <w:jc w:val="center"/>
        <w:rPr>
          <w:szCs w:val="21"/>
        </w:rPr>
      </w:pPr>
      <w:r>
        <w:rPr>
          <w:szCs w:val="21"/>
        </w:rPr>
        <w:object w:dxaOrig="6855" w:dyaOrig="4785" w14:anchorId="61F0AF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2.45pt;height:239.15pt" o:ole="">
            <v:imagedata r:id="rId8" o:title=""/>
          </v:shape>
          <o:OLEObject Type="Embed" ProgID="Visio.Drawing.15" ShapeID="_x0000_i1025" DrawAspect="Content" ObjectID="_1844942215" r:id="rId9"/>
        </w:object>
      </w:r>
    </w:p>
    <w:p w14:paraId="1FF07E36" w14:textId="77777777" w:rsidR="00283939" w:rsidRPr="00F64E20" w:rsidRDefault="00283939" w:rsidP="00F94712">
      <w:pPr>
        <w:pStyle w:val="af2"/>
        <w:spacing w:before="0" w:beforeAutospacing="0" w:after="0" w:afterAutospacing="0"/>
        <w:ind w:firstLineChars="0" w:firstLine="0"/>
        <w:jc w:val="center"/>
        <w:rPr>
          <w:rStyle w:val="af3"/>
          <w:rFonts w:ascii="宋体" w:hAnsi="宋体"/>
          <w:b/>
          <w:bCs/>
          <w:sz w:val="15"/>
          <w:szCs w:val="15"/>
        </w:rPr>
      </w:pPr>
      <w:r w:rsidRPr="00F64E20">
        <w:rPr>
          <w:rStyle w:val="af3"/>
          <w:rFonts w:ascii="宋体" w:hAnsi="宋体" w:hint="eastAsia"/>
          <w:b/>
          <w:bCs/>
          <w:sz w:val="15"/>
          <w:szCs w:val="15"/>
        </w:rPr>
        <w:t>图</w:t>
      </w:r>
      <w:r w:rsidRPr="00F64E20">
        <w:rPr>
          <w:rStyle w:val="af3"/>
          <w:b/>
          <w:bCs/>
          <w:sz w:val="15"/>
          <w:szCs w:val="15"/>
        </w:rPr>
        <w:t>1 SCF</w:t>
      </w:r>
      <w:r w:rsidRPr="00F64E20">
        <w:rPr>
          <w:b/>
          <w:bCs/>
          <w:sz w:val="15"/>
          <w:szCs w:val="15"/>
          <w:lang w:val="de-DE"/>
        </w:rPr>
        <w:t>–</w:t>
      </w:r>
      <w:r w:rsidRPr="00F64E20">
        <w:rPr>
          <w:rStyle w:val="af3"/>
          <w:b/>
          <w:bCs/>
          <w:sz w:val="15"/>
          <w:szCs w:val="15"/>
        </w:rPr>
        <w:t>GRIN</w:t>
      </w:r>
      <w:r w:rsidRPr="00F64E20">
        <w:rPr>
          <w:rStyle w:val="af3"/>
          <w:rFonts w:hint="eastAsia"/>
          <w:b/>
          <w:bCs/>
          <w:sz w:val="15"/>
          <w:szCs w:val="15"/>
        </w:rPr>
        <w:t>光纤</w:t>
      </w:r>
      <w:r w:rsidRPr="00F64E20">
        <w:rPr>
          <w:b/>
          <w:bCs/>
          <w:sz w:val="15"/>
          <w:szCs w:val="15"/>
          <w:lang w:val="de-DE"/>
        </w:rPr>
        <w:t>–</w:t>
      </w:r>
      <w:r w:rsidRPr="00F64E20">
        <w:rPr>
          <w:rStyle w:val="af3"/>
          <w:b/>
          <w:bCs/>
          <w:sz w:val="15"/>
          <w:szCs w:val="15"/>
        </w:rPr>
        <w:t>HCF</w:t>
      </w:r>
      <w:r w:rsidRPr="00F64E20">
        <w:rPr>
          <w:rStyle w:val="af3"/>
          <w:rFonts w:ascii="宋体" w:hAnsi="宋体" w:hint="eastAsia"/>
          <w:b/>
          <w:bCs/>
          <w:sz w:val="15"/>
          <w:szCs w:val="15"/>
        </w:rPr>
        <w:t>结构原理图</w:t>
      </w:r>
    </w:p>
    <w:p w14:paraId="68268EB1"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为了实现从光场输入端到耦合端的模场尺寸适配，我们首先模拟了光束从</w:t>
      </w:r>
      <w:r w:rsidRPr="00234CBF">
        <w:rPr>
          <w:rFonts w:ascii="Times New Roman" w:eastAsia="宋体" w:hAnsi="Times New Roman" w:hint="eastAsia"/>
          <w:kern w:val="0"/>
          <w:szCs w:val="21"/>
        </w:rPr>
        <w:t>S</w:t>
      </w:r>
      <w:r w:rsidRPr="00234CBF">
        <w:rPr>
          <w:rFonts w:ascii="Times New Roman" w:eastAsia="宋体" w:hAnsi="Times New Roman"/>
          <w:kern w:val="0"/>
          <w:szCs w:val="21"/>
        </w:rPr>
        <w:t>CF</w:t>
      </w:r>
      <w:r w:rsidRPr="00234CBF">
        <w:rPr>
          <w:rFonts w:ascii="Times New Roman" w:eastAsia="宋体" w:hAnsi="Times New Roman"/>
          <w:kern w:val="0"/>
          <w:szCs w:val="21"/>
        </w:rPr>
        <w:t>出射，经</w:t>
      </w:r>
      <w:r w:rsidRPr="00234CBF">
        <w:rPr>
          <w:rFonts w:ascii="Times New Roman" w:eastAsia="宋体" w:hAnsi="Times New Roman" w:hint="eastAsia"/>
          <w:kern w:val="0"/>
          <w:szCs w:val="21"/>
        </w:rPr>
        <w:t>G</w:t>
      </w:r>
      <w:r w:rsidRPr="00234CBF">
        <w:rPr>
          <w:rFonts w:ascii="Times New Roman" w:eastAsia="宋体" w:hAnsi="Times New Roman"/>
          <w:kern w:val="0"/>
          <w:szCs w:val="21"/>
        </w:rPr>
        <w:t>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传输后，在自由空间中的演化过程。数值计算采用</w:t>
      </w:r>
      <w:r w:rsidRPr="00234CBF">
        <w:rPr>
          <w:rFonts w:ascii="Times New Roman" w:eastAsia="宋体" w:hAnsi="Times New Roman"/>
          <w:kern w:val="0"/>
          <w:szCs w:val="21"/>
        </w:rPr>
        <w:t>COMSOL Multiphysics</w:t>
      </w:r>
      <w:r w:rsidRPr="00234CBF">
        <w:rPr>
          <w:rFonts w:ascii="Times New Roman" w:eastAsia="宋体" w:hAnsi="Times New Roman"/>
          <w:kern w:val="0"/>
          <w:szCs w:val="21"/>
        </w:rPr>
        <w:t>软件中的波束包络（</w:t>
      </w:r>
      <w:r w:rsidRPr="00234CBF">
        <w:rPr>
          <w:rFonts w:ascii="Times New Roman" w:eastAsia="宋体" w:hAnsi="Times New Roman"/>
          <w:kern w:val="0"/>
          <w:szCs w:val="21"/>
        </w:rPr>
        <w:t>Beam Envelopes</w:t>
      </w:r>
      <w:r w:rsidRPr="00234CBF">
        <w:rPr>
          <w:rFonts w:ascii="Times New Roman" w:eastAsia="宋体" w:hAnsi="Times New Roman"/>
          <w:kern w:val="0"/>
          <w:szCs w:val="21"/>
        </w:rPr>
        <w:t>）接口，对三种商用</w:t>
      </w:r>
      <w:r w:rsidRPr="00234CBF">
        <w:rPr>
          <w:rFonts w:ascii="Times New Roman" w:eastAsia="宋体" w:hAnsi="Times New Roman"/>
          <w:kern w:val="0"/>
          <w:szCs w:val="21"/>
        </w:rPr>
        <w:t>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进行了对比模拟，其芯径分别为</w:t>
      </w:r>
      <w:r w:rsidRPr="00234CBF">
        <w:rPr>
          <w:rFonts w:ascii="Times New Roman" w:eastAsia="宋体" w:hAnsi="Times New Roman"/>
          <w:kern w:val="0"/>
          <w:szCs w:val="21"/>
        </w:rPr>
        <w:t>50 μm</w:t>
      </w:r>
      <w:r w:rsidRPr="00234CBF">
        <w:rPr>
          <w:rFonts w:ascii="Times New Roman" w:eastAsia="宋体" w:hAnsi="Times New Roman"/>
          <w:kern w:val="0"/>
          <w:szCs w:val="21"/>
        </w:rPr>
        <w:t>、</w:t>
      </w:r>
      <w:r w:rsidRPr="00234CBF">
        <w:rPr>
          <w:rFonts w:ascii="Times New Roman" w:eastAsia="宋体" w:hAnsi="Times New Roman"/>
          <w:kern w:val="0"/>
          <w:szCs w:val="21"/>
        </w:rPr>
        <w:t>100 μm</w:t>
      </w:r>
      <w:r w:rsidRPr="00234CBF">
        <w:rPr>
          <w:rFonts w:ascii="Times New Roman" w:eastAsia="宋体" w:hAnsi="Times New Roman"/>
          <w:kern w:val="0"/>
          <w:szCs w:val="21"/>
        </w:rPr>
        <w:t>和</w:t>
      </w:r>
      <w:r w:rsidRPr="00234CBF">
        <w:rPr>
          <w:rFonts w:ascii="Times New Roman" w:eastAsia="宋体" w:hAnsi="Times New Roman"/>
          <w:kern w:val="0"/>
          <w:szCs w:val="21"/>
        </w:rPr>
        <w:t>200 μm</w:t>
      </w:r>
      <w:r w:rsidRPr="00234CBF">
        <w:rPr>
          <w:rFonts w:ascii="Times New Roman" w:eastAsia="宋体" w:hAnsi="Times New Roman"/>
          <w:kern w:val="0"/>
          <w:szCs w:val="21"/>
        </w:rPr>
        <w:t>，其他具体结构与折射率参数列于表</w:t>
      </w:r>
      <w:r w:rsidRPr="00234CBF">
        <w:rPr>
          <w:rFonts w:ascii="Times New Roman" w:eastAsia="宋体" w:hAnsi="Times New Roman"/>
          <w:kern w:val="0"/>
          <w:szCs w:val="21"/>
        </w:rPr>
        <w:t>1</w:t>
      </w:r>
      <w:r w:rsidRPr="00234CBF">
        <w:rPr>
          <w:rFonts w:ascii="Times New Roman" w:eastAsia="宋体" w:hAnsi="Times New Roman"/>
          <w:kern w:val="0"/>
          <w:szCs w:val="21"/>
        </w:rPr>
        <w:t>。</w:t>
      </w:r>
    </w:p>
    <w:p w14:paraId="2A3D1B88" w14:textId="77777777" w:rsidR="00283939" w:rsidRPr="00F64E20" w:rsidRDefault="00283939" w:rsidP="006A26A5">
      <w:pPr>
        <w:pStyle w:val="af2"/>
        <w:spacing w:before="0" w:beforeAutospacing="0" w:after="0" w:afterAutospacing="0"/>
        <w:ind w:firstLine="301"/>
        <w:jc w:val="center"/>
        <w:rPr>
          <w:rFonts w:ascii="宋体" w:hAnsi="宋体"/>
          <w:b/>
          <w:bCs/>
          <w:sz w:val="15"/>
          <w:szCs w:val="15"/>
        </w:rPr>
      </w:pPr>
      <w:r w:rsidRPr="00F64E20">
        <w:rPr>
          <w:rStyle w:val="af3"/>
          <w:rFonts w:ascii="宋体" w:hAnsi="宋体" w:hint="eastAsia"/>
          <w:b/>
          <w:bCs/>
          <w:sz w:val="15"/>
          <w:szCs w:val="15"/>
        </w:rPr>
        <w:t>表1</w:t>
      </w:r>
      <w:r w:rsidRPr="00F64E20">
        <w:rPr>
          <w:rStyle w:val="af3"/>
          <w:rFonts w:ascii="宋体" w:hAnsi="宋体"/>
          <w:b/>
          <w:bCs/>
          <w:sz w:val="15"/>
          <w:szCs w:val="15"/>
        </w:rPr>
        <w:t xml:space="preserve"> </w:t>
      </w:r>
      <w:r w:rsidRPr="00F64E20">
        <w:rPr>
          <w:rStyle w:val="af3"/>
          <w:b/>
          <w:bCs/>
          <w:sz w:val="15"/>
          <w:szCs w:val="15"/>
        </w:rPr>
        <w:t>GRIN</w:t>
      </w:r>
      <w:r w:rsidRPr="00F64E20">
        <w:rPr>
          <w:rStyle w:val="af3"/>
          <w:rFonts w:ascii="宋体" w:hAnsi="宋体" w:hint="eastAsia"/>
          <w:b/>
          <w:bCs/>
          <w:sz w:val="15"/>
          <w:szCs w:val="15"/>
        </w:rPr>
        <w:t>光纤的参数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8"/>
        <w:gridCol w:w="1952"/>
        <w:gridCol w:w="2088"/>
        <w:gridCol w:w="2088"/>
      </w:tblGrid>
      <w:tr w:rsidR="00283939" w14:paraId="4C5AAEA5" w14:textId="77777777" w:rsidTr="001D379F">
        <w:trPr>
          <w:trHeight w:val="108"/>
          <w:jc w:val="center"/>
        </w:trPr>
        <w:tc>
          <w:tcPr>
            <w:tcW w:w="1311" w:type="pct"/>
            <w:tcBorders>
              <w:top w:val="single" w:sz="12" w:space="0" w:color="auto"/>
              <w:left w:val="nil"/>
              <w:bottom w:val="single" w:sz="4" w:space="0" w:color="auto"/>
              <w:right w:val="nil"/>
            </w:tcBorders>
            <w:vAlign w:val="center"/>
          </w:tcPr>
          <w:p w14:paraId="0555F438" w14:textId="77777777" w:rsidR="00283939" w:rsidRPr="00CD7976" w:rsidRDefault="00283939" w:rsidP="006A26A5">
            <w:pPr>
              <w:jc w:val="center"/>
              <w:rPr>
                <w:rFonts w:ascii="Times New Roman" w:eastAsia="宋体" w:hAnsi="Times New Roman" w:cs="宋体"/>
                <w:kern w:val="0"/>
                <w:szCs w:val="21"/>
              </w:rPr>
            </w:pPr>
            <w:r w:rsidRPr="00CD7976">
              <w:rPr>
                <w:rFonts w:ascii="Times New Roman" w:eastAsia="宋体" w:hAnsi="Times New Roman" w:hint="eastAsia"/>
                <w:szCs w:val="21"/>
              </w:rPr>
              <w:t>G</w:t>
            </w:r>
            <w:r w:rsidRPr="00CD7976">
              <w:rPr>
                <w:rFonts w:ascii="Times New Roman" w:eastAsia="宋体" w:hAnsi="Times New Roman"/>
                <w:szCs w:val="21"/>
              </w:rPr>
              <w:t>RIN</w:t>
            </w:r>
            <w:r w:rsidRPr="00CD7976">
              <w:rPr>
                <w:rFonts w:ascii="Times New Roman" w:eastAsia="宋体" w:hAnsi="Times New Roman" w:hint="eastAsia"/>
                <w:szCs w:val="21"/>
              </w:rPr>
              <w:t>光纤类型</w:t>
            </w:r>
          </w:p>
        </w:tc>
        <w:tc>
          <w:tcPr>
            <w:tcW w:w="1175" w:type="pct"/>
            <w:tcBorders>
              <w:top w:val="single" w:sz="12" w:space="0" w:color="auto"/>
              <w:left w:val="nil"/>
              <w:bottom w:val="single" w:sz="4" w:space="0" w:color="auto"/>
              <w:right w:val="nil"/>
            </w:tcBorders>
            <w:vAlign w:val="center"/>
          </w:tcPr>
          <w:p w14:paraId="4D86CA94" w14:textId="77777777" w:rsidR="00283939" w:rsidRPr="00CD7976" w:rsidRDefault="00283939" w:rsidP="006A26A5">
            <w:pPr>
              <w:jc w:val="center"/>
              <w:rPr>
                <w:rFonts w:ascii="Times New Roman" w:eastAsia="宋体" w:hAnsi="Times New Roman" w:cs="宋体"/>
                <w:kern w:val="0"/>
                <w:szCs w:val="21"/>
              </w:rPr>
            </w:pPr>
            <w:r w:rsidRPr="00CD7976">
              <w:rPr>
                <w:rFonts w:ascii="Times New Roman" w:eastAsia="宋体" w:hAnsi="Times New Roman" w:hint="eastAsia"/>
                <w:szCs w:val="21"/>
              </w:rPr>
              <w:t>纤芯直径</w:t>
            </w:r>
            <w:r w:rsidRPr="00CD7976">
              <w:rPr>
                <w:rFonts w:ascii="Times New Roman" w:eastAsia="宋体" w:hAnsi="Times New Roman" w:hint="eastAsia"/>
                <w:szCs w:val="21"/>
              </w:rPr>
              <w:t>/</w:t>
            </w:r>
            <w:r w:rsidRPr="00CD7976">
              <w:rPr>
                <w:rFonts w:ascii="Times New Roman" w:eastAsia="宋体" w:hAnsi="Times New Roman"/>
                <w:szCs w:val="21"/>
              </w:rPr>
              <w:t>μm</w:t>
            </w:r>
          </w:p>
        </w:tc>
        <w:tc>
          <w:tcPr>
            <w:tcW w:w="1257" w:type="pct"/>
            <w:tcBorders>
              <w:top w:val="single" w:sz="12" w:space="0" w:color="auto"/>
              <w:left w:val="nil"/>
              <w:bottom w:val="single" w:sz="4" w:space="0" w:color="auto"/>
              <w:right w:val="nil"/>
            </w:tcBorders>
            <w:vAlign w:val="center"/>
          </w:tcPr>
          <w:p w14:paraId="47167F7C" w14:textId="77777777" w:rsidR="00283939" w:rsidRPr="00CD7976" w:rsidRDefault="00283939" w:rsidP="006A26A5">
            <w:pPr>
              <w:jc w:val="center"/>
              <w:rPr>
                <w:rFonts w:ascii="Times New Roman" w:eastAsia="宋体" w:hAnsi="Times New Roman" w:cs="宋体"/>
                <w:kern w:val="0"/>
                <w:szCs w:val="21"/>
              </w:rPr>
            </w:pPr>
            <w:r w:rsidRPr="00CD7976">
              <w:rPr>
                <w:rFonts w:ascii="Times New Roman" w:eastAsia="宋体" w:hAnsi="Times New Roman" w:hint="eastAsia"/>
                <w:szCs w:val="21"/>
              </w:rPr>
              <w:t>包层直径</w:t>
            </w:r>
            <w:r w:rsidRPr="00CD7976">
              <w:rPr>
                <w:rFonts w:ascii="Times New Roman" w:eastAsia="宋体" w:hAnsi="Times New Roman" w:hint="eastAsia"/>
                <w:szCs w:val="21"/>
              </w:rPr>
              <w:t>/</w:t>
            </w:r>
            <w:r w:rsidRPr="00CD7976">
              <w:rPr>
                <w:rFonts w:ascii="Times New Roman" w:eastAsia="宋体" w:hAnsi="Times New Roman"/>
                <w:szCs w:val="21"/>
              </w:rPr>
              <w:t>μm</w:t>
            </w:r>
          </w:p>
        </w:tc>
        <w:tc>
          <w:tcPr>
            <w:tcW w:w="1257" w:type="pct"/>
            <w:tcBorders>
              <w:top w:val="single" w:sz="12" w:space="0" w:color="auto"/>
              <w:left w:val="nil"/>
              <w:bottom w:val="single" w:sz="4" w:space="0" w:color="auto"/>
              <w:right w:val="nil"/>
            </w:tcBorders>
            <w:vAlign w:val="center"/>
          </w:tcPr>
          <w:p w14:paraId="45258B38" w14:textId="77777777" w:rsidR="00283939" w:rsidRPr="00CD7976" w:rsidRDefault="00283939" w:rsidP="006A26A5">
            <w:pPr>
              <w:jc w:val="center"/>
              <w:rPr>
                <w:rFonts w:ascii="Times New Roman" w:eastAsia="宋体" w:hAnsi="Times New Roman" w:cs="宋体"/>
                <w:kern w:val="0"/>
                <w:szCs w:val="21"/>
              </w:rPr>
            </w:pPr>
            <w:r w:rsidRPr="00CD7976">
              <w:rPr>
                <w:rFonts w:ascii="Times New Roman" w:eastAsia="宋体" w:hAnsi="Times New Roman" w:hint="eastAsia"/>
                <w:szCs w:val="21"/>
              </w:rPr>
              <w:t>数值孔径</w:t>
            </w:r>
          </w:p>
        </w:tc>
      </w:tr>
      <w:tr w:rsidR="00283939" w14:paraId="57BEE9AA" w14:textId="77777777" w:rsidTr="001D379F">
        <w:trPr>
          <w:trHeight w:val="337"/>
          <w:jc w:val="center"/>
        </w:trPr>
        <w:tc>
          <w:tcPr>
            <w:tcW w:w="1311" w:type="pct"/>
            <w:tcBorders>
              <w:top w:val="single" w:sz="4" w:space="0" w:color="auto"/>
              <w:left w:val="nil"/>
              <w:bottom w:val="nil"/>
              <w:right w:val="nil"/>
            </w:tcBorders>
            <w:vAlign w:val="bottom"/>
          </w:tcPr>
          <w:p w14:paraId="4DEADED6"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hint="eastAsia"/>
                <w:szCs w:val="21"/>
              </w:rPr>
              <w:t>O</w:t>
            </w:r>
            <w:r w:rsidRPr="00CD7976">
              <w:rPr>
                <w:rFonts w:ascii="Times New Roman" w:eastAsia="宋体" w:hAnsi="Times New Roman"/>
                <w:szCs w:val="21"/>
              </w:rPr>
              <w:t>M2</w:t>
            </w:r>
          </w:p>
        </w:tc>
        <w:tc>
          <w:tcPr>
            <w:tcW w:w="1175" w:type="pct"/>
            <w:tcBorders>
              <w:top w:val="single" w:sz="4" w:space="0" w:color="auto"/>
              <w:left w:val="nil"/>
              <w:bottom w:val="nil"/>
              <w:right w:val="nil"/>
            </w:tcBorders>
            <w:vAlign w:val="center"/>
          </w:tcPr>
          <w:p w14:paraId="46738AFD"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hint="eastAsia"/>
                <w:szCs w:val="21"/>
              </w:rPr>
              <w:t>5</w:t>
            </w:r>
            <w:r w:rsidRPr="00CD7976">
              <w:rPr>
                <w:rFonts w:ascii="Times New Roman" w:eastAsia="宋体" w:hAnsi="Times New Roman"/>
                <w:szCs w:val="21"/>
              </w:rPr>
              <w:t>0</w:t>
            </w:r>
          </w:p>
        </w:tc>
        <w:tc>
          <w:tcPr>
            <w:tcW w:w="1257" w:type="pct"/>
            <w:tcBorders>
              <w:top w:val="single" w:sz="4" w:space="0" w:color="auto"/>
              <w:left w:val="nil"/>
              <w:bottom w:val="nil"/>
              <w:right w:val="nil"/>
            </w:tcBorders>
            <w:vAlign w:val="center"/>
          </w:tcPr>
          <w:p w14:paraId="59A7DE2E"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cs="宋体" w:hint="eastAsia"/>
                <w:szCs w:val="21"/>
              </w:rPr>
              <w:t>1</w:t>
            </w:r>
            <w:r w:rsidRPr="00CD7976">
              <w:rPr>
                <w:rFonts w:ascii="Times New Roman" w:eastAsia="宋体" w:hAnsi="Times New Roman" w:cs="宋体"/>
              </w:rPr>
              <w:t>25</w:t>
            </w:r>
          </w:p>
        </w:tc>
        <w:tc>
          <w:tcPr>
            <w:tcW w:w="1257" w:type="pct"/>
            <w:tcBorders>
              <w:top w:val="single" w:sz="4" w:space="0" w:color="auto"/>
              <w:left w:val="nil"/>
              <w:bottom w:val="nil"/>
              <w:right w:val="nil"/>
            </w:tcBorders>
            <w:vAlign w:val="center"/>
          </w:tcPr>
          <w:p w14:paraId="1803757D"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hint="eastAsia"/>
                <w:szCs w:val="21"/>
              </w:rPr>
              <w:t>0</w:t>
            </w:r>
            <w:r w:rsidRPr="00CD7976">
              <w:rPr>
                <w:rFonts w:ascii="Times New Roman" w:eastAsia="宋体" w:hAnsi="Times New Roman"/>
                <w:szCs w:val="21"/>
              </w:rPr>
              <w:t>.20</w:t>
            </w:r>
          </w:p>
        </w:tc>
      </w:tr>
      <w:tr w:rsidR="00283939" w14:paraId="076D0CEE" w14:textId="77777777" w:rsidTr="001D379F">
        <w:trPr>
          <w:trHeight w:val="348"/>
          <w:jc w:val="center"/>
        </w:trPr>
        <w:tc>
          <w:tcPr>
            <w:tcW w:w="1311" w:type="pct"/>
            <w:tcBorders>
              <w:top w:val="nil"/>
              <w:left w:val="nil"/>
              <w:bottom w:val="nil"/>
              <w:right w:val="nil"/>
            </w:tcBorders>
            <w:vAlign w:val="bottom"/>
          </w:tcPr>
          <w:p w14:paraId="521713DF"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cs="宋体" w:hint="eastAsia"/>
                <w:szCs w:val="21"/>
              </w:rPr>
              <w:t>G</w:t>
            </w:r>
            <w:r w:rsidRPr="00CD7976">
              <w:rPr>
                <w:rFonts w:ascii="Times New Roman" w:eastAsia="宋体" w:hAnsi="Times New Roman" w:cs="宋体"/>
                <w:szCs w:val="21"/>
              </w:rPr>
              <w:t>RIN100</w:t>
            </w:r>
          </w:p>
        </w:tc>
        <w:tc>
          <w:tcPr>
            <w:tcW w:w="1175" w:type="pct"/>
            <w:tcBorders>
              <w:top w:val="nil"/>
              <w:left w:val="nil"/>
              <w:bottom w:val="nil"/>
              <w:right w:val="nil"/>
            </w:tcBorders>
            <w:vAlign w:val="center"/>
          </w:tcPr>
          <w:p w14:paraId="5A62282E"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cs="宋体" w:hint="eastAsia"/>
                <w:szCs w:val="21"/>
              </w:rPr>
              <w:t>1</w:t>
            </w:r>
            <w:r w:rsidRPr="00CD7976">
              <w:rPr>
                <w:rFonts w:ascii="Times New Roman" w:eastAsia="宋体" w:hAnsi="Times New Roman" w:cs="宋体"/>
              </w:rPr>
              <w:t>00</w:t>
            </w:r>
          </w:p>
        </w:tc>
        <w:tc>
          <w:tcPr>
            <w:tcW w:w="1257" w:type="pct"/>
            <w:tcBorders>
              <w:top w:val="nil"/>
              <w:left w:val="nil"/>
              <w:bottom w:val="nil"/>
              <w:right w:val="nil"/>
            </w:tcBorders>
            <w:vAlign w:val="center"/>
          </w:tcPr>
          <w:p w14:paraId="02AC4235"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cs="宋体" w:hint="eastAsia"/>
                <w:szCs w:val="21"/>
              </w:rPr>
              <w:t>1</w:t>
            </w:r>
            <w:r w:rsidRPr="00CD7976">
              <w:rPr>
                <w:rFonts w:ascii="Times New Roman" w:eastAsia="宋体" w:hAnsi="Times New Roman" w:cs="宋体"/>
              </w:rPr>
              <w:t>25</w:t>
            </w:r>
          </w:p>
        </w:tc>
        <w:tc>
          <w:tcPr>
            <w:tcW w:w="1257" w:type="pct"/>
            <w:tcBorders>
              <w:top w:val="nil"/>
              <w:left w:val="nil"/>
              <w:bottom w:val="nil"/>
              <w:right w:val="nil"/>
            </w:tcBorders>
            <w:vAlign w:val="center"/>
          </w:tcPr>
          <w:p w14:paraId="2574A866"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cs="宋体" w:hint="eastAsia"/>
                <w:szCs w:val="21"/>
              </w:rPr>
              <w:t>0</w:t>
            </w:r>
            <w:r w:rsidRPr="00CD7976">
              <w:rPr>
                <w:rFonts w:ascii="Times New Roman" w:eastAsia="宋体" w:hAnsi="Times New Roman" w:cs="宋体"/>
                <w:szCs w:val="21"/>
              </w:rPr>
              <w:t>.29</w:t>
            </w:r>
          </w:p>
        </w:tc>
      </w:tr>
      <w:tr w:rsidR="00283939" w14:paraId="08AF72AA" w14:textId="77777777" w:rsidTr="001D379F">
        <w:trPr>
          <w:trHeight w:val="285"/>
          <w:jc w:val="center"/>
        </w:trPr>
        <w:tc>
          <w:tcPr>
            <w:tcW w:w="1311" w:type="pct"/>
            <w:tcBorders>
              <w:top w:val="nil"/>
              <w:left w:val="nil"/>
              <w:bottom w:val="single" w:sz="12" w:space="0" w:color="auto"/>
              <w:right w:val="nil"/>
            </w:tcBorders>
            <w:vAlign w:val="bottom"/>
          </w:tcPr>
          <w:p w14:paraId="7D95AF98"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cs="宋体" w:hint="eastAsia"/>
                <w:szCs w:val="21"/>
              </w:rPr>
              <w:t>G</w:t>
            </w:r>
            <w:r w:rsidRPr="00CD7976">
              <w:rPr>
                <w:rFonts w:ascii="Times New Roman" w:eastAsia="宋体" w:hAnsi="Times New Roman" w:cs="宋体"/>
                <w:szCs w:val="21"/>
              </w:rPr>
              <w:t>RIN200</w:t>
            </w:r>
          </w:p>
        </w:tc>
        <w:tc>
          <w:tcPr>
            <w:tcW w:w="1175" w:type="pct"/>
            <w:tcBorders>
              <w:top w:val="nil"/>
              <w:left w:val="nil"/>
              <w:bottom w:val="single" w:sz="12" w:space="0" w:color="auto"/>
              <w:right w:val="nil"/>
            </w:tcBorders>
            <w:vAlign w:val="center"/>
          </w:tcPr>
          <w:p w14:paraId="727E4FB4"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cs="宋体" w:hint="eastAsia"/>
                <w:szCs w:val="21"/>
              </w:rPr>
              <w:t>2</w:t>
            </w:r>
            <w:r w:rsidRPr="00CD7976">
              <w:rPr>
                <w:rFonts w:ascii="Times New Roman" w:eastAsia="宋体" w:hAnsi="Times New Roman" w:cs="宋体"/>
                <w:szCs w:val="21"/>
              </w:rPr>
              <w:t>00</w:t>
            </w:r>
          </w:p>
        </w:tc>
        <w:tc>
          <w:tcPr>
            <w:tcW w:w="1257" w:type="pct"/>
            <w:tcBorders>
              <w:top w:val="nil"/>
              <w:left w:val="nil"/>
              <w:bottom w:val="single" w:sz="12" w:space="0" w:color="auto"/>
              <w:right w:val="nil"/>
            </w:tcBorders>
            <w:vAlign w:val="center"/>
          </w:tcPr>
          <w:p w14:paraId="72C4A566"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cs="宋体" w:hint="eastAsia"/>
                <w:szCs w:val="21"/>
              </w:rPr>
              <w:t>2</w:t>
            </w:r>
            <w:r w:rsidRPr="00CD7976">
              <w:rPr>
                <w:rFonts w:ascii="Times New Roman" w:eastAsia="宋体" w:hAnsi="Times New Roman" w:cs="宋体"/>
                <w:szCs w:val="21"/>
              </w:rPr>
              <w:t>20</w:t>
            </w:r>
          </w:p>
        </w:tc>
        <w:tc>
          <w:tcPr>
            <w:tcW w:w="1257" w:type="pct"/>
            <w:tcBorders>
              <w:top w:val="nil"/>
              <w:left w:val="nil"/>
              <w:bottom w:val="single" w:sz="12" w:space="0" w:color="auto"/>
              <w:right w:val="nil"/>
            </w:tcBorders>
            <w:vAlign w:val="center"/>
          </w:tcPr>
          <w:p w14:paraId="7D0A2161" w14:textId="77777777" w:rsidR="00283939" w:rsidRPr="00CD7976" w:rsidRDefault="00283939" w:rsidP="006A26A5">
            <w:pPr>
              <w:jc w:val="center"/>
              <w:rPr>
                <w:rFonts w:ascii="Times New Roman" w:eastAsia="宋体" w:hAnsi="Times New Roman" w:cs="宋体"/>
                <w:szCs w:val="21"/>
              </w:rPr>
            </w:pPr>
            <w:r w:rsidRPr="00CD7976">
              <w:rPr>
                <w:rFonts w:ascii="Times New Roman" w:eastAsia="宋体" w:hAnsi="Times New Roman" w:cs="宋体" w:hint="eastAsia"/>
                <w:szCs w:val="21"/>
              </w:rPr>
              <w:t>0</w:t>
            </w:r>
            <w:r w:rsidRPr="00CD7976">
              <w:rPr>
                <w:rFonts w:ascii="Times New Roman" w:eastAsia="宋体" w:hAnsi="Times New Roman" w:cs="宋体"/>
                <w:szCs w:val="21"/>
              </w:rPr>
              <w:t>.22</w:t>
            </w:r>
          </w:p>
        </w:tc>
      </w:tr>
    </w:tbl>
    <w:p w14:paraId="4DCE90F0"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图</w:t>
      </w:r>
      <w:r w:rsidRPr="00234CBF">
        <w:rPr>
          <w:rFonts w:ascii="Times New Roman" w:eastAsia="宋体" w:hAnsi="Times New Roman"/>
          <w:kern w:val="0"/>
          <w:szCs w:val="21"/>
        </w:rPr>
        <w:t>2</w:t>
      </w:r>
      <w:r w:rsidRPr="00234CBF">
        <w:rPr>
          <w:rFonts w:ascii="Times New Roman" w:eastAsia="宋体" w:hAnsi="Times New Roman"/>
          <w:kern w:val="0"/>
          <w:szCs w:val="21"/>
        </w:rPr>
        <w:t>展示了在工作波长</w:t>
      </w:r>
      <w:r w:rsidRPr="00234CBF">
        <w:rPr>
          <w:rFonts w:ascii="Times New Roman" w:eastAsia="宋体" w:hAnsi="Times New Roman"/>
          <w:kern w:val="0"/>
          <w:szCs w:val="21"/>
        </w:rPr>
        <w:t>1064 nm</w:t>
      </w:r>
      <w:r w:rsidRPr="00234CBF">
        <w:rPr>
          <w:rFonts w:ascii="Times New Roman" w:eastAsia="宋体" w:hAnsi="Times New Roman"/>
          <w:kern w:val="0"/>
          <w:szCs w:val="21"/>
        </w:rPr>
        <w:t>下，传输光束的模场直径（</w:t>
      </w:r>
      <w:r w:rsidRPr="00234CBF">
        <w:rPr>
          <w:rFonts w:ascii="Times New Roman" w:eastAsia="宋体" w:hAnsi="Times New Roman"/>
          <w:kern w:val="0"/>
          <w:szCs w:val="21"/>
        </w:rPr>
        <w:t>MFD</w:t>
      </w:r>
      <w:r w:rsidRPr="00234CBF">
        <w:rPr>
          <w:rFonts w:ascii="Times New Roman" w:eastAsia="宋体" w:hAnsi="Times New Roman"/>
          <w:kern w:val="0"/>
          <w:szCs w:val="21"/>
        </w:rPr>
        <w:t>）随</w:t>
      </w:r>
      <w:r w:rsidRPr="00234CBF">
        <w:rPr>
          <w:rFonts w:ascii="Times New Roman" w:eastAsia="宋体" w:hAnsi="Times New Roman"/>
          <w:kern w:val="0"/>
          <w:szCs w:val="21"/>
        </w:rPr>
        <w:t>GRIN</w:t>
      </w:r>
      <w:r w:rsidRPr="00234CBF">
        <w:rPr>
          <w:rFonts w:ascii="Times New Roman" w:eastAsia="宋体" w:hAnsi="Times New Roman"/>
          <w:kern w:val="0"/>
          <w:szCs w:val="21"/>
        </w:rPr>
        <w:t>光纤长度的变化关系。三条曲线分别对应三种</w:t>
      </w:r>
      <w:r w:rsidRPr="00234CBF">
        <w:rPr>
          <w:rFonts w:ascii="Times New Roman" w:eastAsia="宋体" w:hAnsi="Times New Roman"/>
          <w:kern w:val="0"/>
          <w:szCs w:val="21"/>
        </w:rPr>
        <w:t>GRIN</w:t>
      </w:r>
      <w:r w:rsidRPr="00234CBF">
        <w:rPr>
          <w:rFonts w:ascii="Times New Roman" w:eastAsia="宋体" w:hAnsi="Times New Roman"/>
          <w:kern w:val="0"/>
          <w:szCs w:val="21"/>
        </w:rPr>
        <w:t>光纤，表征聚焦光斑</w:t>
      </w:r>
      <w:r w:rsidRPr="00234CBF">
        <w:rPr>
          <w:rFonts w:ascii="Times New Roman" w:eastAsia="宋体" w:hAnsi="Times New Roman"/>
          <w:kern w:val="0"/>
          <w:szCs w:val="21"/>
        </w:rPr>
        <w:t>MFD</w:t>
      </w:r>
      <w:r w:rsidRPr="00234CBF">
        <w:rPr>
          <w:rFonts w:ascii="Times New Roman" w:eastAsia="宋体" w:hAnsi="Times New Roman"/>
          <w:kern w:val="0"/>
          <w:szCs w:val="21"/>
        </w:rPr>
        <w:t>随光纤长度的演化过程：从</w:t>
      </w:r>
      <w:r w:rsidRPr="00234CBF">
        <w:rPr>
          <w:rFonts w:ascii="Times New Roman" w:eastAsia="宋体" w:hAnsi="Times New Roman"/>
          <w:kern w:val="0"/>
          <w:szCs w:val="21"/>
        </w:rPr>
        <w:t>GRIN</w:t>
      </w:r>
      <w:r w:rsidRPr="00234CBF">
        <w:rPr>
          <w:rFonts w:ascii="Times New Roman" w:eastAsia="宋体" w:hAnsi="Times New Roman"/>
          <w:kern w:val="0"/>
          <w:szCs w:val="21"/>
        </w:rPr>
        <w:t>光纤长度为</w:t>
      </w:r>
      <w:r w:rsidRPr="00234CBF">
        <w:rPr>
          <w:rFonts w:ascii="Times New Roman" w:eastAsia="宋体" w:hAnsi="Times New Roman"/>
          <w:kern w:val="0"/>
          <w:szCs w:val="21"/>
        </w:rPr>
        <w:t>0</w:t>
      </w:r>
      <w:r w:rsidRPr="00234CBF">
        <w:rPr>
          <w:rFonts w:ascii="Times New Roman" w:eastAsia="宋体" w:hAnsi="Times New Roman"/>
          <w:kern w:val="0"/>
          <w:szCs w:val="21"/>
        </w:rPr>
        <w:t>的位置开始，</w:t>
      </w:r>
      <w:r w:rsidRPr="00234CBF">
        <w:rPr>
          <w:rFonts w:ascii="Times New Roman" w:eastAsia="宋体" w:hAnsi="Times New Roman"/>
          <w:kern w:val="0"/>
          <w:szCs w:val="21"/>
        </w:rPr>
        <w:t>MFD</w:t>
      </w:r>
      <w:r w:rsidRPr="00234CBF">
        <w:rPr>
          <w:rFonts w:ascii="Times New Roman" w:eastAsia="宋体" w:hAnsi="Times New Roman"/>
          <w:kern w:val="0"/>
          <w:szCs w:val="21"/>
        </w:rPr>
        <w:t>随长度增大而逐渐增加，在约</w:t>
      </w:r>
      <w:r w:rsidRPr="00234CBF">
        <w:rPr>
          <w:rFonts w:ascii="Times New Roman" w:eastAsia="宋体" w:hAnsi="Times New Roman"/>
          <w:kern w:val="0"/>
          <w:szCs w:val="21"/>
        </w:rPr>
        <w:t>0.25</w:t>
      </w:r>
      <w:r w:rsidRPr="00234CBF">
        <w:rPr>
          <w:rFonts w:ascii="Times New Roman" w:eastAsia="宋体" w:hAnsi="Times New Roman"/>
          <w:kern w:val="0"/>
          <w:szCs w:val="21"/>
        </w:rPr>
        <w:t>个节距</w:t>
      </w:r>
      <w:r w:rsidRPr="00234CBF">
        <w:rPr>
          <w:rFonts w:ascii="Times New Roman" w:eastAsia="宋体" w:hAnsi="Times New Roman" w:hint="eastAsia"/>
          <w:kern w:val="0"/>
          <w:szCs w:val="21"/>
        </w:rPr>
        <w:t>（</w:t>
      </w:r>
      <w:r w:rsidRPr="00234CBF">
        <w:rPr>
          <w:rFonts w:ascii="Times New Roman" w:eastAsia="宋体" w:hAnsi="Times New Roman" w:hint="eastAsia"/>
          <w:kern w:val="0"/>
          <w:szCs w:val="21"/>
        </w:rPr>
        <w:t>pitch</w:t>
      </w:r>
      <w:r w:rsidRPr="00234CBF">
        <w:rPr>
          <w:rFonts w:ascii="Times New Roman" w:eastAsia="宋体" w:hAnsi="Times New Roman" w:hint="eastAsia"/>
          <w:kern w:val="0"/>
          <w:szCs w:val="21"/>
        </w:rPr>
        <w:t>）</w:t>
      </w:r>
      <w:r w:rsidRPr="00234CBF">
        <w:rPr>
          <w:rFonts w:ascii="Times New Roman" w:eastAsia="宋体" w:hAnsi="Times New Roman"/>
          <w:kern w:val="0"/>
          <w:szCs w:val="21"/>
        </w:rPr>
        <w:t>处达到最大值</w:t>
      </w:r>
      <w:r w:rsidRPr="00234CBF">
        <w:rPr>
          <w:rFonts w:ascii="Times New Roman" w:eastAsia="宋体" w:hAnsi="Times New Roman" w:hint="eastAsia"/>
          <w:kern w:val="0"/>
          <w:szCs w:val="21"/>
        </w:rPr>
        <w:t>，一个节距是指光线</w:t>
      </w:r>
      <w:r w:rsidRPr="00234CBF">
        <w:rPr>
          <w:rFonts w:ascii="Times New Roman" w:eastAsia="宋体" w:hAnsi="Times New Roman"/>
          <w:kern w:val="0"/>
          <w:szCs w:val="21"/>
        </w:rPr>
        <w:t>在纤芯中由于折射率梯度而发生的周期性</w:t>
      </w:r>
      <w:r w:rsidRPr="00234CBF">
        <w:rPr>
          <w:rFonts w:ascii="Times New Roman" w:eastAsia="宋体" w:hAnsi="Times New Roman" w:hint="eastAsia"/>
          <w:kern w:val="0"/>
          <w:szCs w:val="21"/>
        </w:rPr>
        <w:t>发散</w:t>
      </w:r>
      <w:r w:rsidRPr="00234CBF">
        <w:rPr>
          <w:rFonts w:ascii="Times New Roman" w:eastAsia="宋体" w:hAnsi="Times New Roman"/>
          <w:kern w:val="0"/>
          <w:szCs w:val="21"/>
        </w:rPr>
        <w:t>–</w:t>
      </w:r>
      <w:r w:rsidRPr="00234CBF">
        <w:rPr>
          <w:rFonts w:ascii="Times New Roman" w:eastAsia="宋体" w:hAnsi="Times New Roman"/>
          <w:kern w:val="0"/>
          <w:szCs w:val="21"/>
        </w:rPr>
        <w:t>聚焦</w:t>
      </w:r>
      <w:r w:rsidRPr="00234CBF">
        <w:rPr>
          <w:rFonts w:ascii="Times New Roman" w:eastAsia="宋体" w:hAnsi="Times New Roman"/>
          <w:kern w:val="0"/>
          <w:szCs w:val="21"/>
        </w:rPr>
        <w:t>–</w:t>
      </w:r>
      <w:r w:rsidRPr="00234CBF">
        <w:rPr>
          <w:rFonts w:ascii="Times New Roman" w:eastAsia="宋体" w:hAnsi="Times New Roman" w:hint="eastAsia"/>
          <w:kern w:val="0"/>
          <w:szCs w:val="21"/>
        </w:rPr>
        <w:t>再</w:t>
      </w:r>
      <w:r w:rsidRPr="00234CBF">
        <w:rPr>
          <w:rFonts w:ascii="Times New Roman" w:eastAsia="宋体" w:hAnsi="Times New Roman"/>
          <w:kern w:val="0"/>
          <w:szCs w:val="21"/>
        </w:rPr>
        <w:t>发散</w:t>
      </w:r>
      <w:r w:rsidRPr="00234CBF">
        <w:rPr>
          <w:rFonts w:ascii="Times New Roman" w:eastAsia="宋体" w:hAnsi="Times New Roman"/>
          <w:kern w:val="0"/>
          <w:szCs w:val="21"/>
        </w:rPr>
        <w:t>–</w:t>
      </w:r>
      <w:r w:rsidRPr="00234CBF">
        <w:rPr>
          <w:rFonts w:ascii="Times New Roman" w:eastAsia="宋体" w:hAnsi="Times New Roman"/>
          <w:kern w:val="0"/>
          <w:szCs w:val="21"/>
        </w:rPr>
        <w:t>再聚焦的传播周期。由图</w:t>
      </w:r>
      <w:r w:rsidRPr="00234CBF">
        <w:rPr>
          <w:rFonts w:ascii="Times New Roman" w:eastAsia="宋体" w:hAnsi="Times New Roman"/>
          <w:kern w:val="0"/>
          <w:szCs w:val="21"/>
        </w:rPr>
        <w:t>2</w:t>
      </w:r>
      <w:r w:rsidRPr="00234CBF">
        <w:rPr>
          <w:rFonts w:ascii="Times New Roman" w:eastAsia="宋体" w:hAnsi="Times New Roman"/>
          <w:kern w:val="0"/>
          <w:szCs w:val="21"/>
        </w:rPr>
        <w:t>可见，</w:t>
      </w:r>
      <w:r w:rsidRPr="00234CBF">
        <w:rPr>
          <w:rFonts w:ascii="Times New Roman" w:eastAsia="宋体" w:hAnsi="Times New Roman" w:hint="eastAsia"/>
          <w:kern w:val="0"/>
          <w:szCs w:val="21"/>
        </w:rPr>
        <w:t>由于前端</w:t>
      </w:r>
      <w:r w:rsidRPr="00234CBF">
        <w:rPr>
          <w:rFonts w:ascii="Times New Roman" w:eastAsia="宋体" w:hAnsi="Times New Roman" w:hint="eastAsia"/>
          <w:kern w:val="0"/>
          <w:szCs w:val="21"/>
        </w:rPr>
        <w:t>S</w:t>
      </w:r>
      <w:r w:rsidRPr="00234CBF">
        <w:rPr>
          <w:rFonts w:ascii="Times New Roman" w:eastAsia="宋体" w:hAnsi="Times New Roman"/>
          <w:kern w:val="0"/>
          <w:szCs w:val="21"/>
        </w:rPr>
        <w:t>CF</w:t>
      </w:r>
      <w:r w:rsidRPr="00234CBF">
        <w:rPr>
          <w:rFonts w:ascii="Times New Roman" w:eastAsia="宋体" w:hAnsi="Times New Roman" w:hint="eastAsia"/>
          <w:kern w:val="0"/>
          <w:szCs w:val="21"/>
        </w:rPr>
        <w:t>的</w:t>
      </w:r>
      <w:r w:rsidRPr="00234CBF">
        <w:rPr>
          <w:rFonts w:ascii="Times New Roman" w:eastAsia="宋体" w:hAnsi="Times New Roman" w:hint="eastAsia"/>
          <w:kern w:val="0"/>
          <w:szCs w:val="21"/>
        </w:rPr>
        <w:t>M</w:t>
      </w:r>
      <w:r w:rsidRPr="00234CBF">
        <w:rPr>
          <w:rFonts w:ascii="Times New Roman" w:eastAsia="宋体" w:hAnsi="Times New Roman"/>
          <w:kern w:val="0"/>
          <w:szCs w:val="21"/>
        </w:rPr>
        <w:t>FD</w:t>
      </w:r>
      <w:r w:rsidRPr="00234CBF">
        <w:rPr>
          <w:rFonts w:ascii="Times New Roman" w:eastAsia="宋体" w:hAnsi="Times New Roman" w:hint="eastAsia"/>
          <w:kern w:val="0"/>
          <w:szCs w:val="21"/>
        </w:rPr>
        <w:t>为</w:t>
      </w:r>
      <w:r w:rsidRPr="00234CBF">
        <w:rPr>
          <w:rFonts w:ascii="Times New Roman" w:eastAsia="宋体" w:hAnsi="Times New Roman" w:hint="eastAsia"/>
          <w:kern w:val="0"/>
          <w:szCs w:val="21"/>
        </w:rPr>
        <w:t>7</w:t>
      </w:r>
      <w:r w:rsidRPr="00234CBF">
        <w:rPr>
          <w:rFonts w:ascii="Times New Roman" w:eastAsia="宋体" w:hAnsi="Times New Roman"/>
          <w:kern w:val="0"/>
          <w:szCs w:val="21"/>
        </w:rPr>
        <w:t>.5 μ</w:t>
      </w:r>
      <w:r w:rsidRPr="00234CBF">
        <w:rPr>
          <w:rFonts w:ascii="Times New Roman" w:eastAsia="宋体" w:hAnsi="Times New Roman" w:hint="eastAsia"/>
          <w:kern w:val="0"/>
          <w:szCs w:val="21"/>
        </w:rPr>
        <w:t>m</w:t>
      </w:r>
      <w:r w:rsidRPr="00234CBF">
        <w:rPr>
          <w:rFonts w:ascii="Times New Roman" w:eastAsia="宋体" w:hAnsi="Times New Roman" w:hint="eastAsia"/>
          <w:kern w:val="0"/>
          <w:szCs w:val="21"/>
        </w:rPr>
        <w:t>，则该结构的</w:t>
      </w:r>
      <w:r w:rsidRPr="00234CBF">
        <w:rPr>
          <w:rFonts w:ascii="Times New Roman" w:eastAsia="宋体" w:hAnsi="Times New Roman" w:hint="eastAsia"/>
          <w:kern w:val="0"/>
          <w:szCs w:val="21"/>
        </w:rPr>
        <w:t>M</w:t>
      </w:r>
      <w:r w:rsidRPr="00234CBF">
        <w:rPr>
          <w:rFonts w:ascii="Times New Roman" w:eastAsia="宋体" w:hAnsi="Times New Roman"/>
          <w:kern w:val="0"/>
          <w:szCs w:val="21"/>
        </w:rPr>
        <w:t>FD</w:t>
      </w:r>
      <w:r w:rsidRPr="00234CBF">
        <w:rPr>
          <w:rFonts w:ascii="Times New Roman" w:eastAsia="宋体" w:hAnsi="Times New Roman" w:hint="eastAsia"/>
          <w:kern w:val="0"/>
          <w:szCs w:val="21"/>
        </w:rPr>
        <w:t>数值下限为</w:t>
      </w:r>
      <w:r w:rsidRPr="00234CBF">
        <w:rPr>
          <w:rFonts w:ascii="Times New Roman" w:eastAsia="宋体" w:hAnsi="Times New Roman" w:hint="eastAsia"/>
          <w:kern w:val="0"/>
          <w:szCs w:val="21"/>
        </w:rPr>
        <w:t>7</w:t>
      </w:r>
      <w:r w:rsidRPr="00234CBF">
        <w:rPr>
          <w:rFonts w:ascii="Times New Roman" w:eastAsia="宋体" w:hAnsi="Times New Roman"/>
          <w:kern w:val="0"/>
          <w:szCs w:val="21"/>
        </w:rPr>
        <w:t>.5 μ</w:t>
      </w:r>
      <w:r w:rsidRPr="00234CBF">
        <w:rPr>
          <w:rFonts w:ascii="Times New Roman" w:eastAsia="宋体" w:hAnsi="Times New Roman" w:hint="eastAsia"/>
          <w:kern w:val="0"/>
          <w:szCs w:val="21"/>
        </w:rPr>
        <w:t>m</w:t>
      </w:r>
      <w:r w:rsidRPr="00234CBF">
        <w:rPr>
          <w:rFonts w:ascii="Times New Roman" w:eastAsia="宋体" w:hAnsi="Times New Roman" w:hint="eastAsia"/>
          <w:kern w:val="0"/>
          <w:szCs w:val="21"/>
        </w:rPr>
        <w:t>；</w:t>
      </w:r>
      <w:r w:rsidRPr="00234CBF">
        <w:rPr>
          <w:rFonts w:ascii="Times New Roman" w:eastAsia="宋体" w:hAnsi="Times New Roman"/>
          <w:kern w:val="0"/>
          <w:szCs w:val="21"/>
        </w:rPr>
        <w:t>基于</w:t>
      </w:r>
      <w:r w:rsidRPr="00234CBF">
        <w:rPr>
          <w:rFonts w:ascii="Times New Roman" w:eastAsia="宋体" w:hAnsi="Times New Roman"/>
          <w:kern w:val="0"/>
          <w:szCs w:val="21"/>
        </w:rPr>
        <w:t>OM2</w:t>
      </w:r>
      <w:r w:rsidRPr="00234CBF">
        <w:rPr>
          <w:rFonts w:ascii="Times New Roman" w:eastAsia="宋体" w:hAnsi="Times New Roman"/>
          <w:kern w:val="0"/>
          <w:szCs w:val="21"/>
        </w:rPr>
        <w:t>光纤可以实现约</w:t>
      </w:r>
      <w:r w:rsidRPr="00234CBF">
        <w:rPr>
          <w:rFonts w:ascii="Times New Roman" w:eastAsia="宋体" w:hAnsi="Times New Roman"/>
          <w:kern w:val="0"/>
          <w:szCs w:val="21"/>
        </w:rPr>
        <w:t>7.5–22 μm</w:t>
      </w:r>
      <w:r w:rsidRPr="00234CBF">
        <w:rPr>
          <w:rFonts w:ascii="Times New Roman" w:eastAsia="宋体" w:hAnsi="Times New Roman"/>
          <w:kern w:val="0"/>
          <w:szCs w:val="21"/>
        </w:rPr>
        <w:t>的</w:t>
      </w:r>
      <w:r w:rsidRPr="00234CBF">
        <w:rPr>
          <w:rFonts w:ascii="Times New Roman" w:eastAsia="宋体" w:hAnsi="Times New Roman"/>
          <w:kern w:val="0"/>
          <w:szCs w:val="21"/>
        </w:rPr>
        <w:t>MFD</w:t>
      </w:r>
      <w:r w:rsidRPr="00234CBF">
        <w:rPr>
          <w:rFonts w:ascii="Times New Roman" w:eastAsia="宋体" w:hAnsi="Times New Roman"/>
          <w:kern w:val="0"/>
          <w:szCs w:val="21"/>
        </w:rPr>
        <w:t>调节范围，而</w:t>
      </w:r>
      <w:r w:rsidRPr="00234CBF">
        <w:rPr>
          <w:rFonts w:ascii="Times New Roman" w:eastAsia="宋体" w:hAnsi="Times New Roman"/>
          <w:kern w:val="0"/>
          <w:szCs w:val="21"/>
        </w:rPr>
        <w:t>GRIN100</w:t>
      </w:r>
      <w:r w:rsidRPr="00234CBF">
        <w:rPr>
          <w:rFonts w:ascii="Times New Roman" w:eastAsia="宋体" w:hAnsi="Times New Roman"/>
          <w:kern w:val="0"/>
          <w:szCs w:val="21"/>
        </w:rPr>
        <w:t>和</w:t>
      </w:r>
      <w:r w:rsidRPr="00234CBF">
        <w:rPr>
          <w:rFonts w:ascii="Times New Roman" w:eastAsia="宋体" w:hAnsi="Times New Roman"/>
          <w:kern w:val="0"/>
          <w:szCs w:val="21"/>
        </w:rPr>
        <w:t>GRIN200</w:t>
      </w:r>
      <w:r w:rsidRPr="00234CBF">
        <w:rPr>
          <w:rFonts w:ascii="Times New Roman" w:eastAsia="宋体" w:hAnsi="Times New Roman"/>
          <w:kern w:val="0"/>
          <w:szCs w:val="21"/>
        </w:rPr>
        <w:t>分别可覆盖约</w:t>
      </w:r>
      <w:r w:rsidRPr="00234CBF">
        <w:rPr>
          <w:rFonts w:ascii="Times New Roman" w:eastAsia="宋体" w:hAnsi="Times New Roman"/>
          <w:kern w:val="0"/>
          <w:szCs w:val="21"/>
        </w:rPr>
        <w:t>7.5–31 μm</w:t>
      </w:r>
      <w:r w:rsidRPr="00234CBF">
        <w:rPr>
          <w:rFonts w:ascii="Times New Roman" w:eastAsia="宋体" w:hAnsi="Times New Roman"/>
          <w:kern w:val="0"/>
          <w:szCs w:val="21"/>
        </w:rPr>
        <w:t>和</w:t>
      </w:r>
      <w:r w:rsidRPr="00234CBF">
        <w:rPr>
          <w:rFonts w:ascii="Times New Roman" w:eastAsia="宋体" w:hAnsi="Times New Roman"/>
          <w:kern w:val="0"/>
          <w:szCs w:val="21"/>
        </w:rPr>
        <w:t>7.5–85 μm</w:t>
      </w:r>
      <w:r w:rsidRPr="00234CBF">
        <w:rPr>
          <w:rFonts w:ascii="Times New Roman" w:eastAsia="宋体" w:hAnsi="Times New Roman"/>
          <w:kern w:val="0"/>
          <w:szCs w:val="21"/>
        </w:rPr>
        <w:t>的</w:t>
      </w:r>
      <w:r w:rsidRPr="00234CBF">
        <w:rPr>
          <w:rFonts w:ascii="Times New Roman" w:eastAsia="宋体" w:hAnsi="Times New Roman"/>
          <w:kern w:val="0"/>
          <w:szCs w:val="21"/>
        </w:rPr>
        <w:t>MFD</w:t>
      </w:r>
      <w:r w:rsidRPr="00234CBF">
        <w:rPr>
          <w:rFonts w:ascii="Times New Roman" w:eastAsia="宋体" w:hAnsi="Times New Roman"/>
          <w:kern w:val="0"/>
          <w:szCs w:val="21"/>
        </w:rPr>
        <w:t>区间。</w:t>
      </w:r>
      <w:r w:rsidR="00BC74A1" w:rsidRPr="001311C9">
        <w:rPr>
          <w:rFonts w:ascii="Times New Roman" w:eastAsia="宋体" w:hAnsi="Times New Roman" w:hint="eastAsia"/>
          <w:kern w:val="0"/>
          <w:szCs w:val="21"/>
        </w:rPr>
        <w:t>针对</w:t>
      </w:r>
      <w:r w:rsidR="00BC74A1" w:rsidRPr="001311C9">
        <w:rPr>
          <w:rFonts w:ascii="Times New Roman" w:eastAsia="宋体" w:hAnsi="Times New Roman"/>
          <w:kern w:val="0"/>
          <w:szCs w:val="21"/>
        </w:rPr>
        <w:t>本文选用</w:t>
      </w:r>
      <w:r w:rsidR="00BC74A1" w:rsidRPr="001311C9">
        <w:rPr>
          <w:rFonts w:ascii="Times New Roman" w:eastAsia="宋体" w:hAnsi="Times New Roman" w:hint="eastAsia"/>
          <w:kern w:val="0"/>
          <w:szCs w:val="21"/>
        </w:rPr>
        <w:t>的</w:t>
      </w:r>
      <w:r w:rsidR="00BC74A1" w:rsidRPr="001311C9">
        <w:rPr>
          <w:rFonts w:ascii="Times New Roman" w:eastAsia="宋体" w:hAnsi="Times New Roman"/>
          <w:kern w:val="0"/>
          <w:szCs w:val="21"/>
        </w:rPr>
        <w:t>OM2</w:t>
      </w:r>
      <w:r w:rsidR="00BC74A1" w:rsidRPr="001311C9">
        <w:rPr>
          <w:rFonts w:ascii="Times New Roman" w:eastAsia="宋体" w:hAnsi="Times New Roman"/>
          <w:kern w:val="0"/>
          <w:szCs w:val="21"/>
        </w:rPr>
        <w:t>渐变折射率光纤作为模场适配器时，所需</w:t>
      </w:r>
      <w:r w:rsidR="00BC74A1" w:rsidRPr="001311C9">
        <w:rPr>
          <w:rFonts w:ascii="Times New Roman" w:eastAsia="宋体" w:hAnsi="Times New Roman"/>
          <w:kern w:val="0"/>
          <w:szCs w:val="21"/>
        </w:rPr>
        <w:t>GRIN</w:t>
      </w:r>
      <w:r w:rsidR="00BC74A1" w:rsidRPr="001311C9">
        <w:rPr>
          <w:rFonts w:ascii="Times New Roman" w:eastAsia="宋体" w:hAnsi="Times New Roman"/>
          <w:kern w:val="0"/>
          <w:szCs w:val="21"/>
        </w:rPr>
        <w:t>长度最短仅为约</w:t>
      </w:r>
      <w:r w:rsidR="00BC74A1" w:rsidRPr="001311C9">
        <w:rPr>
          <w:rFonts w:ascii="Times New Roman" w:eastAsia="宋体" w:hAnsi="Times New Roman"/>
          <w:kern w:val="0"/>
          <w:szCs w:val="21"/>
        </w:rPr>
        <w:t>265 μm</w:t>
      </w:r>
      <w:r w:rsidR="00BC74A1" w:rsidRPr="001311C9">
        <w:rPr>
          <w:rFonts w:ascii="Times New Roman" w:eastAsia="宋体" w:hAnsi="Times New Roman"/>
          <w:kern w:val="0"/>
          <w:szCs w:val="21"/>
        </w:rPr>
        <w:t>，且在</w:t>
      </w:r>
      <w:r w:rsidR="00BC74A1" w:rsidRPr="001311C9">
        <w:rPr>
          <w:rFonts w:ascii="Times New Roman" w:eastAsia="宋体" w:hAnsi="Times New Roman"/>
          <w:kern w:val="0"/>
          <w:szCs w:val="21"/>
        </w:rPr>
        <w:t>1064 nm</w:t>
      </w:r>
      <w:r w:rsidR="00BC74A1" w:rsidRPr="001311C9">
        <w:rPr>
          <w:rFonts w:ascii="Times New Roman" w:eastAsia="宋体" w:hAnsi="Times New Roman"/>
          <w:kern w:val="0"/>
          <w:szCs w:val="21"/>
        </w:rPr>
        <w:t>波段石英基材料吸收低，因此</w:t>
      </w:r>
      <w:r w:rsidR="00BC74A1" w:rsidRPr="001311C9">
        <w:rPr>
          <w:rFonts w:ascii="Times New Roman" w:eastAsia="宋体" w:hAnsi="Times New Roman" w:hint="eastAsia"/>
          <w:kern w:val="0"/>
          <w:szCs w:val="21"/>
        </w:rPr>
        <w:t>在千瓦级别工作时</w:t>
      </w:r>
      <w:r w:rsidR="00BC74A1" w:rsidRPr="001311C9">
        <w:rPr>
          <w:rFonts w:ascii="Times New Roman" w:eastAsia="宋体" w:hAnsi="Times New Roman"/>
          <w:kern w:val="0"/>
          <w:szCs w:val="21"/>
        </w:rPr>
        <w:t>吸收致热功率小于</w:t>
      </w:r>
      <w:r w:rsidR="00BC74A1" w:rsidRPr="001311C9">
        <w:rPr>
          <w:rFonts w:ascii="Times New Roman" w:eastAsia="宋体" w:hAnsi="Times New Roman"/>
          <w:kern w:val="0"/>
          <w:szCs w:val="21"/>
        </w:rPr>
        <w:t>1 mW</w:t>
      </w:r>
      <w:r w:rsidR="00BC74A1" w:rsidRPr="001311C9">
        <w:rPr>
          <w:rFonts w:ascii="Times New Roman" w:eastAsia="宋体" w:hAnsi="Times New Roman"/>
          <w:kern w:val="0"/>
          <w:szCs w:val="21"/>
        </w:rPr>
        <w:t>量级；据此估算的中心温升＜</w:t>
      </w:r>
      <w:r w:rsidR="00BC74A1" w:rsidRPr="001311C9">
        <w:rPr>
          <w:rFonts w:ascii="Times New Roman" w:eastAsia="宋体" w:hAnsi="Times New Roman"/>
          <w:kern w:val="0"/>
          <w:szCs w:val="21"/>
        </w:rPr>
        <w:t>0.2 K</w:t>
      </w:r>
      <w:r w:rsidR="00BC74A1" w:rsidRPr="001311C9">
        <w:rPr>
          <w:rFonts w:ascii="Times New Roman" w:eastAsia="宋体" w:hAnsi="Times New Roman"/>
          <w:kern w:val="0"/>
          <w:szCs w:val="21"/>
        </w:rPr>
        <w:t>，对应的相对光焦度扰动＜</w:t>
      </w:r>
      <w:r w:rsidR="00BC74A1" w:rsidRPr="001311C9">
        <w:rPr>
          <w:rFonts w:ascii="Times New Roman" w:eastAsia="宋体" w:hAnsi="Times New Roman"/>
          <w:kern w:val="0"/>
          <w:szCs w:val="21"/>
        </w:rPr>
        <w:t>0.1%</w:t>
      </w:r>
      <w:r w:rsidR="00BC74A1" w:rsidRPr="001311C9">
        <w:rPr>
          <w:rFonts w:ascii="Times New Roman" w:eastAsia="宋体" w:hAnsi="Times New Roman"/>
          <w:kern w:val="0"/>
          <w:szCs w:val="21"/>
        </w:rPr>
        <w:t>，不足以引起可观的聚焦位置漂移或模场失配</w:t>
      </w:r>
      <w:r w:rsidR="00A20F65" w:rsidRPr="001311C9">
        <w:rPr>
          <w:rFonts w:ascii="Times New Roman" w:eastAsia="宋体" w:hAnsi="Times New Roman" w:hint="eastAsia"/>
          <w:kern w:val="0"/>
          <w:szCs w:val="21"/>
        </w:rPr>
        <w:t>，因此在高功率工作条件下，上述结果仍适用</w:t>
      </w:r>
      <w:r w:rsidR="00BC74A1" w:rsidRPr="001311C9">
        <w:rPr>
          <w:rFonts w:ascii="Times New Roman" w:eastAsia="宋体" w:hAnsi="Times New Roman"/>
          <w:kern w:val="0"/>
          <w:szCs w:val="21"/>
        </w:rPr>
        <w:t>。</w:t>
      </w:r>
    </w:p>
    <w:p w14:paraId="089B3556" w14:textId="77777777" w:rsidR="0033213E"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这些结果表明，对于不同模场大小的</w:t>
      </w:r>
      <w:r w:rsidRPr="00234CBF">
        <w:rPr>
          <w:rFonts w:ascii="Times New Roman" w:eastAsia="宋体" w:hAnsi="Times New Roman" w:hint="eastAsia"/>
          <w:kern w:val="0"/>
          <w:szCs w:val="21"/>
        </w:rPr>
        <w:t>H</w:t>
      </w:r>
      <w:r w:rsidRPr="00234CBF">
        <w:rPr>
          <w:rFonts w:ascii="Times New Roman" w:eastAsia="宋体" w:hAnsi="Times New Roman"/>
          <w:kern w:val="0"/>
          <w:szCs w:val="21"/>
        </w:rPr>
        <w:t>CF</w:t>
      </w:r>
      <w:r w:rsidRPr="00234CBF">
        <w:rPr>
          <w:rFonts w:ascii="Times New Roman" w:eastAsia="宋体" w:hAnsi="Times New Roman"/>
          <w:kern w:val="0"/>
          <w:szCs w:val="21"/>
        </w:rPr>
        <w:t>，只需选择合适芯径的</w:t>
      </w:r>
      <w:r w:rsidRPr="00234CBF">
        <w:rPr>
          <w:rFonts w:ascii="Times New Roman" w:eastAsia="宋体" w:hAnsi="Times New Roman"/>
          <w:kern w:val="0"/>
          <w:szCs w:val="21"/>
        </w:rPr>
        <w:t>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并依据目标模场尺寸进行有目的的长度选择</w:t>
      </w:r>
      <w:r w:rsidRPr="00234CBF">
        <w:rPr>
          <w:rFonts w:ascii="Times New Roman" w:eastAsia="宋体" w:hAnsi="Times New Roman" w:hint="eastAsia"/>
          <w:kern w:val="0"/>
          <w:szCs w:val="21"/>
        </w:rPr>
        <w:t>，</w:t>
      </w:r>
      <w:r w:rsidRPr="00234CBF">
        <w:rPr>
          <w:rFonts w:ascii="Times New Roman" w:eastAsia="宋体" w:hAnsi="Times New Roman"/>
          <w:kern w:val="0"/>
          <w:szCs w:val="21"/>
        </w:rPr>
        <w:t>可将其作为特定的模场适配器，以获得更低的耦合损耗。同时，增大</w:t>
      </w:r>
      <w:r w:rsidRPr="00234CBF">
        <w:rPr>
          <w:rFonts w:ascii="Times New Roman" w:eastAsia="宋体" w:hAnsi="Times New Roman"/>
          <w:kern w:val="0"/>
          <w:szCs w:val="21"/>
        </w:rPr>
        <w:t>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的芯径虽然可以显著拓展可实现的</w:t>
      </w:r>
      <w:r w:rsidRPr="00234CBF">
        <w:rPr>
          <w:rFonts w:ascii="Times New Roman" w:eastAsia="宋体" w:hAnsi="Times New Roman"/>
          <w:kern w:val="0"/>
          <w:szCs w:val="21"/>
        </w:rPr>
        <w:t>MFD</w:t>
      </w:r>
      <w:r w:rsidRPr="00234CBF">
        <w:rPr>
          <w:rFonts w:ascii="Times New Roman" w:eastAsia="宋体" w:hAnsi="Times New Roman"/>
          <w:kern w:val="0"/>
          <w:szCs w:val="21"/>
        </w:rPr>
        <w:t>调节范围，但也会带来聚焦</w:t>
      </w:r>
      <w:r w:rsidRPr="00234CBF">
        <w:rPr>
          <w:rFonts w:ascii="Times New Roman" w:eastAsia="宋体" w:hAnsi="Times New Roman"/>
          <w:kern w:val="0"/>
          <w:szCs w:val="21"/>
        </w:rPr>
        <w:lastRenderedPageBreak/>
        <w:t>位置距离光纤端面更远、以及在</w:t>
      </w:r>
      <w:r w:rsidRPr="00234CBF">
        <w:rPr>
          <w:rFonts w:ascii="Times New Roman" w:eastAsia="宋体" w:hAnsi="Times New Roman"/>
          <w:kern w:val="0"/>
          <w:szCs w:val="21"/>
        </w:rPr>
        <w:t>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中更易激发高阶模式等代价，需要在实际设计中综合权衡。</w:t>
      </w:r>
    </w:p>
    <w:p w14:paraId="4559D82B" w14:textId="135E20C5" w:rsidR="00283939" w:rsidRDefault="00E65342" w:rsidP="006A26A5">
      <w:pPr>
        <w:jc w:val="center"/>
        <w:rPr>
          <w:noProof/>
        </w:rPr>
      </w:pPr>
      <w:r>
        <w:rPr>
          <w:noProof/>
        </w:rPr>
        <w:object w:dxaOrig="4095" w:dyaOrig="3540" w14:anchorId="1D1BF3A5">
          <v:shape id="_x0000_i1026" type="#_x0000_t75" style="width:204.75pt;height:177.2pt" o:ole="">
            <v:imagedata r:id="rId10" o:title=""/>
          </v:shape>
          <o:OLEObject Type="Embed" ProgID="Visio.Drawing.15" ShapeID="_x0000_i1026" DrawAspect="Content" ObjectID="_1844942216" r:id="rId11"/>
        </w:object>
      </w:r>
    </w:p>
    <w:p w14:paraId="22C6BEBE" w14:textId="77777777" w:rsidR="00283939" w:rsidRPr="00F64E20" w:rsidRDefault="00283939" w:rsidP="006A26A5">
      <w:pPr>
        <w:pStyle w:val="af2"/>
        <w:spacing w:before="0" w:beforeAutospacing="0" w:after="0" w:afterAutospacing="0"/>
        <w:ind w:firstLineChars="0" w:firstLine="0"/>
        <w:jc w:val="center"/>
        <w:rPr>
          <w:rStyle w:val="af3"/>
          <w:rFonts w:ascii="宋体" w:hAnsi="宋体"/>
          <w:b/>
          <w:bCs/>
          <w:sz w:val="15"/>
          <w:szCs w:val="15"/>
        </w:rPr>
      </w:pPr>
      <w:r w:rsidRPr="00F64E20">
        <w:rPr>
          <w:rStyle w:val="af3"/>
          <w:rFonts w:ascii="宋体" w:hAnsi="宋体" w:hint="eastAsia"/>
          <w:b/>
          <w:bCs/>
          <w:sz w:val="15"/>
          <w:szCs w:val="15"/>
        </w:rPr>
        <w:t>图</w:t>
      </w:r>
      <w:r w:rsidRPr="00F64E20">
        <w:rPr>
          <w:rStyle w:val="af3"/>
          <w:b/>
          <w:bCs/>
          <w:sz w:val="15"/>
          <w:szCs w:val="15"/>
        </w:rPr>
        <w:t>2 GRIN</w:t>
      </w:r>
      <w:r w:rsidRPr="00F64E20">
        <w:rPr>
          <w:rStyle w:val="af3"/>
          <w:rFonts w:ascii="宋体" w:hAnsi="宋体" w:hint="eastAsia"/>
          <w:b/>
          <w:bCs/>
          <w:sz w:val="15"/>
          <w:szCs w:val="15"/>
        </w:rPr>
        <w:t>光纤长度对</w:t>
      </w:r>
      <w:r w:rsidR="00F64E20" w:rsidRPr="00F64E20">
        <w:rPr>
          <w:rStyle w:val="af3"/>
          <w:b/>
          <w:bCs/>
          <w:sz w:val="15"/>
          <w:szCs w:val="15"/>
        </w:rPr>
        <w:t>MFD</w:t>
      </w:r>
      <w:r w:rsidRPr="00F64E20">
        <w:rPr>
          <w:rStyle w:val="af3"/>
          <w:rFonts w:ascii="宋体" w:hAnsi="宋体" w:hint="eastAsia"/>
          <w:b/>
          <w:bCs/>
          <w:sz w:val="15"/>
          <w:szCs w:val="15"/>
        </w:rPr>
        <w:t>的影响</w:t>
      </w:r>
    </w:p>
    <w:p w14:paraId="3D903FB0"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对于本文研究的嵌套反谐振无节点光纤（</w:t>
      </w:r>
      <w:r w:rsidRPr="00234CBF">
        <w:rPr>
          <w:rFonts w:ascii="Times New Roman" w:eastAsia="宋体" w:hAnsi="Times New Roman"/>
          <w:kern w:val="0"/>
          <w:szCs w:val="21"/>
        </w:rPr>
        <w:t>Nested Anti-Resonant Nodeless Fiber ,NANF</w:t>
      </w:r>
      <w:r w:rsidRPr="00234CBF">
        <w:rPr>
          <w:rFonts w:ascii="Times New Roman" w:eastAsia="宋体" w:hAnsi="Times New Roman"/>
          <w:kern w:val="0"/>
          <w:szCs w:val="21"/>
        </w:rPr>
        <w:t>），其几何参数按照图</w:t>
      </w:r>
      <w:r w:rsidRPr="00234CBF">
        <w:rPr>
          <w:rFonts w:ascii="Times New Roman" w:eastAsia="宋体" w:hAnsi="Times New Roman"/>
          <w:kern w:val="0"/>
          <w:szCs w:val="21"/>
        </w:rPr>
        <w:t>3(a)</w:t>
      </w:r>
      <w:r w:rsidRPr="00234CBF">
        <w:rPr>
          <w:rFonts w:ascii="Times New Roman" w:eastAsia="宋体" w:hAnsi="Times New Roman"/>
          <w:kern w:val="0"/>
          <w:szCs w:val="21"/>
        </w:rPr>
        <w:t>中的定义设置：</w:t>
      </w:r>
      <w:r w:rsidRPr="00234CBF">
        <w:rPr>
          <w:rFonts w:ascii="Times New Roman" w:eastAsia="宋体" w:hAnsi="Times New Roman"/>
          <w:kern w:val="0"/>
          <w:szCs w:val="21"/>
        </w:rPr>
        <w:t>NANF</w:t>
      </w:r>
      <w:r w:rsidRPr="00234CBF">
        <w:rPr>
          <w:rFonts w:ascii="Times New Roman" w:eastAsia="宋体" w:hAnsi="Times New Roman"/>
          <w:kern w:val="0"/>
          <w:szCs w:val="21"/>
        </w:rPr>
        <w:t>直径固定为</w:t>
      </w:r>
      <w:r w:rsidRPr="00F64E20">
        <w:rPr>
          <w:rFonts w:ascii="Times New Roman" w:eastAsia="宋体" w:hAnsi="Times New Roman"/>
          <w:i/>
          <w:iCs/>
          <w:kern w:val="0"/>
          <w:szCs w:val="21"/>
        </w:rPr>
        <w:t>2a</w:t>
      </w:r>
      <w:r w:rsidRPr="00234CBF">
        <w:rPr>
          <w:rFonts w:ascii="Times New Roman" w:eastAsia="宋体" w:hAnsi="Times New Roman"/>
          <w:kern w:val="0"/>
          <w:szCs w:val="21"/>
        </w:rPr>
        <w:t>=30</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（对应纤芯半径</w:t>
      </w:r>
      <w:r w:rsidRPr="00F64E20">
        <w:rPr>
          <w:rFonts w:ascii="Times New Roman" w:eastAsia="宋体" w:hAnsi="Times New Roman"/>
          <w:i/>
          <w:iCs/>
          <w:kern w:val="0"/>
          <w:szCs w:val="21"/>
        </w:rPr>
        <w:t>a</w:t>
      </w:r>
      <w:r w:rsidRPr="00234CBF">
        <w:rPr>
          <w:rFonts w:ascii="Times New Roman" w:eastAsia="宋体" w:hAnsi="Times New Roman"/>
          <w:kern w:val="0"/>
          <w:szCs w:val="21"/>
        </w:rPr>
        <w:t>=15</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），包层管壁厚度为</w:t>
      </w:r>
      <w:r w:rsidRPr="00F64E20">
        <w:rPr>
          <w:rFonts w:ascii="Times New Roman" w:eastAsia="宋体" w:hAnsi="Times New Roman"/>
          <w:i/>
          <w:iCs/>
          <w:kern w:val="0"/>
          <w:szCs w:val="21"/>
        </w:rPr>
        <w:t>t</w:t>
      </w:r>
      <w:r w:rsidRPr="00234CBF">
        <w:rPr>
          <w:rFonts w:ascii="Times New Roman" w:eastAsia="宋体" w:hAnsi="Times New Roman"/>
          <w:kern w:val="0"/>
          <w:szCs w:val="21"/>
        </w:rPr>
        <w:t>=360</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nm</w:t>
      </w:r>
      <w:r w:rsidRPr="00234CBF">
        <w:rPr>
          <w:rFonts w:ascii="Times New Roman" w:eastAsia="宋体" w:hAnsi="Times New Roman"/>
          <w:kern w:val="0"/>
          <w:szCs w:val="21"/>
        </w:rPr>
        <w:t>，相邻大包层管之间的间隙为</w:t>
      </w:r>
      <w:r w:rsidRPr="00F64E20">
        <w:rPr>
          <w:rFonts w:ascii="Times New Roman" w:eastAsia="宋体" w:hAnsi="Times New Roman"/>
          <w:i/>
          <w:iCs/>
          <w:kern w:val="0"/>
          <w:szCs w:val="21"/>
        </w:rPr>
        <w:t>d</w:t>
      </w:r>
      <w:r w:rsidRPr="00234CBF">
        <w:rPr>
          <w:rFonts w:ascii="Times New Roman" w:eastAsia="宋体" w:hAnsi="Times New Roman"/>
          <w:kern w:val="0"/>
          <w:szCs w:val="21"/>
        </w:rPr>
        <w:t>=4</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，嵌套管尺寸通过大包层管直径比值</w:t>
      </w:r>
      <w:r w:rsidRPr="00F64E20">
        <w:rPr>
          <w:rFonts w:ascii="Times New Roman" w:eastAsia="宋体" w:hAnsi="Times New Roman"/>
          <w:i/>
          <w:iCs/>
          <w:kern w:val="0"/>
          <w:szCs w:val="21"/>
        </w:rPr>
        <w:t>D</w:t>
      </w:r>
      <w:r w:rsidRPr="00F64E20">
        <w:rPr>
          <w:rFonts w:ascii="Times New Roman" w:eastAsia="宋体" w:hAnsi="Times New Roman"/>
          <w:i/>
          <w:iCs/>
          <w:kern w:val="0"/>
          <w:szCs w:val="21"/>
          <w:vertAlign w:val="subscript"/>
        </w:rPr>
        <w:t>1</w:t>
      </w:r>
      <w:r w:rsidRPr="00F64E20">
        <w:rPr>
          <w:rFonts w:ascii="Times New Roman" w:eastAsia="宋体" w:hAnsi="Times New Roman"/>
          <w:i/>
          <w:iCs/>
          <w:kern w:val="0"/>
          <w:szCs w:val="21"/>
        </w:rPr>
        <w:t>/D</w:t>
      </w:r>
      <w:r w:rsidRPr="00234CBF">
        <w:rPr>
          <w:rFonts w:ascii="Times New Roman" w:eastAsia="宋体" w:hAnsi="Times New Roman"/>
          <w:kern w:val="0"/>
          <w:szCs w:val="21"/>
        </w:rPr>
        <w:t>=0.5</w:t>
      </w:r>
      <w:r w:rsidRPr="00234CBF">
        <w:rPr>
          <w:rFonts w:ascii="Times New Roman" w:eastAsia="宋体" w:hAnsi="Times New Roman"/>
          <w:kern w:val="0"/>
          <w:szCs w:val="21"/>
        </w:rPr>
        <w:t>表征。在假设入射高斯光束与</w:t>
      </w:r>
      <w:r w:rsidRPr="00234CBF">
        <w:rPr>
          <w:rFonts w:ascii="Times New Roman" w:eastAsia="宋体" w:hAnsi="Times New Roman"/>
          <w:kern w:val="0"/>
          <w:szCs w:val="21"/>
        </w:rPr>
        <w:t>NANF</w:t>
      </w:r>
      <w:r w:rsidRPr="00234CBF">
        <w:rPr>
          <w:rFonts w:ascii="Times New Roman" w:eastAsia="宋体" w:hAnsi="Times New Roman"/>
          <w:kern w:val="0"/>
          <w:szCs w:val="21"/>
        </w:rPr>
        <w:t>完全同轴对准的前提下，图</w:t>
      </w:r>
      <w:r w:rsidRPr="00234CBF">
        <w:rPr>
          <w:rFonts w:ascii="Times New Roman" w:eastAsia="宋体" w:hAnsi="Times New Roman"/>
          <w:kern w:val="0"/>
          <w:szCs w:val="21"/>
        </w:rPr>
        <w:t>3(b)</w:t>
      </w:r>
      <w:r w:rsidRPr="00234CBF">
        <w:rPr>
          <w:rFonts w:ascii="Times New Roman" w:eastAsia="宋体" w:hAnsi="Times New Roman"/>
          <w:kern w:val="0"/>
          <w:szCs w:val="21"/>
        </w:rPr>
        <w:t>给出了入射光束与</w:t>
      </w:r>
      <w:r w:rsidRPr="00234CBF">
        <w:rPr>
          <w:rFonts w:ascii="Times New Roman" w:eastAsia="宋体" w:hAnsi="Times New Roman"/>
          <w:kern w:val="0"/>
          <w:szCs w:val="21"/>
        </w:rPr>
        <w:t>NANF</w:t>
      </w:r>
      <w:r w:rsidRPr="00234CBF">
        <w:rPr>
          <w:rFonts w:ascii="Times New Roman" w:eastAsia="宋体" w:hAnsi="Times New Roman"/>
          <w:kern w:val="0"/>
          <w:szCs w:val="21"/>
        </w:rPr>
        <w:t>中部分导模之间的耦合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以分贝形式表示，并作为入射光束束腰半径与纤芯半径之比</w:t>
      </w:r>
      <w:r w:rsidRPr="00F64E20">
        <w:rPr>
          <w:rFonts w:ascii="Times New Roman" w:eastAsia="宋体" w:hAnsi="Times New Roman"/>
          <w:i/>
          <w:iCs/>
          <w:kern w:val="0"/>
          <w:szCs w:val="21"/>
        </w:rPr>
        <w:t>w/a</w:t>
      </w:r>
      <w:r w:rsidRPr="00234CBF">
        <w:rPr>
          <w:rFonts w:ascii="Times New Roman" w:eastAsia="宋体" w:hAnsi="Times New Roman"/>
          <w:kern w:val="0"/>
          <w:szCs w:val="21"/>
        </w:rPr>
        <w:t>的函数进行绘制。所有计算均在工作波长</w:t>
      </w:r>
      <w:r w:rsidRPr="00F64E20">
        <w:rPr>
          <w:rFonts w:ascii="Times New Roman" w:eastAsia="宋体" w:hAnsi="Times New Roman"/>
          <w:i/>
          <w:iCs/>
          <w:kern w:val="0"/>
          <w:szCs w:val="21"/>
        </w:rPr>
        <w:t>λ</w:t>
      </w:r>
      <w:r w:rsidRPr="00234CBF">
        <w:rPr>
          <w:rFonts w:ascii="Times New Roman" w:eastAsia="宋体" w:hAnsi="Times New Roman"/>
          <w:kern w:val="0"/>
          <w:szCs w:val="21"/>
        </w:rPr>
        <w:t>=1064</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nm</w:t>
      </w:r>
      <w:r w:rsidRPr="00234CBF">
        <w:rPr>
          <w:rFonts w:ascii="Times New Roman" w:eastAsia="宋体" w:hAnsi="Times New Roman"/>
          <w:kern w:val="0"/>
          <w:szCs w:val="21"/>
        </w:rPr>
        <w:t>处完成。仿真结果表明，对于基模</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01</w:t>
      </w:r>
      <w:r w:rsidRPr="00234CBF">
        <w:rPr>
          <w:rFonts w:ascii="Times New Roman" w:eastAsia="宋体" w:hAnsi="Times New Roman"/>
          <w:kern w:val="0"/>
          <w:szCs w:val="21"/>
        </w:rPr>
        <w:t>而言，当入射光的模场直径约为纤芯直径的</w:t>
      </w:r>
      <w:r w:rsidRPr="00234CBF">
        <w:rPr>
          <w:rFonts w:ascii="Times New Roman" w:eastAsia="宋体" w:hAnsi="Times New Roman"/>
          <w:kern w:val="0"/>
          <w:szCs w:val="21"/>
        </w:rPr>
        <w:t>70%</w:t>
      </w:r>
      <w:r w:rsidRPr="00234CBF">
        <w:rPr>
          <w:rFonts w:ascii="Times New Roman" w:eastAsia="宋体" w:hAnsi="Times New Roman"/>
          <w:kern w:val="0"/>
          <w:szCs w:val="21"/>
        </w:rPr>
        <w:t>（即</w:t>
      </w:r>
      <w:r w:rsidRPr="00234CBF">
        <w:rPr>
          <w:rFonts w:ascii="Times New Roman" w:eastAsia="宋体" w:hAnsi="Times New Roman"/>
          <w:kern w:val="0"/>
          <w:szCs w:val="21"/>
        </w:rPr>
        <w:t>MFD=21.21 μm</w:t>
      </w:r>
      <w:r w:rsidRPr="00234CBF">
        <w:rPr>
          <w:rFonts w:ascii="Times New Roman" w:eastAsia="宋体" w:hAnsi="Times New Roman"/>
          <w:kern w:val="0"/>
          <w:szCs w:val="21"/>
        </w:rPr>
        <w:t>）时，耦合损耗达到最小值。本文据此将该数值作为该</w:t>
      </w:r>
      <w:r w:rsidRPr="00234CBF">
        <w:rPr>
          <w:rFonts w:ascii="Times New Roman" w:eastAsia="宋体" w:hAnsi="Times New Roman"/>
          <w:kern w:val="0"/>
          <w:szCs w:val="21"/>
        </w:rPr>
        <w:t>NANF</w:t>
      </w:r>
      <w:r w:rsidRPr="00234CBF">
        <w:rPr>
          <w:rFonts w:ascii="Times New Roman" w:eastAsia="宋体" w:hAnsi="Times New Roman"/>
          <w:kern w:val="0"/>
          <w:szCs w:val="21"/>
        </w:rPr>
        <w:t>的有效模场直径；在后续改变</w:t>
      </w:r>
      <w:r w:rsidRPr="00234CBF">
        <w:rPr>
          <w:rFonts w:ascii="Times New Roman" w:eastAsia="宋体" w:hAnsi="Times New Roman" w:hint="eastAsia"/>
          <w:kern w:val="0"/>
          <w:szCs w:val="21"/>
        </w:rPr>
        <w:t>N</w:t>
      </w:r>
      <w:r w:rsidRPr="00234CBF">
        <w:rPr>
          <w:rFonts w:ascii="Times New Roman" w:eastAsia="宋体" w:hAnsi="Times New Roman"/>
          <w:kern w:val="0"/>
          <w:szCs w:val="21"/>
        </w:rPr>
        <w:t>ANF</w:t>
      </w:r>
      <w:r w:rsidRPr="00234CBF">
        <w:rPr>
          <w:rFonts w:ascii="Times New Roman" w:eastAsia="宋体" w:hAnsi="Times New Roman"/>
          <w:kern w:val="0"/>
          <w:szCs w:val="21"/>
        </w:rPr>
        <w:t>结构参数的过程中，每一种参数组合都会在</w:t>
      </w:r>
      <w:r w:rsidRPr="00F64E20">
        <w:rPr>
          <w:rFonts w:ascii="Times New Roman" w:eastAsia="宋体" w:hAnsi="Times New Roman"/>
          <w:i/>
          <w:iCs/>
          <w:kern w:val="0"/>
          <w:szCs w:val="21"/>
        </w:rPr>
        <w:t>w/a</w:t>
      </w:r>
      <w:r w:rsidRPr="00234CBF">
        <w:rPr>
          <w:rFonts w:ascii="Times New Roman" w:eastAsia="宋体" w:hAnsi="Times New Roman"/>
          <w:kern w:val="0"/>
          <w:szCs w:val="21"/>
        </w:rPr>
        <w:t>≈0.7</w:t>
      </w:r>
      <w:r w:rsidRPr="00234CBF">
        <w:rPr>
          <w:rFonts w:ascii="Times New Roman" w:eastAsia="宋体" w:hAnsi="Times New Roman"/>
          <w:kern w:val="0"/>
          <w:szCs w:val="21"/>
        </w:rPr>
        <w:t>附近重新搜索耦合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的</w:t>
      </w:r>
      <w:r w:rsidRPr="00234CBF">
        <w:rPr>
          <w:rFonts w:ascii="Times New Roman" w:eastAsia="宋体" w:hAnsi="Times New Roman" w:hint="eastAsia"/>
          <w:kern w:val="0"/>
          <w:szCs w:val="21"/>
        </w:rPr>
        <w:t>最</w:t>
      </w:r>
      <w:r w:rsidRPr="00234CBF">
        <w:rPr>
          <w:rFonts w:ascii="Times New Roman" w:eastAsia="宋体" w:hAnsi="Times New Roman"/>
          <w:kern w:val="0"/>
          <w:szCs w:val="21"/>
        </w:rPr>
        <w:t>优点。</w:t>
      </w:r>
    </w:p>
    <w:p w14:paraId="61E81369"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在上述最优耦合条件下，模拟得到的基模耦合效率超过</w:t>
      </w:r>
      <w:r w:rsidRPr="00234CBF">
        <w:rPr>
          <w:rFonts w:ascii="Times New Roman" w:eastAsia="宋体" w:hAnsi="Times New Roman"/>
          <w:kern w:val="0"/>
          <w:szCs w:val="21"/>
        </w:rPr>
        <w:t>97%</w:t>
      </w:r>
      <w:r w:rsidRPr="00234CBF">
        <w:rPr>
          <w:rFonts w:ascii="Times New Roman" w:eastAsia="宋体" w:hAnsi="Times New Roman"/>
          <w:kern w:val="0"/>
          <w:szCs w:val="21"/>
        </w:rPr>
        <w:t>，对应的耦合损耗约为</w:t>
      </w:r>
      <w:r w:rsidRPr="00234CBF">
        <w:rPr>
          <w:rFonts w:ascii="Times New Roman" w:eastAsia="宋体" w:hAnsi="Times New Roman"/>
          <w:kern w:val="0"/>
          <w:szCs w:val="21"/>
        </w:rPr>
        <w:t>0.116 dB</w:t>
      </w:r>
      <w:r w:rsidRPr="00234CBF">
        <w:rPr>
          <w:rFonts w:ascii="Times New Roman" w:eastAsia="宋体" w:hAnsi="Times New Roman"/>
          <w:kern w:val="0"/>
          <w:szCs w:val="21"/>
        </w:rPr>
        <w:t>。进一步对高阶模式进行比较可以发现，</w:t>
      </w:r>
      <w:r w:rsidRPr="00234CBF">
        <w:rPr>
          <w:rFonts w:ascii="Times New Roman" w:eastAsia="宋体" w:hAnsi="Times New Roman" w:hint="eastAsia"/>
          <w:kern w:val="0"/>
          <w:szCs w:val="21"/>
        </w:rPr>
        <w:t>如图</w:t>
      </w:r>
      <w:r w:rsidRPr="00234CBF">
        <w:rPr>
          <w:rFonts w:ascii="Times New Roman" w:eastAsia="宋体" w:hAnsi="Times New Roman" w:hint="eastAsia"/>
          <w:kern w:val="0"/>
          <w:szCs w:val="21"/>
        </w:rPr>
        <w:t>3</w:t>
      </w:r>
      <w:r w:rsidRPr="00234CBF">
        <w:rPr>
          <w:rFonts w:ascii="Times New Roman" w:eastAsia="宋体" w:hAnsi="Times New Roman"/>
          <w:kern w:val="0"/>
          <w:szCs w:val="21"/>
        </w:rPr>
        <w:t>(</w:t>
      </w:r>
      <w:r w:rsidR="00DF129F">
        <w:rPr>
          <w:rFonts w:ascii="Times New Roman" w:eastAsia="宋体" w:hAnsi="Times New Roman" w:hint="eastAsia"/>
          <w:kern w:val="0"/>
          <w:szCs w:val="21"/>
        </w:rPr>
        <w:t>c</w:t>
      </w:r>
      <w:r w:rsidRPr="00234CBF">
        <w:rPr>
          <w:rFonts w:ascii="Times New Roman" w:eastAsia="宋体" w:hAnsi="Times New Roman"/>
          <w:kern w:val="0"/>
          <w:szCs w:val="21"/>
        </w:rPr>
        <w:t>)</w:t>
      </w:r>
      <w:r w:rsidR="00DF129F">
        <w:rPr>
          <w:rFonts w:ascii="Times New Roman" w:eastAsia="宋体" w:hAnsi="Times New Roman" w:hint="eastAsia"/>
          <w:kern w:val="0"/>
          <w:szCs w:val="21"/>
        </w:rPr>
        <w:t>,</w:t>
      </w:r>
      <w:r w:rsidR="00DF129F" w:rsidRPr="00234CBF">
        <w:rPr>
          <w:rFonts w:ascii="Times New Roman" w:eastAsia="宋体" w:hAnsi="Times New Roman"/>
          <w:kern w:val="0"/>
          <w:szCs w:val="21"/>
        </w:rPr>
        <w:t>(</w:t>
      </w:r>
      <w:r w:rsidR="00DF129F">
        <w:rPr>
          <w:rFonts w:ascii="Times New Roman" w:eastAsia="宋体" w:hAnsi="Times New Roman" w:hint="eastAsia"/>
          <w:kern w:val="0"/>
          <w:szCs w:val="21"/>
        </w:rPr>
        <w:t>d</w:t>
      </w:r>
      <w:r w:rsidR="00DF129F" w:rsidRPr="00234CBF">
        <w:rPr>
          <w:rFonts w:ascii="Times New Roman" w:eastAsia="宋体" w:hAnsi="Times New Roman"/>
          <w:kern w:val="0"/>
          <w:szCs w:val="21"/>
        </w:rPr>
        <w:t>)</w:t>
      </w:r>
      <w:r w:rsidR="00DF129F">
        <w:rPr>
          <w:rFonts w:ascii="Times New Roman" w:eastAsia="宋体" w:hAnsi="Times New Roman"/>
          <w:kern w:val="0"/>
          <w:szCs w:val="21"/>
        </w:rPr>
        <w:t>,</w:t>
      </w:r>
      <w:r w:rsidR="00DF129F" w:rsidRPr="00234CBF">
        <w:rPr>
          <w:rFonts w:ascii="Times New Roman" w:eastAsia="宋体" w:hAnsi="Times New Roman"/>
          <w:kern w:val="0"/>
          <w:szCs w:val="21"/>
        </w:rPr>
        <w:t>(</w:t>
      </w:r>
      <w:r w:rsidR="00DF129F">
        <w:rPr>
          <w:rFonts w:ascii="Times New Roman" w:eastAsia="宋体" w:hAnsi="Times New Roman" w:hint="eastAsia"/>
          <w:kern w:val="0"/>
          <w:szCs w:val="21"/>
        </w:rPr>
        <w:t>e</w:t>
      </w:r>
      <w:r w:rsidR="00DF129F" w:rsidRPr="00234CBF">
        <w:rPr>
          <w:rFonts w:ascii="Times New Roman" w:eastAsia="宋体" w:hAnsi="Times New Roman"/>
          <w:kern w:val="0"/>
          <w:szCs w:val="21"/>
        </w:rPr>
        <w:t>)</w:t>
      </w:r>
      <w:r w:rsidRPr="00234CBF">
        <w:rPr>
          <w:rFonts w:ascii="Times New Roman" w:eastAsia="宋体" w:hAnsi="Times New Roman" w:hint="eastAsia"/>
          <w:kern w:val="0"/>
          <w:szCs w:val="21"/>
        </w:rPr>
        <w:t>所示，</w:t>
      </w:r>
      <w:r w:rsidRPr="00234CBF">
        <w:rPr>
          <w:rFonts w:ascii="Times New Roman" w:eastAsia="宋体" w:hAnsi="Times New Roman"/>
          <w:kern w:val="0"/>
          <w:szCs w:val="21"/>
        </w:rPr>
        <w:t>由于高阶模在横向强度分布和相位结构上与入射高斯光束存在明显的对称性失配，同时其传播常数与入射光场的相位匹配条件不满足，高阶模相对于基模的耦合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显著降低。</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11</w:t>
      </w:r>
      <w:r w:rsidRPr="00234CBF">
        <w:rPr>
          <w:rFonts w:ascii="Times New Roman" w:eastAsia="宋体" w:hAnsi="Times New Roman"/>
          <w:kern w:val="0"/>
          <w:szCs w:val="21"/>
        </w:rPr>
        <w:t>模式仅接收到可以忽略不计的入</w:t>
      </w:r>
      <w:r w:rsidRPr="00234CBF">
        <w:rPr>
          <w:rFonts w:ascii="Times New Roman" w:eastAsia="宋体" w:hAnsi="Times New Roman" w:hint="eastAsia"/>
          <w:kern w:val="0"/>
          <w:szCs w:val="21"/>
        </w:rPr>
        <w:t>射功率，耦合损耗大约落在</w:t>
      </w:r>
      <w:r w:rsidRPr="00234CBF">
        <w:rPr>
          <w:rFonts w:ascii="Times New Roman" w:eastAsia="宋体" w:hAnsi="Times New Roman"/>
          <w:kern w:val="0"/>
          <w:szCs w:val="21"/>
        </w:rPr>
        <w:t xml:space="preserve">-100 </w:t>
      </w:r>
      <w:r w:rsidRPr="00234CBF">
        <w:rPr>
          <w:rFonts w:ascii="Times New Roman" w:eastAsia="宋体" w:hAnsi="Times New Roman" w:hint="eastAsia"/>
          <w:kern w:val="0"/>
          <w:szCs w:val="21"/>
        </w:rPr>
        <w:t>d</w:t>
      </w:r>
      <w:r w:rsidRPr="00234CBF">
        <w:rPr>
          <w:rFonts w:ascii="Times New Roman" w:eastAsia="宋体" w:hAnsi="Times New Roman"/>
          <w:kern w:val="0"/>
          <w:szCs w:val="21"/>
        </w:rPr>
        <w:t>B</w:t>
      </w:r>
      <w:r w:rsidRPr="00234CBF">
        <w:rPr>
          <w:rFonts w:ascii="Times New Roman" w:eastAsia="宋体" w:hAnsi="Times New Roman" w:hint="eastAsia"/>
          <w:kern w:val="0"/>
          <w:szCs w:val="21"/>
        </w:rPr>
        <w:t>到</w:t>
      </w:r>
      <w:r w:rsidRPr="00234CBF">
        <w:rPr>
          <w:rFonts w:ascii="Times New Roman" w:eastAsia="宋体" w:hAnsi="Times New Roman" w:hint="eastAsia"/>
          <w:kern w:val="0"/>
          <w:szCs w:val="21"/>
        </w:rPr>
        <w:t>-</w:t>
      </w:r>
      <w:r w:rsidRPr="00234CBF">
        <w:rPr>
          <w:rFonts w:ascii="Times New Roman" w:eastAsia="宋体" w:hAnsi="Times New Roman"/>
          <w:kern w:val="0"/>
          <w:szCs w:val="21"/>
        </w:rPr>
        <w:t xml:space="preserve">140 </w:t>
      </w:r>
      <w:r w:rsidRPr="00234CBF">
        <w:rPr>
          <w:rFonts w:ascii="Times New Roman" w:eastAsia="宋体" w:hAnsi="Times New Roman" w:hint="eastAsia"/>
          <w:kern w:val="0"/>
          <w:szCs w:val="21"/>
        </w:rPr>
        <w:t>dB</w:t>
      </w:r>
      <w:r w:rsidRPr="00234CBF">
        <w:rPr>
          <w:rFonts w:ascii="Times New Roman" w:eastAsia="宋体" w:hAnsi="Times New Roman" w:hint="eastAsia"/>
          <w:kern w:val="0"/>
          <w:szCs w:val="21"/>
        </w:rPr>
        <w:t>的范围内部；而</w:t>
      </w:r>
      <w:r w:rsidRPr="00234CBF">
        <w:rPr>
          <w:rFonts w:ascii="Times New Roman" w:eastAsia="宋体" w:hAnsi="Times New Roman" w:hint="eastAsia"/>
          <w:kern w:val="0"/>
          <w:szCs w:val="21"/>
        </w:rPr>
        <w:t>L</w:t>
      </w:r>
      <w:r w:rsidRPr="00234CBF">
        <w:rPr>
          <w:rFonts w:ascii="Times New Roman" w:eastAsia="宋体" w:hAnsi="Times New Roman"/>
          <w:kern w:val="0"/>
          <w:szCs w:val="21"/>
        </w:rPr>
        <w:t>P</w:t>
      </w:r>
      <w:r w:rsidRPr="00F64E20">
        <w:rPr>
          <w:rFonts w:ascii="Times New Roman" w:eastAsia="宋体" w:hAnsi="Times New Roman"/>
          <w:kern w:val="0"/>
          <w:szCs w:val="21"/>
          <w:vertAlign w:val="subscript"/>
        </w:rPr>
        <w:t>02</w:t>
      </w:r>
      <w:r w:rsidRPr="00234CBF">
        <w:rPr>
          <w:rFonts w:ascii="Times New Roman" w:eastAsia="宋体" w:hAnsi="Times New Roman" w:hint="eastAsia"/>
          <w:kern w:val="0"/>
          <w:szCs w:val="21"/>
        </w:rPr>
        <w:t>模式由于其在方位对称性上与高斯光束更为接近，耦合损耗反而超越</w:t>
      </w:r>
      <w:r w:rsidRPr="00234CBF">
        <w:rPr>
          <w:rFonts w:ascii="Times New Roman" w:eastAsia="宋体" w:hAnsi="Times New Roman" w:hint="eastAsia"/>
          <w:kern w:val="0"/>
          <w:szCs w:val="21"/>
        </w:rPr>
        <w:t>L</w:t>
      </w:r>
      <w:r w:rsidRPr="00234CBF">
        <w:rPr>
          <w:rFonts w:ascii="Times New Roman" w:eastAsia="宋体" w:hAnsi="Times New Roman"/>
          <w:kern w:val="0"/>
          <w:szCs w:val="21"/>
        </w:rPr>
        <w:t>P</w:t>
      </w:r>
      <w:r w:rsidRPr="00F64E20">
        <w:rPr>
          <w:rFonts w:ascii="Times New Roman" w:eastAsia="宋体" w:hAnsi="Times New Roman"/>
          <w:kern w:val="0"/>
          <w:szCs w:val="21"/>
          <w:vertAlign w:val="subscript"/>
        </w:rPr>
        <w:t>11</w:t>
      </w:r>
      <w:r w:rsidRPr="00234CBF">
        <w:rPr>
          <w:rFonts w:ascii="Times New Roman" w:eastAsia="宋体" w:hAnsi="Times New Roman" w:hint="eastAsia"/>
          <w:kern w:val="0"/>
          <w:szCs w:val="21"/>
        </w:rPr>
        <w:t>模式达到了</w:t>
      </w:r>
      <w:r w:rsidRPr="00234CBF">
        <w:rPr>
          <w:rFonts w:ascii="Times New Roman" w:eastAsia="宋体" w:hAnsi="Times New Roman" w:hint="eastAsia"/>
          <w:kern w:val="0"/>
          <w:szCs w:val="21"/>
        </w:rPr>
        <w:t>-</w:t>
      </w:r>
      <w:r w:rsidRPr="00234CBF">
        <w:rPr>
          <w:rFonts w:ascii="Times New Roman" w:eastAsia="宋体" w:hAnsi="Times New Roman"/>
          <w:kern w:val="0"/>
          <w:szCs w:val="21"/>
        </w:rPr>
        <w:t xml:space="preserve">10 </w:t>
      </w:r>
      <w:r w:rsidRPr="00234CBF">
        <w:rPr>
          <w:rFonts w:ascii="Times New Roman" w:eastAsia="宋体" w:hAnsi="Times New Roman" w:hint="eastAsia"/>
          <w:kern w:val="0"/>
          <w:szCs w:val="21"/>
        </w:rPr>
        <w:t>d</w:t>
      </w:r>
      <w:r w:rsidRPr="00234CBF">
        <w:rPr>
          <w:rFonts w:ascii="Times New Roman" w:eastAsia="宋体" w:hAnsi="Times New Roman"/>
          <w:kern w:val="0"/>
          <w:szCs w:val="21"/>
        </w:rPr>
        <w:t>B</w:t>
      </w:r>
      <w:r w:rsidRPr="00234CBF">
        <w:rPr>
          <w:rFonts w:ascii="Times New Roman" w:eastAsia="宋体" w:hAnsi="Times New Roman" w:hint="eastAsia"/>
          <w:kern w:val="0"/>
          <w:szCs w:val="21"/>
        </w:rPr>
        <w:t>的级别。</w:t>
      </w:r>
    </w:p>
    <w:p w14:paraId="1F3D8022" w14:textId="65B85F74" w:rsidR="00283939" w:rsidRDefault="00E65342" w:rsidP="00E65342">
      <w:pPr>
        <w:adjustRightInd w:val="0"/>
        <w:snapToGrid w:val="0"/>
        <w:jc w:val="center"/>
        <w:rPr>
          <w:rFonts w:ascii="Times New Roman" w:hAnsi="Times New Roman"/>
          <w:color w:val="FF0000"/>
          <w:sz w:val="20"/>
          <w:szCs w:val="21"/>
        </w:rPr>
      </w:pPr>
      <w:r>
        <w:rPr>
          <w:rFonts w:ascii="Times New Roman" w:hAnsi="Times New Roman"/>
          <w:color w:val="FF0000"/>
          <w:sz w:val="20"/>
          <w:szCs w:val="21"/>
        </w:rPr>
        <w:object w:dxaOrig="7515" w:dyaOrig="3211" w14:anchorId="6D32D7DA">
          <v:shape id="_x0000_i1027" type="#_x0000_t75" style="width:376.3pt;height:160.3pt" o:ole="">
            <v:imagedata r:id="rId12" o:title=""/>
          </v:shape>
          <o:OLEObject Type="Embed" ProgID="Visio.Drawing.15" ShapeID="_x0000_i1027" DrawAspect="Content" ObjectID="_1844942217" r:id="rId13"/>
        </w:object>
      </w:r>
    </w:p>
    <w:p w14:paraId="15695BCA" w14:textId="77777777" w:rsidR="00283939" w:rsidRPr="00F94712" w:rsidRDefault="00283939" w:rsidP="00F94712">
      <w:pPr>
        <w:pStyle w:val="af2"/>
        <w:spacing w:before="0" w:beforeAutospacing="0" w:after="0" w:afterAutospacing="0"/>
        <w:ind w:firstLineChars="0" w:firstLine="0"/>
        <w:jc w:val="center"/>
        <w:rPr>
          <w:rFonts w:ascii="黑体" w:eastAsia="黑体" w:hAnsi="黑体"/>
          <w:b/>
          <w:bCs/>
          <w:sz w:val="15"/>
          <w:szCs w:val="15"/>
        </w:rPr>
      </w:pPr>
      <w:r w:rsidRPr="00F64E20">
        <w:rPr>
          <w:rStyle w:val="af3"/>
          <w:rFonts w:eastAsia="黑体"/>
          <w:b/>
          <w:bCs/>
          <w:sz w:val="15"/>
          <w:szCs w:val="15"/>
        </w:rPr>
        <w:t>(a)</w:t>
      </w:r>
      <w:r w:rsidRPr="00F64E20">
        <w:rPr>
          <w:rStyle w:val="af3"/>
          <w:rFonts w:hint="eastAsia"/>
          <w:b/>
          <w:bCs/>
          <w:sz w:val="15"/>
          <w:szCs w:val="15"/>
        </w:rPr>
        <w:t>五管</w:t>
      </w:r>
      <w:r w:rsidRPr="00F64E20">
        <w:rPr>
          <w:rStyle w:val="af3"/>
          <w:b/>
          <w:bCs/>
          <w:sz w:val="15"/>
          <w:szCs w:val="15"/>
        </w:rPr>
        <w:t>NANF</w:t>
      </w:r>
      <w:r w:rsidRPr="00F64E20">
        <w:rPr>
          <w:rStyle w:val="af3"/>
          <w:rFonts w:hint="eastAsia"/>
          <w:b/>
          <w:bCs/>
          <w:sz w:val="15"/>
          <w:szCs w:val="15"/>
        </w:rPr>
        <w:t>结构示意图</w:t>
      </w:r>
      <w:r w:rsidRPr="00F64E20">
        <w:rPr>
          <w:rStyle w:val="af3"/>
          <w:rFonts w:ascii="黑体" w:eastAsia="黑体" w:hAnsi="黑体" w:hint="eastAsia"/>
          <w:b/>
          <w:bCs/>
          <w:sz w:val="15"/>
          <w:szCs w:val="15"/>
        </w:rPr>
        <w:t xml:space="preserve"> </w:t>
      </w:r>
      <w:r w:rsidRPr="00F64E20">
        <w:rPr>
          <w:rStyle w:val="af3"/>
          <w:rFonts w:eastAsia="黑体"/>
          <w:b/>
          <w:bCs/>
          <w:sz w:val="15"/>
          <w:szCs w:val="15"/>
        </w:rPr>
        <w:t>(b)</w:t>
      </w:r>
      <w:r w:rsidRPr="00F64E20">
        <w:rPr>
          <w:rStyle w:val="af3"/>
          <w:rFonts w:hint="eastAsia"/>
          <w:b/>
          <w:bCs/>
          <w:sz w:val="15"/>
          <w:szCs w:val="15"/>
        </w:rPr>
        <w:t>各模式对应的耦合损耗值，作为纤芯比</w:t>
      </w:r>
      <w:r w:rsidRPr="00F64E20">
        <w:rPr>
          <w:rStyle w:val="af3"/>
          <w:b/>
          <w:bCs/>
          <w:i/>
          <w:iCs/>
          <w:sz w:val="15"/>
          <w:szCs w:val="15"/>
        </w:rPr>
        <w:t>w/a</w:t>
      </w:r>
      <w:r w:rsidRPr="00F64E20">
        <w:rPr>
          <w:rStyle w:val="af3"/>
          <w:b/>
          <w:bCs/>
          <w:sz w:val="15"/>
          <w:szCs w:val="15"/>
        </w:rPr>
        <w:t>的函数</w:t>
      </w:r>
      <w:r w:rsidR="00F94712">
        <w:rPr>
          <w:rStyle w:val="af3"/>
          <w:rFonts w:hint="eastAsia"/>
          <w:b/>
          <w:bCs/>
          <w:sz w:val="15"/>
          <w:szCs w:val="15"/>
        </w:rPr>
        <w:t xml:space="preserve"> </w:t>
      </w:r>
      <w:r w:rsidR="00F94712" w:rsidRPr="00F64E20">
        <w:rPr>
          <w:rStyle w:val="af3"/>
          <w:rFonts w:eastAsia="黑体"/>
          <w:b/>
          <w:bCs/>
          <w:sz w:val="15"/>
          <w:szCs w:val="15"/>
        </w:rPr>
        <w:t>(</w:t>
      </w:r>
      <w:r w:rsidR="00F94712">
        <w:rPr>
          <w:rStyle w:val="af3"/>
          <w:rFonts w:eastAsia="黑体" w:hint="eastAsia"/>
          <w:b/>
          <w:bCs/>
          <w:sz w:val="15"/>
          <w:szCs w:val="15"/>
        </w:rPr>
        <w:t>c</w:t>
      </w:r>
      <w:r w:rsidR="00F94712" w:rsidRPr="00F64E20">
        <w:rPr>
          <w:rStyle w:val="af3"/>
          <w:rFonts w:eastAsia="黑体"/>
          <w:b/>
          <w:bCs/>
          <w:sz w:val="15"/>
          <w:szCs w:val="15"/>
        </w:rPr>
        <w:t>)</w:t>
      </w:r>
      <w:r w:rsidR="00F94712">
        <w:rPr>
          <w:rStyle w:val="af3"/>
          <w:rFonts w:eastAsia="黑体"/>
          <w:b/>
          <w:bCs/>
          <w:sz w:val="15"/>
          <w:szCs w:val="15"/>
        </w:rPr>
        <w:t>LP</w:t>
      </w:r>
      <w:r w:rsidR="00F94712" w:rsidRPr="00F94712">
        <w:rPr>
          <w:rStyle w:val="af3"/>
          <w:rFonts w:eastAsia="黑体"/>
          <w:b/>
          <w:bCs/>
          <w:sz w:val="15"/>
          <w:szCs w:val="15"/>
          <w:vertAlign w:val="subscript"/>
        </w:rPr>
        <w:t>11</w:t>
      </w:r>
      <w:r w:rsidR="00F94712">
        <w:rPr>
          <w:rStyle w:val="af3"/>
          <w:rFonts w:eastAsia="黑体" w:hint="eastAsia"/>
          <w:b/>
          <w:bCs/>
          <w:sz w:val="15"/>
          <w:szCs w:val="15"/>
        </w:rPr>
        <w:t>模场</w:t>
      </w:r>
      <w:r w:rsidR="00F94712">
        <w:rPr>
          <w:rStyle w:val="af3"/>
          <w:rFonts w:eastAsia="黑体" w:hint="eastAsia"/>
          <w:b/>
          <w:bCs/>
          <w:sz w:val="15"/>
          <w:szCs w:val="15"/>
        </w:rPr>
        <w:t xml:space="preserve"> </w:t>
      </w:r>
      <w:r w:rsidR="00F94712" w:rsidRPr="00F64E20">
        <w:rPr>
          <w:rStyle w:val="af3"/>
          <w:rFonts w:eastAsia="黑体"/>
          <w:b/>
          <w:bCs/>
          <w:sz w:val="15"/>
          <w:szCs w:val="15"/>
        </w:rPr>
        <w:t>(</w:t>
      </w:r>
      <w:r w:rsidR="00F94712">
        <w:rPr>
          <w:rStyle w:val="af3"/>
          <w:rFonts w:eastAsia="黑体" w:hint="eastAsia"/>
          <w:b/>
          <w:bCs/>
          <w:sz w:val="15"/>
          <w:szCs w:val="15"/>
        </w:rPr>
        <w:t>d</w:t>
      </w:r>
      <w:r w:rsidR="00F94712" w:rsidRPr="00F64E20">
        <w:rPr>
          <w:rStyle w:val="af3"/>
          <w:rFonts w:eastAsia="黑体"/>
          <w:b/>
          <w:bCs/>
          <w:sz w:val="15"/>
          <w:szCs w:val="15"/>
        </w:rPr>
        <w:t>)</w:t>
      </w:r>
      <w:r w:rsidR="00F94712">
        <w:rPr>
          <w:rStyle w:val="af3"/>
          <w:rFonts w:eastAsia="黑体"/>
          <w:b/>
          <w:bCs/>
          <w:sz w:val="15"/>
          <w:szCs w:val="15"/>
        </w:rPr>
        <w:t>LP</w:t>
      </w:r>
      <w:r w:rsidR="00F94712">
        <w:rPr>
          <w:rStyle w:val="af3"/>
          <w:rFonts w:eastAsia="黑体"/>
          <w:b/>
          <w:bCs/>
          <w:sz w:val="15"/>
          <w:szCs w:val="15"/>
          <w:vertAlign w:val="subscript"/>
        </w:rPr>
        <w:t>02</w:t>
      </w:r>
      <w:r w:rsidR="00F94712">
        <w:rPr>
          <w:rStyle w:val="af3"/>
          <w:rFonts w:eastAsia="黑体" w:hint="eastAsia"/>
          <w:b/>
          <w:bCs/>
          <w:sz w:val="15"/>
          <w:szCs w:val="15"/>
        </w:rPr>
        <w:t>模场</w:t>
      </w:r>
      <w:r w:rsidR="00F94712">
        <w:rPr>
          <w:rStyle w:val="af3"/>
          <w:rFonts w:eastAsia="黑体" w:hint="eastAsia"/>
          <w:b/>
          <w:bCs/>
          <w:sz w:val="15"/>
          <w:szCs w:val="15"/>
        </w:rPr>
        <w:t xml:space="preserve"> </w:t>
      </w:r>
      <w:r w:rsidR="00F94712" w:rsidRPr="00F64E20">
        <w:rPr>
          <w:rStyle w:val="af3"/>
          <w:rFonts w:eastAsia="黑体"/>
          <w:b/>
          <w:bCs/>
          <w:sz w:val="15"/>
          <w:szCs w:val="15"/>
        </w:rPr>
        <w:t>(</w:t>
      </w:r>
      <w:r w:rsidR="00F94712">
        <w:rPr>
          <w:rStyle w:val="af3"/>
          <w:rFonts w:eastAsia="黑体" w:hint="eastAsia"/>
          <w:b/>
          <w:bCs/>
          <w:sz w:val="15"/>
          <w:szCs w:val="15"/>
        </w:rPr>
        <w:t>e</w:t>
      </w:r>
      <w:r w:rsidR="00F94712" w:rsidRPr="00F64E20">
        <w:rPr>
          <w:rStyle w:val="af3"/>
          <w:rFonts w:eastAsia="黑体"/>
          <w:b/>
          <w:bCs/>
          <w:sz w:val="15"/>
          <w:szCs w:val="15"/>
        </w:rPr>
        <w:t>)</w:t>
      </w:r>
      <w:r w:rsidR="00F94712">
        <w:rPr>
          <w:rStyle w:val="af3"/>
          <w:rFonts w:eastAsia="黑体"/>
          <w:b/>
          <w:bCs/>
          <w:sz w:val="15"/>
          <w:szCs w:val="15"/>
        </w:rPr>
        <w:t>LP</w:t>
      </w:r>
      <w:r w:rsidR="00F94712">
        <w:rPr>
          <w:rStyle w:val="af3"/>
          <w:rFonts w:eastAsia="黑体"/>
          <w:b/>
          <w:bCs/>
          <w:sz w:val="15"/>
          <w:szCs w:val="15"/>
          <w:vertAlign w:val="subscript"/>
        </w:rPr>
        <w:t>01</w:t>
      </w:r>
      <w:r w:rsidR="00F94712">
        <w:rPr>
          <w:rStyle w:val="af3"/>
          <w:rFonts w:eastAsia="黑体" w:hint="eastAsia"/>
          <w:b/>
          <w:bCs/>
          <w:sz w:val="15"/>
          <w:szCs w:val="15"/>
        </w:rPr>
        <w:t>模场</w:t>
      </w:r>
    </w:p>
    <w:p w14:paraId="05F31A25" w14:textId="77777777" w:rsidR="00283939" w:rsidRPr="00BD071D" w:rsidRDefault="00283939" w:rsidP="00F94712">
      <w:pPr>
        <w:pStyle w:val="af2"/>
        <w:spacing w:before="0" w:beforeAutospacing="0" w:after="0" w:afterAutospacing="0"/>
        <w:ind w:firstLineChars="0" w:firstLine="0"/>
        <w:jc w:val="center"/>
        <w:rPr>
          <w:rStyle w:val="af3"/>
          <w:rFonts w:ascii="黑体" w:eastAsia="黑体" w:hAnsi="黑体"/>
          <w:sz w:val="21"/>
          <w:szCs w:val="21"/>
        </w:rPr>
      </w:pPr>
      <w:r w:rsidRPr="00F64E20">
        <w:rPr>
          <w:rStyle w:val="af3"/>
          <w:rFonts w:hint="eastAsia"/>
          <w:b/>
          <w:bCs/>
          <w:sz w:val="15"/>
          <w:szCs w:val="15"/>
        </w:rPr>
        <w:t>图</w:t>
      </w:r>
      <w:r w:rsidRPr="00F64E20">
        <w:rPr>
          <w:rStyle w:val="af3"/>
          <w:b/>
          <w:bCs/>
          <w:sz w:val="15"/>
          <w:szCs w:val="15"/>
        </w:rPr>
        <w:t>3</w:t>
      </w:r>
      <w:r w:rsidRPr="00F64E20">
        <w:rPr>
          <w:rStyle w:val="af3"/>
          <w:rFonts w:ascii="黑体" w:eastAsia="黑体" w:hAnsi="黑体"/>
          <w:b/>
          <w:bCs/>
          <w:sz w:val="15"/>
          <w:szCs w:val="15"/>
        </w:rPr>
        <w:t xml:space="preserve"> </w:t>
      </w:r>
      <w:r w:rsidRPr="00F64E20">
        <w:rPr>
          <w:rStyle w:val="af3"/>
          <w:b/>
          <w:bCs/>
          <w:sz w:val="15"/>
          <w:szCs w:val="15"/>
        </w:rPr>
        <w:t>典型五管</w:t>
      </w:r>
      <w:r w:rsidRPr="00F64E20">
        <w:rPr>
          <w:rStyle w:val="af3"/>
          <w:b/>
          <w:bCs/>
          <w:sz w:val="15"/>
          <w:szCs w:val="15"/>
        </w:rPr>
        <w:t xml:space="preserve"> NANF </w:t>
      </w:r>
      <w:r w:rsidRPr="00F64E20">
        <w:rPr>
          <w:rStyle w:val="af3"/>
          <w:b/>
          <w:bCs/>
          <w:sz w:val="15"/>
          <w:szCs w:val="15"/>
        </w:rPr>
        <w:t>结构及其耦合损耗与模式场分布特性</w:t>
      </w:r>
    </w:p>
    <w:p w14:paraId="5A3EB509" w14:textId="77777777" w:rsidR="008F329A" w:rsidRPr="00234CBF" w:rsidRDefault="00283939" w:rsidP="006A26A5">
      <w:pPr>
        <w:rPr>
          <w:rFonts w:ascii="Times New Roman" w:eastAsia="宋体" w:hAnsi="Times New Roman"/>
          <w:b/>
          <w:szCs w:val="21"/>
        </w:rPr>
      </w:pPr>
      <w:r w:rsidRPr="00234CBF">
        <w:rPr>
          <w:rFonts w:ascii="Times New Roman" w:eastAsia="宋体" w:hAnsi="Times New Roman"/>
          <w:b/>
          <w:szCs w:val="21"/>
        </w:rPr>
        <w:t>2.2</w:t>
      </w:r>
      <w:r w:rsidRPr="00234CBF">
        <w:rPr>
          <w:rFonts w:ascii="Times New Roman" w:eastAsia="宋体" w:hAnsi="Times New Roman"/>
          <w:b/>
          <w:szCs w:val="21"/>
        </w:rPr>
        <w:t>模场形状优化</w:t>
      </w:r>
    </w:p>
    <w:p w14:paraId="32B411EE"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lastRenderedPageBreak/>
        <w:t>为了进一步提升</w:t>
      </w:r>
      <w:r w:rsidRPr="00234CBF">
        <w:rPr>
          <w:rFonts w:ascii="Times New Roman" w:eastAsia="宋体" w:hAnsi="Times New Roman" w:hint="eastAsia"/>
          <w:kern w:val="0"/>
          <w:szCs w:val="21"/>
        </w:rPr>
        <w:t>S</w:t>
      </w:r>
      <w:r w:rsidRPr="00234CBF">
        <w:rPr>
          <w:rFonts w:ascii="Times New Roman" w:eastAsia="宋体" w:hAnsi="Times New Roman"/>
          <w:kern w:val="0"/>
          <w:szCs w:val="21"/>
        </w:rPr>
        <w:t>CF</w:t>
      </w:r>
      <w:r w:rsidRPr="00234CBF">
        <w:rPr>
          <w:rFonts w:ascii="Times New Roman" w:eastAsia="宋体" w:hAnsi="Times New Roman"/>
          <w:kern w:val="0"/>
          <w:szCs w:val="21"/>
        </w:rPr>
        <w:t>与</w:t>
      </w:r>
      <w:r w:rsidRPr="00234CBF">
        <w:rPr>
          <w:rFonts w:ascii="Times New Roman" w:eastAsia="宋体" w:hAnsi="Times New Roman" w:hint="eastAsia"/>
          <w:kern w:val="0"/>
          <w:szCs w:val="21"/>
        </w:rPr>
        <w:t>H</w:t>
      </w:r>
      <w:r w:rsidRPr="00234CBF">
        <w:rPr>
          <w:rFonts w:ascii="Times New Roman" w:eastAsia="宋体" w:hAnsi="Times New Roman"/>
          <w:kern w:val="0"/>
          <w:szCs w:val="21"/>
        </w:rPr>
        <w:t>CF</w:t>
      </w:r>
      <w:r w:rsidRPr="00234CBF">
        <w:rPr>
          <w:rFonts w:ascii="Times New Roman" w:eastAsia="宋体" w:hAnsi="Times New Roman"/>
          <w:kern w:val="0"/>
          <w:szCs w:val="21"/>
        </w:rPr>
        <w:t>之间的耦合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，下面将重点评估</w:t>
      </w:r>
      <w:r w:rsidRPr="00234CBF">
        <w:rPr>
          <w:rFonts w:ascii="Times New Roman" w:eastAsia="宋体" w:hAnsi="Times New Roman" w:hint="eastAsia"/>
          <w:kern w:val="0"/>
          <w:szCs w:val="21"/>
        </w:rPr>
        <w:t>N</w:t>
      </w:r>
      <w:r w:rsidRPr="00234CBF">
        <w:rPr>
          <w:rFonts w:ascii="Times New Roman" w:eastAsia="宋体" w:hAnsi="Times New Roman"/>
          <w:kern w:val="0"/>
          <w:szCs w:val="21"/>
        </w:rPr>
        <w:t>ANF</w:t>
      </w:r>
      <w:r w:rsidRPr="00234CBF">
        <w:rPr>
          <w:rFonts w:ascii="Times New Roman" w:eastAsia="宋体" w:hAnsi="Times New Roman"/>
          <w:kern w:val="0"/>
          <w:szCs w:val="21"/>
        </w:rPr>
        <w:t>几何参数对耦合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的影响规律及其物理机制。由于几何参数直接决定模式电场的径向分布，我们以上述</w:t>
      </w:r>
      <w:r w:rsidRPr="00234CBF">
        <w:rPr>
          <w:rFonts w:ascii="Times New Roman" w:eastAsia="宋体" w:hAnsi="Times New Roman"/>
          <w:kern w:val="0"/>
          <w:szCs w:val="21"/>
        </w:rPr>
        <w:t>NANF</w:t>
      </w:r>
      <w:r w:rsidRPr="00234CBF">
        <w:rPr>
          <w:rFonts w:ascii="Times New Roman" w:eastAsia="宋体" w:hAnsi="Times New Roman"/>
          <w:kern w:val="0"/>
          <w:szCs w:val="21"/>
        </w:rPr>
        <w:t>结构为基准，在分析中固定</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w:t>
      </w:r>
      <w:r w:rsidRPr="00234CBF">
        <w:rPr>
          <w:rFonts w:ascii="Times New Roman" w:eastAsia="宋体" w:hAnsi="Times New Roman" w:hint="eastAsia"/>
          <w:kern w:val="0"/>
          <w:szCs w:val="21"/>
        </w:rPr>
        <w:t>壁厚</w:t>
      </w:r>
      <w:r w:rsidRPr="00F64E20">
        <w:rPr>
          <w:rFonts w:ascii="Times New Roman" w:eastAsia="宋体" w:hAnsi="Times New Roman"/>
          <w:i/>
          <w:iCs/>
          <w:kern w:val="0"/>
          <w:szCs w:val="21"/>
        </w:rPr>
        <w:t>t</w:t>
      </w:r>
      <w:r w:rsidRPr="00234CBF">
        <w:rPr>
          <w:rFonts w:ascii="Times New Roman" w:eastAsia="宋体" w:hAnsi="Times New Roman" w:hint="eastAsia"/>
          <w:kern w:val="0"/>
          <w:szCs w:val="21"/>
        </w:rPr>
        <w:t>、包层管间隙</w:t>
      </w:r>
      <w:r w:rsidRPr="00F64E20">
        <w:rPr>
          <w:rFonts w:ascii="Times New Roman" w:eastAsia="宋体" w:hAnsi="Times New Roman" w:hint="eastAsia"/>
          <w:i/>
          <w:iCs/>
          <w:kern w:val="0"/>
          <w:szCs w:val="21"/>
        </w:rPr>
        <w:t>d</w:t>
      </w:r>
      <w:r w:rsidRPr="00234CBF">
        <w:rPr>
          <w:rFonts w:ascii="Times New Roman" w:eastAsia="宋体" w:hAnsi="Times New Roman"/>
          <w:kern w:val="0"/>
          <w:szCs w:val="21"/>
        </w:rPr>
        <w:t>与纤芯直径</w:t>
      </w:r>
      <w:r w:rsidRPr="00F64E20">
        <w:rPr>
          <w:rFonts w:ascii="Times New Roman" w:eastAsia="宋体" w:hAnsi="Times New Roman" w:hint="eastAsia"/>
          <w:i/>
          <w:iCs/>
          <w:kern w:val="0"/>
          <w:szCs w:val="21"/>
        </w:rPr>
        <w:t>2a</w:t>
      </w:r>
      <w:r w:rsidRPr="00234CBF">
        <w:rPr>
          <w:rFonts w:ascii="Times New Roman" w:eastAsia="宋体" w:hAnsi="Times New Roman"/>
          <w:kern w:val="0"/>
          <w:szCs w:val="21"/>
        </w:rPr>
        <w:t>，仅通过改变包层管数目</w:t>
      </w:r>
      <w:r w:rsidRPr="00F64E20">
        <w:rPr>
          <w:rFonts w:ascii="Times New Roman" w:eastAsia="宋体" w:hAnsi="Times New Roman"/>
          <w:i/>
          <w:iCs/>
          <w:kern w:val="0"/>
          <w:szCs w:val="21"/>
        </w:rPr>
        <w:t>N</w:t>
      </w:r>
      <w:r w:rsidRPr="00234CBF">
        <w:rPr>
          <w:rFonts w:ascii="Times New Roman" w:eastAsia="宋体" w:hAnsi="Times New Roman"/>
          <w:kern w:val="0"/>
          <w:szCs w:val="21"/>
        </w:rPr>
        <w:t>来调控模场分布。</w:t>
      </w:r>
      <w:r w:rsidRPr="00234CBF">
        <w:rPr>
          <w:rFonts w:ascii="Times New Roman" w:eastAsia="宋体" w:hAnsi="Times New Roman" w:hint="eastAsia"/>
          <w:kern w:val="0"/>
          <w:szCs w:val="21"/>
        </w:rPr>
        <w:t>仿真中，损耗在网格大小为</w:t>
      </w:r>
      <w:r w:rsidRPr="00F64E20">
        <w:rPr>
          <w:rFonts w:ascii="Times New Roman" w:eastAsia="宋体" w:hAnsi="Times New Roman"/>
          <w:i/>
          <w:iCs/>
          <w:kern w:val="0"/>
          <w:szCs w:val="21"/>
        </w:rPr>
        <w:t>λ</w:t>
      </w:r>
      <w:r w:rsidRPr="00234CBF">
        <w:rPr>
          <w:rFonts w:ascii="Times New Roman" w:eastAsia="宋体" w:hAnsi="Times New Roman" w:hint="eastAsia"/>
          <w:kern w:val="0"/>
          <w:szCs w:val="21"/>
        </w:rPr>
        <w:t>/</w:t>
      </w:r>
      <w:r w:rsidRPr="00234CBF">
        <w:rPr>
          <w:rFonts w:ascii="Times New Roman" w:eastAsia="宋体" w:hAnsi="Times New Roman"/>
          <w:kern w:val="0"/>
          <w:szCs w:val="21"/>
        </w:rPr>
        <w:t>6</w:t>
      </w:r>
      <w:r w:rsidRPr="00234CBF">
        <w:rPr>
          <w:rFonts w:ascii="Times New Roman" w:eastAsia="宋体" w:hAnsi="Times New Roman" w:hint="eastAsia"/>
          <w:kern w:val="0"/>
          <w:szCs w:val="21"/>
        </w:rPr>
        <w:t>~</w:t>
      </w:r>
      <w:r w:rsidRPr="00F64E20">
        <w:rPr>
          <w:rFonts w:ascii="Times New Roman" w:eastAsia="宋体" w:hAnsi="Times New Roman"/>
          <w:i/>
          <w:iCs/>
          <w:kern w:val="0"/>
          <w:szCs w:val="21"/>
        </w:rPr>
        <w:t>λ</w:t>
      </w:r>
      <w:r w:rsidRPr="00234CBF">
        <w:rPr>
          <w:rFonts w:ascii="Times New Roman" w:eastAsia="宋体" w:hAnsi="Times New Roman" w:hint="eastAsia"/>
          <w:kern w:val="0"/>
          <w:szCs w:val="21"/>
        </w:rPr>
        <w:t>/10</w:t>
      </w:r>
      <w:r w:rsidRPr="00234CBF">
        <w:rPr>
          <w:rFonts w:ascii="Times New Roman" w:eastAsia="宋体" w:hAnsi="Times New Roman" w:hint="eastAsia"/>
          <w:kern w:val="0"/>
          <w:szCs w:val="21"/>
        </w:rPr>
        <w:t>范围内保持不变时，将二氧化硅区域的最大网格单元优化在</w:t>
      </w:r>
      <w:r w:rsidRPr="00F64E20">
        <w:rPr>
          <w:rFonts w:ascii="Times New Roman" w:eastAsia="宋体" w:hAnsi="Times New Roman"/>
          <w:i/>
          <w:iCs/>
          <w:kern w:val="0"/>
          <w:szCs w:val="21"/>
        </w:rPr>
        <w:t>λ</w:t>
      </w:r>
      <w:r w:rsidRPr="00234CBF">
        <w:rPr>
          <w:rFonts w:ascii="Times New Roman" w:eastAsia="宋体" w:hAnsi="Times New Roman"/>
          <w:kern w:val="0"/>
          <w:szCs w:val="21"/>
        </w:rPr>
        <w:t>/8(0.13 μm)</w:t>
      </w:r>
      <w:r w:rsidRPr="00234CBF">
        <w:rPr>
          <w:rFonts w:ascii="Times New Roman" w:eastAsia="宋体" w:hAnsi="Times New Roman" w:hint="eastAsia"/>
          <w:kern w:val="0"/>
          <w:szCs w:val="21"/>
        </w:rPr>
        <w:t>。对完美匹配层（</w:t>
      </w:r>
      <w:r w:rsidRPr="00234CBF">
        <w:rPr>
          <w:rFonts w:ascii="Times New Roman" w:eastAsia="宋体" w:hAnsi="Times New Roman"/>
          <w:kern w:val="0"/>
          <w:szCs w:val="21"/>
        </w:rPr>
        <w:t>Perfectly Matched Layer</w:t>
      </w:r>
      <w:r w:rsidRPr="00234CBF">
        <w:rPr>
          <w:rFonts w:ascii="Times New Roman" w:eastAsia="宋体" w:hAnsi="Times New Roman" w:hint="eastAsia"/>
          <w:kern w:val="0"/>
          <w:szCs w:val="21"/>
        </w:rPr>
        <w:t>，</w:t>
      </w:r>
      <w:r w:rsidRPr="00234CBF">
        <w:rPr>
          <w:rFonts w:ascii="Times New Roman" w:eastAsia="宋体" w:hAnsi="Times New Roman" w:hint="eastAsia"/>
          <w:kern w:val="0"/>
          <w:szCs w:val="21"/>
        </w:rPr>
        <w:t>PML</w:t>
      </w:r>
      <w:r w:rsidRPr="00234CBF">
        <w:rPr>
          <w:rFonts w:ascii="Times New Roman" w:eastAsia="宋体" w:hAnsi="Times New Roman" w:hint="eastAsia"/>
          <w:kern w:val="0"/>
          <w:szCs w:val="21"/>
        </w:rPr>
        <w:t>）厚度进行收敛测试，设置为</w:t>
      </w:r>
      <w:r w:rsidRPr="00234CBF">
        <w:rPr>
          <w:rFonts w:ascii="Times New Roman" w:eastAsia="宋体" w:hAnsi="Times New Roman" w:hint="eastAsia"/>
          <w:kern w:val="0"/>
          <w:szCs w:val="21"/>
        </w:rPr>
        <w:t>5</w:t>
      </w:r>
      <w:r w:rsidRPr="00234CBF">
        <w:rPr>
          <w:rFonts w:ascii="Times New Roman" w:eastAsia="宋体" w:hAnsi="Times New Roman"/>
          <w:kern w:val="0"/>
          <w:szCs w:val="21"/>
        </w:rPr>
        <w:t xml:space="preserve"> μ</w:t>
      </w:r>
      <w:r w:rsidRPr="00234CBF">
        <w:rPr>
          <w:rFonts w:ascii="Times New Roman" w:eastAsia="宋体" w:hAnsi="Times New Roman" w:hint="eastAsia"/>
          <w:kern w:val="0"/>
          <w:szCs w:val="21"/>
        </w:rPr>
        <w:t>m</w:t>
      </w:r>
      <w:r w:rsidRPr="00234CBF">
        <w:rPr>
          <w:rFonts w:ascii="Times New Roman" w:eastAsia="宋体" w:hAnsi="Times New Roman" w:hint="eastAsia"/>
          <w:kern w:val="0"/>
          <w:szCs w:val="21"/>
        </w:rPr>
        <w:t>，发现当</w:t>
      </w:r>
      <w:r w:rsidRPr="00234CBF">
        <w:rPr>
          <w:rFonts w:ascii="Times New Roman" w:eastAsia="宋体" w:hAnsi="Times New Roman" w:hint="eastAsia"/>
          <w:kern w:val="0"/>
          <w:szCs w:val="21"/>
        </w:rPr>
        <w:t>PML</w:t>
      </w:r>
      <w:r w:rsidRPr="00234CBF">
        <w:rPr>
          <w:rFonts w:ascii="Times New Roman" w:eastAsia="宋体" w:hAnsi="Times New Roman" w:hint="eastAsia"/>
          <w:kern w:val="0"/>
          <w:szCs w:val="21"/>
        </w:rPr>
        <w:t>厚度充分大于硅胶管厚度时，损耗在较大的调谐范围内保持不变。</w:t>
      </w:r>
      <w:r w:rsidRPr="00234CBF">
        <w:rPr>
          <w:rFonts w:ascii="Times New Roman" w:eastAsia="宋体" w:hAnsi="Times New Roman"/>
          <w:kern w:val="0"/>
          <w:szCs w:val="21"/>
        </w:rPr>
        <w:t>仿真结果如图</w:t>
      </w:r>
      <w:r w:rsidRPr="00234CBF">
        <w:rPr>
          <w:rFonts w:ascii="Times New Roman" w:eastAsia="宋体" w:hAnsi="Times New Roman"/>
          <w:kern w:val="0"/>
          <w:szCs w:val="21"/>
        </w:rPr>
        <w:t>4</w:t>
      </w:r>
      <w:r w:rsidRPr="00234CBF">
        <w:rPr>
          <w:rFonts w:ascii="Times New Roman" w:eastAsia="宋体" w:hAnsi="Times New Roman"/>
          <w:kern w:val="0"/>
          <w:szCs w:val="21"/>
        </w:rPr>
        <w:t>所示，给出了不同包层管数目下耦合损耗（</w:t>
      </w:r>
      <w:r w:rsidRPr="00234CBF">
        <w:rPr>
          <w:rFonts w:ascii="Times New Roman" w:eastAsia="宋体" w:hAnsi="Times New Roman"/>
          <w:kern w:val="0"/>
          <w:szCs w:val="21"/>
        </w:rPr>
        <w:t>coupling loss</w:t>
      </w:r>
      <w:r w:rsidRPr="00234CBF">
        <w:rPr>
          <w:rFonts w:ascii="Times New Roman" w:eastAsia="宋体" w:hAnsi="Times New Roman" w:hint="eastAsia"/>
          <w:kern w:val="0"/>
          <w:szCs w:val="21"/>
        </w:rPr>
        <w:t>，</w:t>
      </w:r>
      <w:r w:rsidRPr="00F64E20">
        <w:rPr>
          <w:rFonts w:ascii="Times New Roman" w:eastAsia="宋体" w:hAnsi="Times New Roman" w:hint="eastAsia"/>
          <w:i/>
          <w:iCs/>
          <w:kern w:val="0"/>
          <w:szCs w:val="21"/>
        </w:rPr>
        <w:t>C</w:t>
      </w:r>
      <w:r w:rsidRPr="00F64E20">
        <w:rPr>
          <w:rFonts w:ascii="Times New Roman" w:eastAsia="宋体" w:hAnsi="Times New Roman"/>
          <w:i/>
          <w:iCs/>
          <w:kern w:val="0"/>
          <w:szCs w:val="21"/>
        </w:rPr>
        <w:t>L</w:t>
      </w:r>
      <w:r w:rsidRPr="00234CBF">
        <w:rPr>
          <w:rFonts w:ascii="Times New Roman" w:eastAsia="宋体" w:hAnsi="Times New Roman"/>
          <w:kern w:val="0"/>
          <w:szCs w:val="21"/>
        </w:rPr>
        <w:t>）与模场束腰</w:t>
      </w:r>
      <w:r w:rsidRPr="00234CBF">
        <w:rPr>
          <w:rFonts w:ascii="Times New Roman" w:eastAsia="宋体" w:hAnsi="Times New Roman"/>
          <w:kern w:val="0"/>
          <w:szCs w:val="21"/>
        </w:rPr>
        <w:t>—</w:t>
      </w:r>
      <w:r w:rsidRPr="00234CBF">
        <w:rPr>
          <w:rFonts w:ascii="Times New Roman" w:eastAsia="宋体" w:hAnsi="Times New Roman"/>
          <w:kern w:val="0"/>
          <w:szCs w:val="21"/>
        </w:rPr>
        <w:t>纤芯半径比（</w:t>
      </w:r>
      <w:r w:rsidRPr="00234CBF">
        <w:rPr>
          <w:rFonts w:ascii="Times New Roman" w:eastAsia="宋体" w:hAnsi="Times New Roman"/>
          <w:kern w:val="0"/>
          <w:szCs w:val="21"/>
        </w:rPr>
        <w:t>beam–core ratio</w:t>
      </w:r>
      <w:r w:rsidRPr="00234CBF">
        <w:rPr>
          <w:rFonts w:ascii="Times New Roman" w:eastAsia="宋体" w:hAnsi="Times New Roman"/>
          <w:kern w:val="0"/>
          <w:szCs w:val="21"/>
        </w:rPr>
        <w:t>，</w:t>
      </w:r>
      <w:r w:rsidRPr="00F64E20">
        <w:rPr>
          <w:rFonts w:ascii="Times New Roman" w:eastAsia="宋体" w:hAnsi="Times New Roman"/>
          <w:i/>
          <w:iCs/>
          <w:kern w:val="0"/>
          <w:szCs w:val="21"/>
        </w:rPr>
        <w:t>w/a</w:t>
      </w:r>
      <w:r w:rsidRPr="00234CBF">
        <w:rPr>
          <w:rFonts w:ascii="Times New Roman" w:eastAsia="宋体" w:hAnsi="Times New Roman"/>
          <w:kern w:val="0"/>
          <w:szCs w:val="21"/>
        </w:rPr>
        <w:t>）之间的关系。可以看到，随着包层管数目</w:t>
      </w:r>
      <w:r w:rsidRPr="00F64E20">
        <w:rPr>
          <w:rFonts w:ascii="Times New Roman" w:eastAsia="宋体" w:hAnsi="Times New Roman"/>
          <w:i/>
          <w:iCs/>
          <w:kern w:val="0"/>
          <w:szCs w:val="21"/>
        </w:rPr>
        <w:t>N</w:t>
      </w:r>
      <w:r w:rsidRPr="00234CBF">
        <w:rPr>
          <w:rFonts w:ascii="Times New Roman" w:eastAsia="宋体" w:hAnsi="Times New Roman"/>
          <w:kern w:val="0"/>
          <w:szCs w:val="21"/>
        </w:rPr>
        <w:t>的增加，最优耦合条件下的耦合损耗单调下降，同时对应的最优</w:t>
      </w:r>
      <w:r w:rsidRPr="00F64E20">
        <w:rPr>
          <w:rFonts w:ascii="Times New Roman" w:eastAsia="宋体" w:hAnsi="Times New Roman"/>
          <w:i/>
          <w:iCs/>
          <w:kern w:val="0"/>
          <w:szCs w:val="21"/>
        </w:rPr>
        <w:t>w/a</w:t>
      </w:r>
      <w:r w:rsidRPr="00234CBF">
        <w:rPr>
          <w:rFonts w:ascii="Times New Roman" w:eastAsia="宋体" w:hAnsi="Times New Roman"/>
          <w:kern w:val="0"/>
          <w:szCs w:val="21"/>
        </w:rPr>
        <w:t>略有减小。</w:t>
      </w:r>
    </w:p>
    <w:p w14:paraId="4120B45F" w14:textId="4DE8D96D" w:rsidR="00283939" w:rsidRDefault="00292117" w:rsidP="006A26A5">
      <w:pPr>
        <w:autoSpaceDE w:val="0"/>
        <w:autoSpaceDN w:val="0"/>
        <w:adjustRightInd w:val="0"/>
        <w:jc w:val="center"/>
        <w:rPr>
          <w:rStyle w:val="af3"/>
          <w:noProof/>
        </w:rPr>
      </w:pPr>
      <w:r>
        <w:rPr>
          <w:rStyle w:val="af3"/>
          <w:noProof/>
        </w:rPr>
        <w:object w:dxaOrig="4021" w:dyaOrig="3195" w14:anchorId="78EA1C09">
          <v:shape id="_x0000_i1028" type="#_x0000_t75" style="width:200.95pt;height:159.65pt" o:ole="">
            <v:imagedata r:id="rId14" o:title=""/>
          </v:shape>
          <o:OLEObject Type="Embed" ProgID="Visio.Drawing.15" ShapeID="_x0000_i1028" DrawAspect="Content" ObjectID="_1844942218" r:id="rId15"/>
        </w:object>
      </w:r>
    </w:p>
    <w:p w14:paraId="1EB48358" w14:textId="77777777" w:rsidR="00283939" w:rsidRPr="00F64E20" w:rsidRDefault="00283939" w:rsidP="00F94712">
      <w:pPr>
        <w:widowControl/>
        <w:jc w:val="center"/>
        <w:rPr>
          <w:rFonts w:ascii="Times New Roman" w:eastAsia="黑体" w:hAnsi="Times New Roman" w:cs="宋体"/>
          <w:b/>
          <w:bCs/>
          <w:kern w:val="0"/>
          <w:sz w:val="15"/>
          <w:szCs w:val="15"/>
        </w:rPr>
      </w:pPr>
      <w:r w:rsidRPr="00F64E20">
        <w:rPr>
          <w:rStyle w:val="af3"/>
          <w:rFonts w:hint="eastAsia"/>
          <w:b/>
          <w:bCs/>
          <w:sz w:val="15"/>
          <w:szCs w:val="15"/>
        </w:rPr>
        <w:t>图</w:t>
      </w:r>
      <w:r w:rsidRPr="00F64E20">
        <w:rPr>
          <w:rStyle w:val="af3"/>
          <w:b/>
          <w:bCs/>
          <w:sz w:val="15"/>
          <w:szCs w:val="15"/>
        </w:rPr>
        <w:t>4</w:t>
      </w:r>
      <w:r w:rsidRPr="00F64E20">
        <w:rPr>
          <w:rFonts w:ascii="Times New Roman" w:eastAsia="黑体" w:hAnsi="Times New Roman" w:cs="宋体"/>
          <w:b/>
          <w:bCs/>
          <w:kern w:val="0"/>
          <w:sz w:val="15"/>
          <w:szCs w:val="15"/>
        </w:rPr>
        <w:t xml:space="preserve"> </w:t>
      </w:r>
      <w:r w:rsidRPr="00F64E20">
        <w:rPr>
          <w:rStyle w:val="af3"/>
          <w:rFonts w:hint="eastAsia"/>
          <w:b/>
          <w:bCs/>
          <w:sz w:val="15"/>
          <w:szCs w:val="15"/>
        </w:rPr>
        <w:t>包层管数量对耦合损耗和光束束芯比</w:t>
      </w:r>
      <w:r w:rsidRPr="00F64E20">
        <w:rPr>
          <w:rStyle w:val="af3"/>
          <w:b/>
          <w:bCs/>
          <w:i/>
          <w:iCs/>
          <w:sz w:val="15"/>
          <w:szCs w:val="15"/>
        </w:rPr>
        <w:t>w/a</w:t>
      </w:r>
      <w:r w:rsidRPr="00F64E20">
        <w:rPr>
          <w:rStyle w:val="af3"/>
          <w:b/>
          <w:bCs/>
          <w:sz w:val="15"/>
          <w:szCs w:val="15"/>
        </w:rPr>
        <w:t>的影响</w:t>
      </w:r>
    </w:p>
    <w:p w14:paraId="0E1F90DA"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图</w:t>
      </w:r>
      <w:r w:rsidRPr="00234CBF">
        <w:rPr>
          <w:rFonts w:ascii="Times New Roman" w:eastAsia="宋体" w:hAnsi="Times New Roman"/>
          <w:kern w:val="0"/>
          <w:szCs w:val="21"/>
        </w:rPr>
        <w:t>5</w:t>
      </w:r>
      <w:r w:rsidRPr="00234CBF">
        <w:rPr>
          <w:rFonts w:ascii="Times New Roman" w:eastAsia="宋体" w:hAnsi="Times New Roman"/>
          <w:kern w:val="0"/>
          <w:szCs w:val="21"/>
        </w:rPr>
        <w:t>展示了在保持纤芯直径和包层管间隙不变的条件下</w:t>
      </w:r>
      <w:r w:rsidRPr="00234CBF">
        <w:rPr>
          <w:rFonts w:ascii="Times New Roman" w:eastAsia="宋体" w:hAnsi="Times New Roman" w:hint="eastAsia"/>
          <w:kern w:val="0"/>
          <w:szCs w:val="21"/>
        </w:rPr>
        <w:t>，</w:t>
      </w:r>
      <w:r w:rsidRPr="00234CBF">
        <w:rPr>
          <w:rFonts w:ascii="Times New Roman" w:eastAsia="宋体" w:hAnsi="Times New Roman"/>
          <w:kern w:val="0"/>
          <w:szCs w:val="21"/>
        </w:rPr>
        <w:t>NANF</w:t>
      </w:r>
      <w:r w:rsidRPr="00234CBF">
        <w:rPr>
          <w:rFonts w:ascii="Times New Roman" w:eastAsia="宋体" w:hAnsi="Times New Roman"/>
          <w:kern w:val="0"/>
          <w:szCs w:val="21"/>
        </w:rPr>
        <w:t>基模在</w:t>
      </w:r>
      <w:r w:rsidRPr="00F64E20">
        <w:rPr>
          <w:rFonts w:ascii="Times New Roman" w:eastAsia="宋体" w:hAnsi="Times New Roman"/>
          <w:i/>
          <w:iCs/>
          <w:kern w:val="0"/>
          <w:szCs w:val="21"/>
        </w:rPr>
        <w:t>N</w:t>
      </w:r>
      <w:r w:rsidRPr="00234CBF">
        <w:rPr>
          <w:rFonts w:ascii="Times New Roman" w:eastAsia="宋体" w:hAnsi="Times New Roman"/>
          <w:kern w:val="0"/>
          <w:szCs w:val="21"/>
        </w:rPr>
        <w:t>=6</w:t>
      </w:r>
      <w:r w:rsidRPr="00234CBF">
        <w:rPr>
          <w:rFonts w:ascii="Times New Roman" w:eastAsia="宋体" w:hAnsi="Times New Roman"/>
          <w:kern w:val="0"/>
          <w:szCs w:val="21"/>
        </w:rPr>
        <w:t>、</w:t>
      </w:r>
      <w:r w:rsidRPr="00234CBF">
        <w:rPr>
          <w:rFonts w:ascii="Times New Roman" w:eastAsia="宋体" w:hAnsi="Times New Roman"/>
          <w:kern w:val="0"/>
          <w:szCs w:val="21"/>
        </w:rPr>
        <w:t>9</w:t>
      </w:r>
      <w:r w:rsidRPr="00234CBF">
        <w:rPr>
          <w:rFonts w:ascii="Times New Roman" w:eastAsia="宋体" w:hAnsi="Times New Roman"/>
          <w:kern w:val="0"/>
          <w:szCs w:val="21"/>
        </w:rPr>
        <w:t>、</w:t>
      </w:r>
      <w:r w:rsidRPr="00234CBF">
        <w:rPr>
          <w:rFonts w:ascii="Times New Roman" w:eastAsia="宋体" w:hAnsi="Times New Roman"/>
          <w:kern w:val="0"/>
          <w:szCs w:val="21"/>
        </w:rPr>
        <w:t>12</w:t>
      </w:r>
      <w:r w:rsidRPr="00234CBF">
        <w:rPr>
          <w:rFonts w:ascii="Times New Roman" w:eastAsia="宋体" w:hAnsi="Times New Roman"/>
          <w:kern w:val="0"/>
          <w:szCs w:val="21"/>
        </w:rPr>
        <w:t>三种包层管数目时的场分布变化情况。可以看到，随着包层管数目的增多，光纤基模的模场分布圆度显著增强，从而提高了与近高斯入射光束之间的</w:t>
      </w:r>
      <w:r w:rsidRPr="00234CBF">
        <w:rPr>
          <w:rFonts w:ascii="Times New Roman" w:eastAsia="宋体" w:hAnsi="Times New Roman" w:hint="eastAsia"/>
          <w:kern w:val="0"/>
          <w:szCs w:val="21"/>
        </w:rPr>
        <w:t>电场分布的</w:t>
      </w:r>
      <w:r w:rsidRPr="00234CBF">
        <w:rPr>
          <w:rFonts w:ascii="Times New Roman" w:eastAsia="宋体" w:hAnsi="Times New Roman"/>
          <w:kern w:val="0"/>
          <w:szCs w:val="21"/>
        </w:rPr>
        <w:t>匹配程度，降低了耦合损耗。在保持包层管间隙</w:t>
      </w:r>
      <w:r w:rsidRPr="00F64E20">
        <w:rPr>
          <w:rFonts w:ascii="Times New Roman" w:eastAsia="宋体" w:hAnsi="Times New Roman"/>
          <w:i/>
          <w:iCs/>
          <w:kern w:val="0"/>
          <w:szCs w:val="21"/>
        </w:rPr>
        <w:t>d</w:t>
      </w:r>
      <w:r w:rsidRPr="00234CBF">
        <w:rPr>
          <w:rFonts w:ascii="Times New Roman" w:eastAsia="宋体" w:hAnsi="Times New Roman"/>
          <w:kern w:val="0"/>
          <w:szCs w:val="21"/>
        </w:rPr>
        <w:t>恒定的前提下，增大</w:t>
      </w:r>
      <w:r w:rsidRPr="00F64E20">
        <w:rPr>
          <w:rFonts w:ascii="Times New Roman" w:eastAsia="宋体" w:hAnsi="Times New Roman"/>
          <w:i/>
          <w:iCs/>
          <w:kern w:val="0"/>
          <w:szCs w:val="21"/>
        </w:rPr>
        <w:t>N</w:t>
      </w:r>
      <w:r w:rsidRPr="00234CBF">
        <w:rPr>
          <w:rFonts w:ascii="Times New Roman" w:eastAsia="宋体" w:hAnsi="Times New Roman"/>
          <w:kern w:val="0"/>
          <w:szCs w:val="21"/>
        </w:rPr>
        <w:t>使包层在角向上的分布更加均匀，对纤芯模式的包围程度增强。尽管相邻包层管之间的间距未变，但由于圆周方向引入了更多管单元，整体角向填充率提高，使反谐振反射条件在更大角范围内得到满足，从而加强了对纤芯光场的限制作用并进一步降低了传输损耗。</w:t>
      </w:r>
    </w:p>
    <w:p w14:paraId="6C04B26A" w14:textId="77777777" w:rsidR="00283939" w:rsidRPr="00FB32C6" w:rsidRDefault="007F4F22" w:rsidP="006A26A5">
      <w:pPr>
        <w:pStyle w:val="af4"/>
        <w:spacing w:before="0" w:beforeAutospacing="0" w:after="0" w:afterAutospacing="0"/>
        <w:jc w:val="center"/>
        <w:rPr>
          <w:noProof/>
        </w:rPr>
      </w:pPr>
      <w:r>
        <w:rPr>
          <w:noProof/>
        </w:rPr>
        <w:object w:dxaOrig="4065" w:dyaOrig="1215" w14:anchorId="40115373">
          <v:shape id="_x0000_i1029" type="#_x0000_t75" style="width:211.6pt;height:63.85pt" o:ole="">
            <v:imagedata r:id="rId16" o:title=""/>
          </v:shape>
          <o:OLEObject Type="Embed" ProgID="Visio.Drawing.15" ShapeID="_x0000_i1029" DrawAspect="Content" ObjectID="_1844942219" r:id="rId17"/>
        </w:object>
      </w:r>
    </w:p>
    <w:p w14:paraId="0B3D87B2" w14:textId="77777777" w:rsidR="00283939" w:rsidRPr="00C555E9" w:rsidRDefault="00283939" w:rsidP="00F94712">
      <w:pPr>
        <w:widowControl/>
        <w:jc w:val="center"/>
        <w:rPr>
          <w:rFonts w:ascii="Times New Roman" w:eastAsia="黑体" w:hAnsi="Times New Roman" w:cs="宋体"/>
          <w:b/>
          <w:bCs/>
          <w:kern w:val="0"/>
          <w:sz w:val="15"/>
          <w:szCs w:val="15"/>
        </w:rPr>
      </w:pPr>
      <w:r w:rsidRPr="00C555E9">
        <w:rPr>
          <w:rStyle w:val="af3"/>
          <w:rFonts w:hint="eastAsia"/>
          <w:b/>
          <w:bCs/>
          <w:sz w:val="15"/>
          <w:szCs w:val="15"/>
        </w:rPr>
        <w:t>图</w:t>
      </w:r>
      <w:r w:rsidRPr="00C555E9">
        <w:rPr>
          <w:rStyle w:val="af3"/>
          <w:rFonts w:hint="eastAsia"/>
          <w:b/>
          <w:bCs/>
          <w:sz w:val="15"/>
          <w:szCs w:val="15"/>
        </w:rPr>
        <w:t>5</w:t>
      </w:r>
      <w:r w:rsidRPr="00C555E9">
        <w:rPr>
          <w:rStyle w:val="af3"/>
          <w:b/>
          <w:bCs/>
          <w:sz w:val="15"/>
          <w:szCs w:val="15"/>
        </w:rPr>
        <w:t xml:space="preserve"> </w:t>
      </w:r>
      <w:r w:rsidRPr="00C555E9">
        <w:rPr>
          <w:rStyle w:val="af3"/>
          <w:rFonts w:hint="eastAsia"/>
          <w:b/>
          <w:bCs/>
          <w:sz w:val="15"/>
          <w:szCs w:val="15"/>
        </w:rPr>
        <w:t>基模形状随管数</w:t>
      </w:r>
      <w:r w:rsidRPr="00C555E9">
        <w:rPr>
          <w:rStyle w:val="af3"/>
          <w:rFonts w:hint="eastAsia"/>
          <w:b/>
          <w:bCs/>
          <w:i/>
          <w:iCs/>
          <w:sz w:val="15"/>
          <w:szCs w:val="15"/>
        </w:rPr>
        <w:t>N</w:t>
      </w:r>
      <w:r w:rsidRPr="00C555E9">
        <w:rPr>
          <w:rStyle w:val="af3"/>
          <w:rFonts w:hint="eastAsia"/>
          <w:b/>
          <w:bCs/>
          <w:sz w:val="15"/>
          <w:szCs w:val="15"/>
        </w:rPr>
        <w:t>的变化图</w:t>
      </w:r>
    </w:p>
    <w:p w14:paraId="528B5C74" w14:textId="77777777" w:rsidR="00283939" w:rsidRPr="00234CBF" w:rsidRDefault="00283939" w:rsidP="006A26A5">
      <w:pPr>
        <w:rPr>
          <w:rFonts w:ascii="Times New Roman" w:eastAsia="宋体" w:hAnsi="Times New Roman"/>
          <w:b/>
          <w:szCs w:val="21"/>
        </w:rPr>
      </w:pPr>
      <w:r w:rsidRPr="00234CBF">
        <w:rPr>
          <w:rFonts w:ascii="Times New Roman" w:eastAsia="宋体" w:hAnsi="Times New Roman"/>
          <w:b/>
          <w:szCs w:val="21"/>
        </w:rPr>
        <w:t>2.3</w:t>
      </w:r>
      <w:r w:rsidRPr="00234CBF">
        <w:rPr>
          <w:rFonts w:ascii="Times New Roman" w:eastAsia="宋体" w:hAnsi="Times New Roman" w:hint="eastAsia"/>
          <w:b/>
          <w:szCs w:val="21"/>
        </w:rPr>
        <w:t>模场区域条件优化</w:t>
      </w:r>
    </w:p>
    <w:p w14:paraId="4766AF19"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我们进一步考察了包层管间隙</w:t>
      </w:r>
      <w:r w:rsidRPr="00F64E20">
        <w:rPr>
          <w:rFonts w:ascii="Times New Roman" w:eastAsia="宋体" w:hAnsi="Times New Roman"/>
          <w:i/>
          <w:iCs/>
          <w:kern w:val="0"/>
          <w:szCs w:val="21"/>
        </w:rPr>
        <w:t>d</w:t>
      </w:r>
      <w:r w:rsidRPr="00234CBF">
        <w:rPr>
          <w:rFonts w:ascii="Times New Roman" w:eastAsia="宋体" w:hAnsi="Times New Roman"/>
          <w:kern w:val="0"/>
          <w:szCs w:val="21"/>
        </w:rPr>
        <w:t>和大小包层管径比</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对传输与耦合性能的影响。首先保持纤芯直径</w:t>
      </w:r>
      <w:r w:rsidRPr="00F64E20">
        <w:rPr>
          <w:rFonts w:ascii="Times New Roman" w:eastAsia="宋体" w:hAnsi="Times New Roman"/>
          <w:i/>
          <w:iCs/>
          <w:kern w:val="0"/>
          <w:szCs w:val="21"/>
        </w:rPr>
        <w:t>2a</w:t>
      </w:r>
      <w:r w:rsidRPr="00234CBF">
        <w:rPr>
          <w:rFonts w:ascii="Times New Roman" w:eastAsia="宋体" w:hAnsi="Times New Roman"/>
          <w:kern w:val="0"/>
          <w:szCs w:val="21"/>
        </w:rPr>
        <w:t>、大小包层管径比</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以及壁厚</w:t>
      </w:r>
      <w:r w:rsidRPr="00F64E20">
        <w:rPr>
          <w:rFonts w:ascii="Times New Roman" w:eastAsia="宋体" w:hAnsi="Times New Roman"/>
          <w:i/>
          <w:iCs/>
          <w:kern w:val="0"/>
          <w:szCs w:val="21"/>
        </w:rPr>
        <w:t>t</w:t>
      </w:r>
      <w:r w:rsidRPr="00234CBF">
        <w:rPr>
          <w:rFonts w:ascii="Times New Roman" w:eastAsia="宋体" w:hAnsi="Times New Roman"/>
          <w:kern w:val="0"/>
          <w:szCs w:val="21"/>
        </w:rPr>
        <w:t>不变，采用六管结构，将包层管间隙</w:t>
      </w:r>
      <w:r w:rsidRPr="00F64E20">
        <w:rPr>
          <w:rFonts w:ascii="Times New Roman" w:eastAsia="宋体" w:hAnsi="Times New Roman"/>
          <w:i/>
          <w:iCs/>
          <w:kern w:val="0"/>
          <w:szCs w:val="21"/>
        </w:rPr>
        <w:t>d</w:t>
      </w:r>
      <w:r w:rsidRPr="00234CBF">
        <w:rPr>
          <w:rFonts w:ascii="Times New Roman" w:eastAsia="宋体" w:hAnsi="Times New Roman"/>
          <w:kern w:val="0"/>
          <w:szCs w:val="21"/>
        </w:rPr>
        <w:t>从</w:t>
      </w:r>
      <w:r w:rsidRPr="00234CBF">
        <w:rPr>
          <w:rFonts w:ascii="Times New Roman" w:eastAsia="宋体" w:hAnsi="Times New Roman"/>
          <w:kern w:val="0"/>
          <w:szCs w:val="21"/>
        </w:rPr>
        <w:t>1</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hint="eastAsia"/>
          <w:kern w:val="0"/>
          <w:szCs w:val="21"/>
        </w:rPr>
        <w:t>增</w:t>
      </w:r>
      <w:r w:rsidRPr="00234CBF">
        <w:rPr>
          <w:rFonts w:ascii="Times New Roman" w:eastAsia="宋体" w:hAnsi="Times New Roman"/>
          <w:kern w:val="0"/>
          <w:szCs w:val="21"/>
        </w:rPr>
        <w:t>至</w:t>
      </w:r>
      <w:r w:rsidRPr="00234CBF">
        <w:rPr>
          <w:rFonts w:ascii="Times New Roman" w:eastAsia="宋体" w:hAnsi="Times New Roman"/>
          <w:kern w:val="0"/>
          <w:szCs w:val="21"/>
        </w:rPr>
        <w:t>5</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w:t>
      </w:r>
      <w:r w:rsidRPr="00234CBF">
        <w:rPr>
          <w:rFonts w:ascii="Times New Roman" w:eastAsia="宋体" w:hAnsi="Times New Roman" w:hint="eastAsia"/>
          <w:kern w:val="0"/>
          <w:szCs w:val="21"/>
        </w:rPr>
        <w:t>m</w:t>
      </w:r>
      <w:r w:rsidRPr="00234CBF">
        <w:rPr>
          <w:rFonts w:ascii="Times New Roman" w:eastAsia="宋体" w:hAnsi="Times New Roman"/>
          <w:kern w:val="0"/>
          <w:szCs w:val="21"/>
        </w:rPr>
        <w:t>。这相当于在维持纤芯尺寸不变的情况下，随着间隙增大，反谐振包层管半径逐渐减小，如图</w:t>
      </w:r>
      <w:r w:rsidRPr="00234CBF">
        <w:rPr>
          <w:rFonts w:ascii="Times New Roman" w:eastAsia="宋体" w:hAnsi="Times New Roman"/>
          <w:kern w:val="0"/>
          <w:szCs w:val="21"/>
        </w:rPr>
        <w:t>6(a)</w:t>
      </w:r>
      <w:r w:rsidRPr="00234CBF">
        <w:rPr>
          <w:rFonts w:ascii="Times New Roman" w:eastAsia="宋体" w:hAnsi="Times New Roman"/>
          <w:kern w:val="0"/>
          <w:szCs w:val="21"/>
        </w:rPr>
        <w:t>的</w:t>
      </w:r>
      <w:r w:rsidRPr="00234CBF">
        <w:rPr>
          <w:rFonts w:ascii="Times New Roman" w:eastAsia="宋体" w:hAnsi="Times New Roman" w:hint="eastAsia"/>
          <w:kern w:val="0"/>
          <w:szCs w:val="21"/>
        </w:rPr>
        <w:t>插图</w:t>
      </w:r>
      <w:r w:rsidRPr="00234CBF">
        <w:rPr>
          <w:rFonts w:ascii="Times New Roman" w:eastAsia="宋体" w:hAnsi="Times New Roman"/>
          <w:kern w:val="0"/>
          <w:szCs w:val="21"/>
        </w:rPr>
        <w:t>所示。结果表明，随着包层管间隙</w:t>
      </w:r>
      <w:r w:rsidRPr="00F64E20">
        <w:rPr>
          <w:rFonts w:ascii="Times New Roman" w:eastAsia="宋体" w:hAnsi="Times New Roman"/>
          <w:i/>
          <w:iCs/>
          <w:kern w:val="0"/>
          <w:szCs w:val="21"/>
        </w:rPr>
        <w:t>d</w:t>
      </w:r>
      <w:r w:rsidRPr="00234CBF">
        <w:rPr>
          <w:rFonts w:ascii="Times New Roman" w:eastAsia="宋体" w:hAnsi="Times New Roman"/>
          <w:kern w:val="0"/>
          <w:szCs w:val="21"/>
        </w:rPr>
        <w:t>的增大，光纤传输损耗显著增加；与此同时，耦合损耗则出现轻微下降，并伴随模场直径（</w:t>
      </w:r>
      <w:r w:rsidRPr="00234CBF">
        <w:rPr>
          <w:rFonts w:ascii="Times New Roman" w:eastAsia="宋体" w:hAnsi="Times New Roman"/>
          <w:kern w:val="0"/>
          <w:szCs w:val="21"/>
        </w:rPr>
        <w:t>MFD</w:t>
      </w:r>
      <w:r w:rsidRPr="00234CBF">
        <w:rPr>
          <w:rFonts w:ascii="Times New Roman" w:eastAsia="宋体" w:hAnsi="Times New Roman"/>
          <w:kern w:val="0"/>
          <w:szCs w:val="21"/>
        </w:rPr>
        <w:t>）的同步增大。从模场重叠的角度看，当包层管变小、间距增大时，</w:t>
      </w:r>
      <w:r w:rsidRPr="00234CBF">
        <w:rPr>
          <w:rFonts w:ascii="Times New Roman" w:eastAsia="宋体" w:hAnsi="Times New Roman" w:hint="eastAsia"/>
          <w:kern w:val="0"/>
          <w:szCs w:val="21"/>
        </w:rPr>
        <w:t>反谐振条件导致</w:t>
      </w:r>
      <w:r w:rsidRPr="00234CBF">
        <w:rPr>
          <w:rFonts w:ascii="Times New Roman" w:eastAsia="宋体" w:hAnsi="Times New Roman"/>
          <w:kern w:val="0"/>
          <w:szCs w:val="21"/>
        </w:rPr>
        <w:t>基模中</w:t>
      </w:r>
      <w:r w:rsidRPr="00234CBF">
        <w:rPr>
          <w:rFonts w:ascii="Times New Roman" w:eastAsia="宋体" w:hAnsi="Times New Roman" w:hint="eastAsia"/>
          <w:kern w:val="0"/>
          <w:szCs w:val="21"/>
        </w:rPr>
        <w:t>相位发生变化，进一步导致</w:t>
      </w:r>
      <w:r w:rsidRPr="00234CBF">
        <w:rPr>
          <w:rFonts w:ascii="Times New Roman" w:eastAsia="宋体" w:hAnsi="Times New Roman"/>
          <w:kern w:val="0"/>
          <w:szCs w:val="21"/>
        </w:rPr>
        <w:t>振幅符号</w:t>
      </w:r>
      <w:r w:rsidRPr="00234CBF">
        <w:rPr>
          <w:rFonts w:ascii="Times New Roman" w:eastAsia="宋体" w:hAnsi="Times New Roman" w:hint="eastAsia"/>
          <w:kern w:val="0"/>
          <w:szCs w:val="21"/>
        </w:rPr>
        <w:t>由正变负的</w:t>
      </w:r>
      <w:r w:rsidRPr="00234CBF">
        <w:rPr>
          <w:rFonts w:ascii="Times New Roman" w:eastAsia="宋体" w:hAnsi="Times New Roman"/>
          <w:kern w:val="0"/>
          <w:szCs w:val="21"/>
        </w:rPr>
        <w:t>符号失配区域在面积和幅度上均被压缩；相应地，该区域对重叠积分的负贡献减小，使重叠积分的绝对值增大，从而略微</w:t>
      </w:r>
      <w:r w:rsidRPr="00234CBF">
        <w:rPr>
          <w:rFonts w:ascii="Times New Roman" w:eastAsia="宋体" w:hAnsi="Times New Roman" w:hint="eastAsia"/>
          <w:kern w:val="0"/>
          <w:szCs w:val="21"/>
        </w:rPr>
        <w:t>降低</w:t>
      </w:r>
      <w:r w:rsidRPr="00234CBF">
        <w:rPr>
          <w:rFonts w:ascii="Times New Roman" w:eastAsia="宋体" w:hAnsi="Times New Roman"/>
          <w:kern w:val="0"/>
          <w:szCs w:val="21"/>
        </w:rPr>
        <w:t>了入射高斯光束与基模之</w:t>
      </w:r>
      <w:r w:rsidRPr="00234CBF">
        <w:rPr>
          <w:rFonts w:ascii="Times New Roman" w:eastAsia="宋体" w:hAnsi="Times New Roman"/>
          <w:kern w:val="0"/>
          <w:szCs w:val="21"/>
        </w:rPr>
        <w:lastRenderedPageBreak/>
        <w:t>间的耦合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w:t>
      </w:r>
    </w:p>
    <w:p w14:paraId="49582D92" w14:textId="77777777" w:rsidR="00283939"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随后，我们将重点转向大小包层管径</w:t>
      </w:r>
      <w:r w:rsidRPr="00234CBF">
        <w:rPr>
          <w:rFonts w:ascii="Times New Roman" w:eastAsia="宋体" w:hAnsi="Times New Roman" w:hint="eastAsia"/>
          <w:kern w:val="0"/>
          <w:szCs w:val="21"/>
        </w:rPr>
        <w:t>比</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。在固定大包层管直径</w:t>
      </w:r>
      <w:r w:rsidRPr="00F64E20">
        <w:rPr>
          <w:rFonts w:ascii="Times New Roman" w:eastAsia="宋体" w:hAnsi="Times New Roman"/>
          <w:i/>
          <w:iCs/>
          <w:kern w:val="0"/>
          <w:szCs w:val="21"/>
        </w:rPr>
        <w:t>D</w:t>
      </w:r>
      <w:r w:rsidRPr="00234CBF">
        <w:rPr>
          <w:rFonts w:ascii="Times New Roman" w:eastAsia="宋体" w:hAnsi="Times New Roman"/>
          <w:kern w:val="0"/>
          <w:szCs w:val="21"/>
        </w:rPr>
        <w:t>、间隙</w:t>
      </w:r>
      <w:r w:rsidRPr="00F64E20">
        <w:rPr>
          <w:rFonts w:ascii="Times New Roman" w:eastAsia="宋体" w:hAnsi="Times New Roman"/>
          <w:i/>
          <w:iCs/>
          <w:kern w:val="0"/>
          <w:szCs w:val="21"/>
        </w:rPr>
        <w:t>d</w:t>
      </w:r>
      <w:r w:rsidRPr="00234CBF">
        <w:rPr>
          <w:rFonts w:ascii="Times New Roman" w:eastAsia="宋体" w:hAnsi="Times New Roman"/>
          <w:kern w:val="0"/>
          <w:szCs w:val="21"/>
        </w:rPr>
        <w:t>、纤芯直径</w:t>
      </w:r>
      <w:r w:rsidRPr="00F64E20">
        <w:rPr>
          <w:rFonts w:ascii="Times New Roman" w:eastAsia="宋体" w:hAnsi="Times New Roman"/>
          <w:i/>
          <w:iCs/>
          <w:kern w:val="0"/>
          <w:szCs w:val="21"/>
        </w:rPr>
        <w:t>2a</w:t>
      </w:r>
      <w:r w:rsidRPr="00234CBF">
        <w:rPr>
          <w:rFonts w:ascii="Times New Roman" w:eastAsia="宋体" w:hAnsi="Times New Roman"/>
          <w:kern w:val="0"/>
          <w:szCs w:val="21"/>
        </w:rPr>
        <w:t>和包层管厚度</w:t>
      </w:r>
      <w:r w:rsidRPr="00F64E20">
        <w:rPr>
          <w:rFonts w:ascii="Times New Roman" w:eastAsia="宋体" w:hAnsi="Times New Roman"/>
          <w:i/>
          <w:iCs/>
          <w:kern w:val="0"/>
          <w:szCs w:val="21"/>
        </w:rPr>
        <w:t>t</w:t>
      </w:r>
      <w:r w:rsidRPr="00234CBF">
        <w:rPr>
          <w:rFonts w:ascii="Times New Roman" w:eastAsia="宋体" w:hAnsi="Times New Roman"/>
          <w:kern w:val="0"/>
          <w:szCs w:val="21"/>
        </w:rPr>
        <w:t>的条件下，将</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以</w:t>
      </w:r>
      <w:r w:rsidRPr="00234CBF">
        <w:rPr>
          <w:rFonts w:ascii="Times New Roman" w:eastAsia="宋体" w:hAnsi="Times New Roman"/>
          <w:kern w:val="0"/>
          <w:szCs w:val="21"/>
        </w:rPr>
        <w:t>0.15</w:t>
      </w:r>
      <w:r w:rsidRPr="00234CBF">
        <w:rPr>
          <w:rFonts w:ascii="Times New Roman" w:eastAsia="宋体" w:hAnsi="Times New Roman"/>
          <w:kern w:val="0"/>
          <w:szCs w:val="21"/>
        </w:rPr>
        <w:t>为步长从</w:t>
      </w:r>
      <w:r w:rsidRPr="00234CBF">
        <w:rPr>
          <w:rFonts w:ascii="Times New Roman" w:eastAsia="宋体" w:hAnsi="Times New Roman"/>
          <w:kern w:val="0"/>
          <w:szCs w:val="21"/>
        </w:rPr>
        <w:t>0.15</w:t>
      </w:r>
      <w:r w:rsidRPr="00234CBF">
        <w:rPr>
          <w:rFonts w:ascii="Times New Roman" w:eastAsia="宋体" w:hAnsi="Times New Roman"/>
          <w:kern w:val="0"/>
          <w:szCs w:val="21"/>
        </w:rPr>
        <w:t>提升至</w:t>
      </w:r>
      <w:r w:rsidRPr="00234CBF">
        <w:rPr>
          <w:rFonts w:ascii="Times New Roman" w:eastAsia="宋体" w:hAnsi="Times New Roman"/>
          <w:kern w:val="0"/>
          <w:szCs w:val="21"/>
        </w:rPr>
        <w:t>0.75</w:t>
      </w:r>
      <w:r w:rsidRPr="00234CBF">
        <w:rPr>
          <w:rFonts w:ascii="Times New Roman" w:eastAsia="宋体" w:hAnsi="Times New Roman"/>
          <w:kern w:val="0"/>
          <w:szCs w:val="21"/>
        </w:rPr>
        <w:t>，对应的结果如图</w:t>
      </w:r>
      <w:r w:rsidRPr="00234CBF">
        <w:rPr>
          <w:rFonts w:ascii="Times New Roman" w:eastAsia="宋体" w:hAnsi="Times New Roman"/>
          <w:kern w:val="0"/>
          <w:szCs w:val="21"/>
        </w:rPr>
        <w:t>6(b)</w:t>
      </w:r>
      <w:r w:rsidRPr="00234CBF">
        <w:rPr>
          <w:rFonts w:ascii="Times New Roman" w:eastAsia="宋体" w:hAnsi="Times New Roman"/>
          <w:kern w:val="0"/>
          <w:szCs w:val="21"/>
        </w:rPr>
        <w:t>所示。</w:t>
      </w:r>
      <w:r w:rsidRPr="00234CBF">
        <w:rPr>
          <w:rFonts w:ascii="Times New Roman" w:eastAsia="宋体" w:hAnsi="Times New Roman" w:hint="eastAsia"/>
          <w:kern w:val="0"/>
          <w:szCs w:val="21"/>
        </w:rPr>
        <w:t>插图中</w:t>
      </w:r>
      <w:r w:rsidRPr="00234CBF">
        <w:rPr>
          <w:rFonts w:ascii="Times New Roman" w:eastAsia="宋体" w:hAnsi="Times New Roman"/>
          <w:kern w:val="0"/>
          <w:szCs w:val="21"/>
        </w:rPr>
        <w:t>可以看到，随着嵌套管变大（即</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增</w:t>
      </w:r>
      <w:r w:rsidRPr="00234CBF">
        <w:rPr>
          <w:rFonts w:ascii="Times New Roman" w:eastAsia="宋体" w:hAnsi="Times New Roman" w:hint="eastAsia"/>
          <w:kern w:val="0"/>
          <w:szCs w:val="21"/>
        </w:rPr>
        <w:t>加）</w:t>
      </w:r>
      <w:r w:rsidRPr="00234CBF">
        <w:rPr>
          <w:rFonts w:ascii="Times New Roman" w:eastAsia="宋体" w:hAnsi="Times New Roman"/>
          <w:kern w:val="0"/>
          <w:szCs w:val="21"/>
        </w:rPr>
        <w:t>，耦合损耗进一步降低，且其降幅明显大于单独增大包层管间隙</w:t>
      </w:r>
      <w:r w:rsidRPr="00F64E20">
        <w:rPr>
          <w:rFonts w:ascii="Times New Roman" w:eastAsia="宋体" w:hAnsi="Times New Roman"/>
          <w:i/>
          <w:iCs/>
          <w:kern w:val="0"/>
          <w:szCs w:val="21"/>
        </w:rPr>
        <w:t>d</w:t>
      </w:r>
      <w:r w:rsidRPr="00234CBF">
        <w:rPr>
          <w:rFonts w:ascii="Times New Roman" w:eastAsia="宋体" w:hAnsi="Times New Roman"/>
          <w:kern w:val="0"/>
          <w:szCs w:val="21"/>
        </w:rPr>
        <w:t>时的情况；与此同时，</w:t>
      </w:r>
      <w:r w:rsidRPr="00234CBF">
        <w:rPr>
          <w:rFonts w:ascii="Times New Roman" w:eastAsia="宋体" w:hAnsi="Times New Roman"/>
          <w:kern w:val="0"/>
          <w:szCs w:val="21"/>
        </w:rPr>
        <w:t>MFD</w:t>
      </w:r>
      <w:r w:rsidRPr="00234CBF">
        <w:rPr>
          <w:rFonts w:ascii="Times New Roman" w:eastAsia="宋体" w:hAnsi="Times New Roman"/>
          <w:kern w:val="0"/>
          <w:szCs w:val="21"/>
        </w:rPr>
        <w:t>继续增大。这一现象可以理解为：在大包层管直径固定时，若嵌套管过小，则基模在较大空间区域内存在振幅符号翻转，从而削弱与处处为正的近高斯模场的重叠，导致耦合</w:t>
      </w:r>
      <w:r w:rsidRPr="00234CBF">
        <w:rPr>
          <w:rFonts w:ascii="Times New Roman" w:eastAsia="宋体" w:hAnsi="Times New Roman" w:hint="eastAsia"/>
          <w:kern w:val="0"/>
          <w:szCs w:val="21"/>
        </w:rPr>
        <w:t>损耗上升</w:t>
      </w:r>
      <w:r w:rsidRPr="00234CBF">
        <w:rPr>
          <w:rFonts w:ascii="Times New Roman" w:eastAsia="宋体" w:hAnsi="Times New Roman"/>
          <w:kern w:val="0"/>
          <w:szCs w:val="21"/>
        </w:rPr>
        <w:t>；反之，增大嵌套管直径可以屏蔽部分符号翻转区域，使基模场分布在主瓣区更加接近高斯形状，从而提升模场重叠积分并降低耦合损耗。</w:t>
      </w:r>
    </w:p>
    <w:p w14:paraId="56D90B8F" w14:textId="288E97AD" w:rsidR="00E13457" w:rsidRPr="00234CBF" w:rsidRDefault="00292117" w:rsidP="00475021">
      <w:pPr>
        <w:jc w:val="center"/>
        <w:rPr>
          <w:rFonts w:ascii="Times New Roman" w:eastAsia="宋体" w:hAnsi="Times New Roman"/>
          <w:kern w:val="0"/>
          <w:szCs w:val="21"/>
        </w:rPr>
      </w:pPr>
      <w:r>
        <w:rPr>
          <w:rFonts w:ascii="Times New Roman" w:eastAsia="宋体" w:hAnsi="Times New Roman"/>
          <w:kern w:val="0"/>
          <w:szCs w:val="21"/>
        </w:rPr>
        <w:object w:dxaOrig="3915" w:dyaOrig="3135" w14:anchorId="219167FB">
          <v:shape id="_x0000_i1030" type="#_x0000_t75" style="width:195.95pt;height:156.5pt" o:ole="">
            <v:imagedata r:id="rId18" o:title=""/>
          </v:shape>
          <o:OLEObject Type="Embed" ProgID="Visio.Drawing.15" ShapeID="_x0000_i1030" DrawAspect="Content" ObjectID="_1844942220" r:id="rId19"/>
        </w:object>
      </w:r>
      <w:r w:rsidR="00D23FFE">
        <w:rPr>
          <w:rFonts w:ascii="Times New Roman" w:eastAsia="宋体" w:hAnsi="Times New Roman"/>
          <w:kern w:val="0"/>
          <w:szCs w:val="21"/>
        </w:rPr>
        <w:object w:dxaOrig="3990" w:dyaOrig="3075" w14:anchorId="015DA13E">
          <v:shape id="_x0000_i1031" type="#_x0000_t75" style="width:199.7pt;height:154pt" o:ole="">
            <v:imagedata r:id="rId20" o:title=""/>
          </v:shape>
          <o:OLEObject Type="Embed" ProgID="Visio.Drawing.15" ShapeID="_x0000_i1031" DrawAspect="Content" ObjectID="_1844942221" r:id="rId21"/>
        </w:object>
      </w:r>
    </w:p>
    <w:p w14:paraId="5F9D5EC4" w14:textId="77777777" w:rsidR="00D10808" w:rsidRPr="00F64E20" w:rsidRDefault="00D10808" w:rsidP="00F94712">
      <w:pPr>
        <w:widowControl/>
        <w:jc w:val="center"/>
        <w:rPr>
          <w:rStyle w:val="af3"/>
          <w:b/>
          <w:bCs/>
          <w:sz w:val="15"/>
          <w:szCs w:val="15"/>
        </w:rPr>
      </w:pPr>
      <w:r w:rsidRPr="00F64E20">
        <w:rPr>
          <w:rStyle w:val="af3"/>
          <w:b/>
          <w:bCs/>
          <w:sz w:val="15"/>
          <w:szCs w:val="15"/>
        </w:rPr>
        <w:t>(a)</w:t>
      </w:r>
      <w:r w:rsidRPr="00F64E20">
        <w:rPr>
          <w:rStyle w:val="af3"/>
          <w:b/>
          <w:bCs/>
          <w:i/>
          <w:iCs/>
          <w:sz w:val="15"/>
          <w:szCs w:val="15"/>
        </w:rPr>
        <w:t>d</w:t>
      </w:r>
      <w:r w:rsidRPr="00F64E20">
        <w:rPr>
          <w:rStyle w:val="af3"/>
          <w:rFonts w:hint="eastAsia"/>
          <w:b/>
          <w:bCs/>
          <w:sz w:val="15"/>
          <w:szCs w:val="15"/>
        </w:rPr>
        <w:t>对耦合损耗和光束束芯比</w:t>
      </w:r>
      <w:r w:rsidRPr="00F64E20">
        <w:rPr>
          <w:rStyle w:val="af3"/>
          <w:b/>
          <w:bCs/>
          <w:i/>
          <w:iCs/>
          <w:sz w:val="15"/>
          <w:szCs w:val="15"/>
        </w:rPr>
        <w:t>w/a</w:t>
      </w:r>
      <w:r w:rsidRPr="00F64E20">
        <w:rPr>
          <w:rStyle w:val="af3"/>
          <w:b/>
          <w:bCs/>
          <w:sz w:val="15"/>
          <w:szCs w:val="15"/>
        </w:rPr>
        <w:t>的影响</w:t>
      </w:r>
      <w:r w:rsidRPr="00F64E20">
        <w:rPr>
          <w:rStyle w:val="af3"/>
          <w:rFonts w:hint="eastAsia"/>
          <w:b/>
          <w:bCs/>
          <w:sz w:val="15"/>
          <w:szCs w:val="15"/>
        </w:rPr>
        <w:t xml:space="preserve"> (</w:t>
      </w:r>
      <w:r w:rsidRPr="00F64E20">
        <w:rPr>
          <w:rStyle w:val="af3"/>
          <w:b/>
          <w:bCs/>
          <w:sz w:val="15"/>
          <w:szCs w:val="15"/>
        </w:rPr>
        <w:t>b)</w:t>
      </w:r>
      <w:r w:rsidRPr="00F64E20">
        <w:rPr>
          <w:rStyle w:val="af3"/>
          <w:rFonts w:hint="eastAsia"/>
          <w:b/>
          <w:bCs/>
          <w:i/>
          <w:iCs/>
          <w:sz w:val="15"/>
          <w:szCs w:val="15"/>
        </w:rPr>
        <w:t>D</w:t>
      </w:r>
      <w:r w:rsidRPr="00F64E20">
        <w:rPr>
          <w:rStyle w:val="af3"/>
          <w:b/>
          <w:bCs/>
          <w:i/>
          <w:iCs/>
          <w:sz w:val="15"/>
          <w:szCs w:val="15"/>
          <w:vertAlign w:val="subscript"/>
        </w:rPr>
        <w:t>1</w:t>
      </w:r>
      <w:r w:rsidRPr="00F64E20">
        <w:rPr>
          <w:rStyle w:val="af3"/>
          <w:rFonts w:hint="eastAsia"/>
          <w:b/>
          <w:bCs/>
          <w:i/>
          <w:iCs/>
          <w:sz w:val="15"/>
          <w:szCs w:val="15"/>
        </w:rPr>
        <w:t>/</w:t>
      </w:r>
      <w:r w:rsidRPr="00F64E20">
        <w:rPr>
          <w:rStyle w:val="af3"/>
          <w:b/>
          <w:bCs/>
          <w:i/>
          <w:iCs/>
          <w:sz w:val="15"/>
          <w:szCs w:val="15"/>
        </w:rPr>
        <w:t>D</w:t>
      </w:r>
      <w:r w:rsidRPr="00F64E20">
        <w:rPr>
          <w:rStyle w:val="af3"/>
          <w:rFonts w:hint="eastAsia"/>
          <w:b/>
          <w:bCs/>
          <w:sz w:val="15"/>
          <w:szCs w:val="15"/>
        </w:rPr>
        <w:t>对耦合损耗和光束束芯比</w:t>
      </w:r>
      <w:r w:rsidRPr="00F64E20">
        <w:rPr>
          <w:rStyle w:val="af3"/>
          <w:b/>
          <w:bCs/>
          <w:i/>
          <w:iCs/>
          <w:sz w:val="15"/>
          <w:szCs w:val="15"/>
        </w:rPr>
        <w:t>w/a</w:t>
      </w:r>
      <w:r w:rsidRPr="00F64E20">
        <w:rPr>
          <w:rStyle w:val="af3"/>
          <w:b/>
          <w:bCs/>
          <w:sz w:val="15"/>
          <w:szCs w:val="15"/>
        </w:rPr>
        <w:t>的影响</w:t>
      </w:r>
    </w:p>
    <w:p w14:paraId="33495BAC" w14:textId="77777777" w:rsidR="00D10808" w:rsidRPr="00F64E20" w:rsidRDefault="00D10808" w:rsidP="00F94712">
      <w:pPr>
        <w:widowControl/>
        <w:jc w:val="center"/>
        <w:rPr>
          <w:rStyle w:val="af3"/>
          <w:b/>
          <w:bCs/>
          <w:sz w:val="15"/>
          <w:szCs w:val="15"/>
        </w:rPr>
      </w:pPr>
      <w:r w:rsidRPr="00F64E20">
        <w:rPr>
          <w:rStyle w:val="af3"/>
          <w:rFonts w:hint="eastAsia"/>
          <w:b/>
          <w:bCs/>
          <w:sz w:val="15"/>
          <w:szCs w:val="15"/>
        </w:rPr>
        <w:t>图</w:t>
      </w:r>
      <w:r w:rsidRPr="00F64E20">
        <w:rPr>
          <w:rStyle w:val="af3"/>
          <w:b/>
          <w:bCs/>
          <w:sz w:val="15"/>
          <w:szCs w:val="15"/>
        </w:rPr>
        <w:t xml:space="preserve">6 </w:t>
      </w:r>
      <w:r w:rsidRPr="00F64E20">
        <w:rPr>
          <w:rStyle w:val="af3"/>
          <w:b/>
          <w:bCs/>
          <w:i/>
          <w:iCs/>
          <w:sz w:val="15"/>
          <w:szCs w:val="15"/>
        </w:rPr>
        <w:t>d</w:t>
      </w:r>
      <w:r w:rsidRPr="00F64E20">
        <w:rPr>
          <w:rStyle w:val="af3"/>
          <w:b/>
          <w:bCs/>
          <w:sz w:val="15"/>
          <w:szCs w:val="15"/>
        </w:rPr>
        <w:t>与</w:t>
      </w:r>
      <w:r w:rsidRPr="00F64E20">
        <w:rPr>
          <w:rStyle w:val="af3"/>
          <w:rFonts w:hint="eastAsia"/>
          <w:b/>
          <w:bCs/>
          <w:i/>
          <w:iCs/>
          <w:sz w:val="15"/>
          <w:szCs w:val="15"/>
        </w:rPr>
        <w:t>D</w:t>
      </w:r>
      <w:r w:rsidRPr="00F64E20">
        <w:rPr>
          <w:rStyle w:val="af3"/>
          <w:b/>
          <w:bCs/>
          <w:i/>
          <w:iCs/>
          <w:sz w:val="15"/>
          <w:szCs w:val="15"/>
          <w:vertAlign w:val="subscript"/>
        </w:rPr>
        <w:t>1</w:t>
      </w:r>
      <w:r w:rsidRPr="00F64E20">
        <w:rPr>
          <w:rStyle w:val="af3"/>
          <w:rFonts w:hint="eastAsia"/>
          <w:b/>
          <w:bCs/>
          <w:i/>
          <w:iCs/>
          <w:sz w:val="15"/>
          <w:szCs w:val="15"/>
        </w:rPr>
        <w:t>/</w:t>
      </w:r>
      <w:r w:rsidRPr="00F64E20">
        <w:rPr>
          <w:rStyle w:val="af3"/>
          <w:b/>
          <w:bCs/>
          <w:i/>
          <w:iCs/>
          <w:sz w:val="15"/>
          <w:szCs w:val="15"/>
        </w:rPr>
        <w:t>D</w:t>
      </w:r>
      <w:r w:rsidRPr="00F64E20">
        <w:rPr>
          <w:rStyle w:val="af3"/>
          <w:b/>
          <w:bCs/>
          <w:sz w:val="15"/>
          <w:szCs w:val="15"/>
        </w:rPr>
        <w:t>对耦合损耗及</w:t>
      </w:r>
      <w:r w:rsidRPr="00F64E20">
        <w:rPr>
          <w:rStyle w:val="af3"/>
          <w:rFonts w:hint="eastAsia"/>
          <w:b/>
          <w:bCs/>
          <w:sz w:val="15"/>
          <w:szCs w:val="15"/>
        </w:rPr>
        <w:t>光束</w:t>
      </w:r>
      <w:r w:rsidRPr="00F64E20">
        <w:rPr>
          <w:rStyle w:val="af3"/>
          <w:b/>
          <w:bCs/>
          <w:sz w:val="15"/>
          <w:szCs w:val="15"/>
        </w:rPr>
        <w:t>束芯比</w:t>
      </w:r>
      <w:r w:rsidRPr="00F64E20">
        <w:rPr>
          <w:rStyle w:val="af3"/>
          <w:b/>
          <w:bCs/>
          <w:i/>
          <w:iCs/>
          <w:sz w:val="15"/>
          <w:szCs w:val="15"/>
        </w:rPr>
        <w:t>w/a</w:t>
      </w:r>
      <w:r w:rsidRPr="00F64E20">
        <w:rPr>
          <w:rStyle w:val="af3"/>
          <w:b/>
          <w:bCs/>
          <w:sz w:val="15"/>
          <w:szCs w:val="15"/>
        </w:rPr>
        <w:t>的影响</w:t>
      </w:r>
    </w:p>
    <w:p w14:paraId="204EA07D" w14:textId="77777777" w:rsidR="008F329A" w:rsidRPr="00234CBF" w:rsidRDefault="00283939" w:rsidP="006A26A5">
      <w:pPr>
        <w:rPr>
          <w:rFonts w:ascii="Times New Roman" w:eastAsia="宋体" w:hAnsi="Times New Roman"/>
          <w:b/>
          <w:sz w:val="24"/>
          <w:szCs w:val="24"/>
        </w:rPr>
      </w:pPr>
      <w:r w:rsidRPr="00234CBF">
        <w:rPr>
          <w:rFonts w:ascii="Times New Roman" w:eastAsia="宋体" w:hAnsi="Times New Roman"/>
          <w:b/>
          <w:sz w:val="24"/>
          <w:szCs w:val="24"/>
        </w:rPr>
        <w:t>3</w:t>
      </w:r>
      <w:r w:rsidRPr="00234CBF">
        <w:rPr>
          <w:rFonts w:ascii="Times New Roman" w:eastAsia="宋体" w:hAnsi="Times New Roman"/>
          <w:b/>
          <w:sz w:val="24"/>
          <w:szCs w:val="24"/>
        </w:rPr>
        <w:t>单模特性研究</w:t>
      </w:r>
    </w:p>
    <w:p w14:paraId="036FAE6F"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在前文优化耦合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的基础上，接下来的目标是在尽可能保持低耦合损耗的前提下，最大幅度抬升高阶芯模（</w:t>
      </w:r>
      <w:r w:rsidRPr="00234CBF">
        <w:rPr>
          <w:rFonts w:ascii="Times New Roman" w:eastAsia="宋体" w:hAnsi="Times New Roman"/>
          <w:kern w:val="0"/>
          <w:szCs w:val="21"/>
        </w:rPr>
        <w:t>HOM</w:t>
      </w:r>
      <w:r w:rsidRPr="00234CBF">
        <w:rPr>
          <w:rFonts w:ascii="Times New Roman" w:eastAsia="宋体" w:hAnsi="Times New Roman"/>
          <w:kern w:val="0"/>
          <w:szCs w:val="21"/>
        </w:rPr>
        <w:t>）的限制损耗。实现这一目标的基本思路是利用管模与高阶芯模之间的耦合：通过结构设计使高阶芯模的有效折射率与管模的有效折射率发生接近甚至相交，从而触发强耦合。由于管模通常具有比高阶芯模高出数</w:t>
      </w:r>
      <w:r w:rsidRPr="00234CBF">
        <w:rPr>
          <w:rFonts w:ascii="Times New Roman" w:eastAsia="宋体" w:hAnsi="Times New Roman" w:hint="eastAsia"/>
          <w:kern w:val="0"/>
          <w:szCs w:val="21"/>
        </w:rPr>
        <w:t>个</w:t>
      </w:r>
      <w:r w:rsidRPr="00234CBF">
        <w:rPr>
          <w:rFonts w:ascii="Times New Roman" w:eastAsia="宋体" w:hAnsi="Times New Roman"/>
          <w:kern w:val="0"/>
          <w:szCs w:val="21"/>
        </w:rPr>
        <w:t>数量级的损耗，一旦发生有效耦合，便可显著提升相应高阶模的损耗。具体而言，我们在前述低耦合损耗参数区域附近，系统考察</w:t>
      </w:r>
      <w:r w:rsidRPr="00234CBF">
        <w:rPr>
          <w:rFonts w:ascii="Times New Roman" w:eastAsia="宋体" w:hAnsi="Times New Roman"/>
          <w:kern w:val="0"/>
          <w:szCs w:val="21"/>
        </w:rPr>
        <w:t>NANF</w:t>
      </w:r>
      <w:r w:rsidRPr="00234CBF">
        <w:rPr>
          <w:rFonts w:ascii="Times New Roman" w:eastAsia="宋体" w:hAnsi="Times New Roman"/>
          <w:kern w:val="0"/>
          <w:szCs w:val="21"/>
        </w:rPr>
        <w:t>结构参数与管模有效折射率之间的依赖关系，并在此基础上，有针对性地调整结构，使管模有效折射率逼近损耗最低的高阶芯模，从而抬升该模式的损耗。本文采用</w:t>
      </w:r>
      <w:r w:rsidRPr="00F64E20">
        <w:rPr>
          <w:rFonts w:ascii="Times New Roman" w:eastAsia="宋体" w:hAnsi="Times New Roman"/>
          <w:i/>
          <w:iCs/>
          <w:kern w:val="0"/>
          <w:szCs w:val="21"/>
        </w:rPr>
        <w:t>R</w:t>
      </w:r>
      <w:r w:rsidRPr="00234CBF">
        <w:rPr>
          <w:rFonts w:ascii="Times New Roman" w:eastAsia="宋体" w:hAnsi="Times New Roman"/>
          <w:kern w:val="0"/>
          <w:szCs w:val="21"/>
        </w:rPr>
        <w:t>=αHOM/αLP</w:t>
      </w:r>
      <w:r w:rsidRPr="00F64E20">
        <w:rPr>
          <w:rFonts w:ascii="Times New Roman" w:eastAsia="宋体" w:hAnsi="Times New Roman"/>
          <w:kern w:val="0"/>
          <w:szCs w:val="21"/>
          <w:vertAlign w:val="subscript"/>
        </w:rPr>
        <w:t>01</w:t>
      </w:r>
      <w:r w:rsidRPr="00234CBF">
        <w:rPr>
          <w:rFonts w:ascii="Times New Roman" w:eastAsia="宋体" w:hAnsi="Times New Roman"/>
          <w:kern w:val="0"/>
          <w:szCs w:val="21"/>
        </w:rPr>
        <w:t>作为衡量单模特性优劣的指标，并以</w:t>
      </w:r>
      <w:r w:rsidRPr="00F64E20">
        <w:rPr>
          <w:rFonts w:ascii="Times New Roman" w:eastAsia="宋体" w:hAnsi="Times New Roman"/>
          <w:i/>
          <w:iCs/>
          <w:kern w:val="0"/>
          <w:szCs w:val="21"/>
        </w:rPr>
        <w:t>R</w:t>
      </w:r>
      <w:r w:rsidRPr="00234CBF">
        <w:rPr>
          <w:rFonts w:ascii="Times New Roman" w:eastAsia="宋体" w:hAnsi="Times New Roman"/>
          <w:kern w:val="0"/>
          <w:szCs w:val="21"/>
        </w:rPr>
        <w:t>&gt;50</w:t>
      </w:r>
      <w:r w:rsidRPr="00234CBF">
        <w:rPr>
          <w:rFonts w:ascii="Times New Roman" w:eastAsia="宋体" w:hAnsi="Times New Roman"/>
          <w:kern w:val="0"/>
          <w:szCs w:val="21"/>
        </w:rPr>
        <w:t>作为满足单模工作的基本判据。</w:t>
      </w:r>
    </w:p>
    <w:p w14:paraId="6E8395B0" w14:textId="77777777" w:rsidR="00283939" w:rsidRPr="005205EF" w:rsidRDefault="00283939" w:rsidP="006A26A5">
      <w:pPr>
        <w:ind w:firstLineChars="200" w:firstLine="420"/>
        <w:rPr>
          <w:rFonts w:ascii="Times New Roman" w:hAnsi="Times New Roman"/>
          <w:szCs w:val="21"/>
        </w:rPr>
      </w:pPr>
      <w:r w:rsidRPr="00234CBF">
        <w:rPr>
          <w:rFonts w:ascii="Times New Roman" w:eastAsia="宋体" w:hAnsi="Times New Roman"/>
          <w:kern w:val="0"/>
          <w:szCs w:val="21"/>
        </w:rPr>
        <w:t>在保持芯径</w:t>
      </w:r>
      <w:r w:rsidRPr="00F64E20">
        <w:rPr>
          <w:rFonts w:ascii="Times New Roman" w:eastAsia="宋体" w:hAnsi="Times New Roman"/>
          <w:i/>
          <w:iCs/>
          <w:kern w:val="0"/>
          <w:szCs w:val="21"/>
        </w:rPr>
        <w:t>2</w:t>
      </w:r>
      <w:r w:rsidRPr="00F64E20">
        <w:rPr>
          <w:rFonts w:ascii="Times New Roman" w:eastAsia="宋体" w:hAnsi="Times New Roman" w:hint="eastAsia"/>
          <w:i/>
          <w:iCs/>
          <w:kern w:val="0"/>
          <w:szCs w:val="21"/>
        </w:rPr>
        <w:t>a</w:t>
      </w:r>
      <w:r w:rsidRPr="00234CBF">
        <w:rPr>
          <w:rFonts w:ascii="Times New Roman" w:eastAsia="宋体" w:hAnsi="Times New Roman"/>
          <w:kern w:val="0"/>
          <w:szCs w:val="21"/>
        </w:rPr>
        <w:t>=30</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、管壁厚度</w:t>
      </w:r>
      <w:r w:rsidRPr="00F64E20">
        <w:rPr>
          <w:rFonts w:ascii="Times New Roman" w:eastAsia="宋体" w:hAnsi="Times New Roman"/>
          <w:i/>
          <w:iCs/>
          <w:kern w:val="0"/>
          <w:szCs w:val="21"/>
        </w:rPr>
        <w:t>t</w:t>
      </w:r>
      <w:r w:rsidRPr="00234CBF">
        <w:rPr>
          <w:rFonts w:ascii="Times New Roman" w:eastAsia="宋体" w:hAnsi="Times New Roman"/>
          <w:kern w:val="0"/>
          <w:szCs w:val="21"/>
        </w:rPr>
        <w:t>=360</w:t>
      </w:r>
      <w:r w:rsidRPr="00234CBF">
        <w:rPr>
          <w:rFonts w:ascii="Times New Roman" w:eastAsia="宋体" w:hAnsi="Times New Roman" w:hint="eastAsia"/>
          <w:kern w:val="0"/>
          <w:szCs w:val="21"/>
        </w:rPr>
        <w:t xml:space="preserve"> n</w:t>
      </w:r>
      <w:r w:rsidRPr="00234CBF">
        <w:rPr>
          <w:rFonts w:ascii="Times New Roman" w:eastAsia="宋体" w:hAnsi="Times New Roman"/>
          <w:kern w:val="0"/>
          <w:szCs w:val="21"/>
        </w:rPr>
        <w:t>m</w:t>
      </w:r>
      <w:r w:rsidRPr="00234CBF">
        <w:rPr>
          <w:rFonts w:ascii="Times New Roman" w:eastAsia="宋体" w:hAnsi="Times New Roman" w:hint="eastAsia"/>
          <w:kern w:val="0"/>
          <w:szCs w:val="21"/>
        </w:rPr>
        <w:t>、</w:t>
      </w:r>
      <w:r w:rsidRPr="00F64E20">
        <w:rPr>
          <w:rFonts w:ascii="Times New Roman" w:eastAsia="宋体" w:hAnsi="Times New Roman" w:hint="eastAsia"/>
          <w:i/>
          <w:iCs/>
          <w:kern w:val="0"/>
          <w:szCs w:val="21"/>
        </w:rPr>
        <w:t>d</w:t>
      </w:r>
      <w:r w:rsidRPr="00234CBF">
        <w:rPr>
          <w:rFonts w:ascii="Times New Roman" w:eastAsia="宋体" w:hAnsi="Times New Roman"/>
          <w:kern w:val="0"/>
          <w:szCs w:val="21"/>
        </w:rPr>
        <w:t>=2</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且空芯与包层管均匀排布的条件下，我们</w:t>
      </w:r>
      <w:r w:rsidRPr="00234CBF">
        <w:rPr>
          <w:rFonts w:ascii="Times New Roman" w:eastAsia="宋体" w:hAnsi="Times New Roman" w:hint="eastAsia"/>
          <w:kern w:val="0"/>
          <w:szCs w:val="21"/>
        </w:rPr>
        <w:t>首先</w:t>
      </w:r>
      <w:r w:rsidRPr="00234CBF">
        <w:rPr>
          <w:rFonts w:ascii="Times New Roman" w:eastAsia="宋体" w:hAnsi="Times New Roman"/>
          <w:kern w:val="0"/>
          <w:szCs w:val="21"/>
        </w:rPr>
        <w:t>以包层管数目</w:t>
      </w:r>
      <w:r w:rsidRPr="00F64E20">
        <w:rPr>
          <w:rFonts w:ascii="Times New Roman" w:eastAsia="宋体" w:hAnsi="Times New Roman"/>
          <w:i/>
          <w:iCs/>
          <w:kern w:val="0"/>
          <w:szCs w:val="21"/>
        </w:rPr>
        <w:t>N</w:t>
      </w:r>
      <w:r w:rsidRPr="00234CBF">
        <w:rPr>
          <w:rFonts w:ascii="Times New Roman" w:eastAsia="宋体" w:hAnsi="Times New Roman"/>
          <w:kern w:val="0"/>
          <w:szCs w:val="21"/>
        </w:rPr>
        <w:t>为唯一自变量，系统评估其对管模及四个代表性芯模（</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01</w:t>
      </w:r>
      <w:r w:rsidRPr="00234CBF">
        <w:rPr>
          <w:rFonts w:ascii="Times New Roman" w:eastAsia="宋体" w:hAnsi="Times New Roman"/>
          <w:kern w:val="0"/>
          <w:szCs w:val="21"/>
        </w:rPr>
        <w:t>、</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11</w:t>
      </w:r>
      <w:r w:rsidRPr="00234CBF">
        <w:rPr>
          <w:rFonts w:ascii="Times New Roman" w:eastAsia="宋体" w:hAnsi="Times New Roman"/>
          <w:kern w:val="0"/>
          <w:szCs w:val="21"/>
        </w:rPr>
        <w:t>、</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02</w:t>
      </w:r>
      <w:r w:rsidRPr="00234CBF">
        <w:rPr>
          <w:rFonts w:ascii="Times New Roman" w:eastAsia="宋体" w:hAnsi="Times New Roman"/>
          <w:kern w:val="0"/>
          <w:szCs w:val="21"/>
        </w:rPr>
        <w:t>、</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21</w:t>
      </w:r>
      <w:r w:rsidRPr="00234CBF">
        <w:rPr>
          <w:rFonts w:ascii="Times New Roman" w:eastAsia="宋体" w:hAnsi="Times New Roman"/>
          <w:kern w:val="0"/>
          <w:szCs w:val="21"/>
        </w:rPr>
        <w:t>）有效折射率的影响。结果如图</w:t>
      </w:r>
      <w:r w:rsidRPr="00234CBF">
        <w:rPr>
          <w:rFonts w:ascii="Times New Roman" w:eastAsia="宋体" w:hAnsi="Times New Roman"/>
          <w:kern w:val="0"/>
          <w:szCs w:val="21"/>
        </w:rPr>
        <w:t>7</w:t>
      </w:r>
      <w:r w:rsidRPr="00234CBF">
        <w:rPr>
          <w:rFonts w:ascii="Times New Roman" w:eastAsia="宋体" w:hAnsi="Times New Roman"/>
          <w:kern w:val="0"/>
          <w:szCs w:val="21"/>
        </w:rPr>
        <w:t>所示：</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01</w:t>
      </w:r>
      <w:r w:rsidRPr="00234CBF">
        <w:rPr>
          <w:rFonts w:ascii="Times New Roman" w:eastAsia="宋体" w:hAnsi="Times New Roman"/>
          <w:kern w:val="0"/>
          <w:szCs w:val="21"/>
        </w:rPr>
        <w:t>模式的有效折射率始终保持在最高水平，并且几乎不随</w:t>
      </w:r>
      <w:r w:rsidRPr="00F64E20">
        <w:rPr>
          <w:rFonts w:ascii="Times New Roman" w:eastAsia="宋体" w:hAnsi="Times New Roman"/>
          <w:i/>
          <w:iCs/>
          <w:kern w:val="0"/>
          <w:szCs w:val="21"/>
        </w:rPr>
        <w:t>N</w:t>
      </w:r>
      <w:r w:rsidRPr="00234CBF">
        <w:rPr>
          <w:rFonts w:ascii="Times New Roman" w:eastAsia="宋体" w:hAnsi="Times New Roman"/>
          <w:kern w:val="0"/>
          <w:szCs w:val="21"/>
        </w:rPr>
        <w:t>的变化而波动，与管模之间始终存在足够的有效折射率间隙，从而避免了与管模发生耦合。相比之下，</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11</w:t>
      </w:r>
      <w:r w:rsidRPr="00234CBF">
        <w:rPr>
          <w:rFonts w:ascii="Times New Roman" w:eastAsia="宋体" w:hAnsi="Times New Roman"/>
          <w:kern w:val="0"/>
          <w:szCs w:val="21"/>
        </w:rPr>
        <w:t>、</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02</w:t>
      </w:r>
      <w:r w:rsidRPr="00234CBF">
        <w:rPr>
          <w:rFonts w:ascii="Times New Roman" w:eastAsia="宋体" w:hAnsi="Times New Roman"/>
          <w:kern w:val="0"/>
          <w:szCs w:val="21"/>
        </w:rPr>
        <w:t>与</w:t>
      </w:r>
      <w:r w:rsidRPr="00234CBF">
        <w:rPr>
          <w:rFonts w:ascii="Times New Roman" w:eastAsia="宋体" w:hAnsi="Times New Roman"/>
          <w:kern w:val="0"/>
          <w:szCs w:val="21"/>
        </w:rPr>
        <w:t>LP</w:t>
      </w:r>
      <w:r w:rsidRPr="00F64E20">
        <w:rPr>
          <w:rFonts w:ascii="Times New Roman" w:eastAsia="宋体" w:hAnsi="Times New Roman"/>
          <w:kern w:val="0"/>
          <w:szCs w:val="21"/>
          <w:vertAlign w:val="subscript"/>
        </w:rPr>
        <w:t>21</w:t>
      </w:r>
      <w:r w:rsidRPr="00234CBF">
        <w:rPr>
          <w:rFonts w:ascii="Times New Roman" w:eastAsia="宋体" w:hAnsi="Times New Roman"/>
          <w:kern w:val="0"/>
          <w:szCs w:val="21"/>
        </w:rPr>
        <w:t>等高阶芯模对应的有效折射率对</w:t>
      </w:r>
      <w:r w:rsidRPr="00F64E20">
        <w:rPr>
          <w:rFonts w:ascii="Times New Roman" w:eastAsia="宋体" w:hAnsi="Times New Roman"/>
          <w:i/>
          <w:iCs/>
          <w:kern w:val="0"/>
          <w:szCs w:val="21"/>
        </w:rPr>
        <w:t>N</w:t>
      </w:r>
      <w:r w:rsidRPr="00234CBF">
        <w:rPr>
          <w:rFonts w:ascii="Times New Roman" w:eastAsia="宋体" w:hAnsi="Times New Roman" w:hint="eastAsia"/>
          <w:kern w:val="0"/>
          <w:szCs w:val="21"/>
        </w:rPr>
        <w:t>虽然同样不敏感</w:t>
      </w:r>
      <w:r w:rsidRPr="00234CBF">
        <w:rPr>
          <w:rFonts w:ascii="Times New Roman" w:eastAsia="宋体" w:hAnsi="Times New Roman"/>
          <w:kern w:val="0"/>
          <w:szCs w:val="21"/>
        </w:rPr>
        <w:t>，</w:t>
      </w:r>
      <w:r w:rsidRPr="00234CBF">
        <w:rPr>
          <w:rFonts w:ascii="Times New Roman" w:eastAsia="宋体" w:hAnsi="Times New Roman" w:hint="eastAsia"/>
          <w:kern w:val="0"/>
          <w:szCs w:val="21"/>
        </w:rPr>
        <w:t>但</w:t>
      </w:r>
      <w:r w:rsidRPr="00234CBF">
        <w:rPr>
          <w:rFonts w:ascii="Times New Roman" w:eastAsia="宋体" w:hAnsi="Times New Roman"/>
          <w:kern w:val="0"/>
          <w:szCs w:val="21"/>
        </w:rPr>
        <w:t>随着结构参数的调节，</w:t>
      </w:r>
      <w:r w:rsidRPr="00234CBF">
        <w:rPr>
          <w:rFonts w:ascii="Times New Roman" w:eastAsia="宋体" w:hAnsi="Times New Roman" w:hint="eastAsia"/>
          <w:kern w:val="0"/>
          <w:szCs w:val="21"/>
        </w:rPr>
        <w:t>管模的有效折射率逐渐与高阶芯模的有效折射率接近，</w:t>
      </w:r>
      <w:r w:rsidRPr="00234CBF">
        <w:rPr>
          <w:rFonts w:ascii="Times New Roman" w:eastAsia="宋体" w:hAnsi="Times New Roman"/>
          <w:kern w:val="0"/>
          <w:szCs w:val="21"/>
        </w:rPr>
        <w:t>形成明显的耦合窗口。当包层管数目增大到</w:t>
      </w:r>
      <w:r w:rsidRPr="00F64E20">
        <w:rPr>
          <w:rFonts w:ascii="Times New Roman" w:eastAsia="宋体" w:hAnsi="Times New Roman"/>
          <w:i/>
          <w:iCs/>
          <w:kern w:val="0"/>
          <w:szCs w:val="21"/>
        </w:rPr>
        <w:t>N</w:t>
      </w:r>
      <w:r w:rsidRPr="00234CBF">
        <w:rPr>
          <w:rFonts w:ascii="Times New Roman" w:eastAsia="宋体" w:hAnsi="Times New Roman"/>
          <w:kern w:val="0"/>
          <w:szCs w:val="21"/>
        </w:rPr>
        <w:t>&gt;7</w:t>
      </w:r>
      <w:r w:rsidRPr="00234CBF">
        <w:rPr>
          <w:rFonts w:ascii="Times New Roman" w:eastAsia="宋体" w:hAnsi="Times New Roman"/>
          <w:kern w:val="0"/>
          <w:szCs w:val="21"/>
        </w:rPr>
        <w:t>时，管模的有效折射率随</w:t>
      </w:r>
      <w:r w:rsidRPr="00F64E20">
        <w:rPr>
          <w:rFonts w:ascii="Times New Roman" w:eastAsia="宋体" w:hAnsi="Times New Roman"/>
          <w:i/>
          <w:iCs/>
          <w:kern w:val="0"/>
          <w:szCs w:val="21"/>
        </w:rPr>
        <w:t>N</w:t>
      </w:r>
      <w:r w:rsidRPr="00234CBF">
        <w:rPr>
          <w:rFonts w:ascii="Times New Roman" w:eastAsia="宋体" w:hAnsi="Times New Roman"/>
          <w:kern w:val="0"/>
          <w:szCs w:val="21"/>
        </w:rPr>
        <w:t>的增加迅速下移，整体远离上述三种高阶芯模的轨道，导致高阶模与管模之间的耦合窗口逐渐关闭。结合前文关于</w:t>
      </w:r>
      <w:r w:rsidRPr="00234CBF">
        <w:rPr>
          <w:rFonts w:ascii="Times New Roman" w:eastAsia="宋体" w:hAnsi="Times New Roman"/>
          <w:kern w:val="0"/>
          <w:szCs w:val="21"/>
        </w:rPr>
        <w:t>“</w:t>
      </w:r>
      <w:r w:rsidRPr="00234CBF">
        <w:rPr>
          <w:rFonts w:ascii="Times New Roman" w:eastAsia="宋体" w:hAnsi="Times New Roman"/>
          <w:kern w:val="0"/>
          <w:szCs w:val="21"/>
        </w:rPr>
        <w:t>包层管数目增加有利于</w:t>
      </w:r>
      <w:r w:rsidRPr="00234CBF">
        <w:rPr>
          <w:rFonts w:ascii="Times New Roman" w:eastAsia="宋体" w:hAnsi="Times New Roman" w:hint="eastAsia"/>
          <w:kern w:val="0"/>
          <w:szCs w:val="21"/>
        </w:rPr>
        <w:t>降低耦合损耗</w:t>
      </w:r>
      <w:r w:rsidRPr="00234CBF">
        <w:rPr>
          <w:rFonts w:ascii="Times New Roman" w:eastAsia="宋体" w:hAnsi="Times New Roman"/>
          <w:kern w:val="0"/>
          <w:szCs w:val="21"/>
        </w:rPr>
        <w:t>”</w:t>
      </w:r>
      <w:r w:rsidRPr="00234CBF">
        <w:rPr>
          <w:rFonts w:ascii="Times New Roman" w:eastAsia="宋体" w:hAnsi="Times New Roman"/>
          <w:kern w:val="0"/>
          <w:szCs w:val="21"/>
        </w:rPr>
        <w:t>的结果，可见过多的包层管虽有利于耦合，但会削弱通过管模抬升高阶模损耗的能力。综合耦合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与单模稳定性两方面的权衡，本文最终将包层管数目确定为</w:t>
      </w:r>
      <w:r w:rsidRPr="00F64E20">
        <w:rPr>
          <w:rFonts w:ascii="Times New Roman" w:eastAsia="宋体" w:hAnsi="Times New Roman"/>
          <w:i/>
          <w:iCs/>
          <w:kern w:val="0"/>
          <w:szCs w:val="21"/>
        </w:rPr>
        <w:t>N</w:t>
      </w:r>
      <w:r w:rsidRPr="00234CBF">
        <w:rPr>
          <w:rFonts w:ascii="Times New Roman" w:eastAsia="宋体" w:hAnsi="Times New Roman"/>
          <w:kern w:val="0"/>
          <w:szCs w:val="21"/>
        </w:rPr>
        <w:t>=7</w:t>
      </w:r>
      <w:r w:rsidRPr="00234CBF">
        <w:rPr>
          <w:rFonts w:ascii="Times New Roman" w:eastAsia="宋体" w:hAnsi="Times New Roman"/>
          <w:kern w:val="0"/>
          <w:szCs w:val="21"/>
        </w:rPr>
        <w:t>：在该设置下既能维持较</w:t>
      </w:r>
      <w:r w:rsidRPr="00234CBF">
        <w:rPr>
          <w:rFonts w:ascii="Times New Roman" w:eastAsia="宋体" w:hAnsi="Times New Roman" w:hint="eastAsia"/>
          <w:kern w:val="0"/>
          <w:szCs w:val="21"/>
        </w:rPr>
        <w:t>低</w:t>
      </w:r>
      <w:r w:rsidRPr="00234CBF">
        <w:rPr>
          <w:rFonts w:ascii="Times New Roman" w:eastAsia="宋体" w:hAnsi="Times New Roman"/>
          <w:kern w:val="0"/>
          <w:szCs w:val="21"/>
        </w:rPr>
        <w:t>的实芯</w:t>
      </w:r>
      <w:r w:rsidRPr="00234CBF">
        <w:rPr>
          <w:rFonts w:ascii="Times New Roman" w:eastAsia="宋体" w:hAnsi="Times New Roman"/>
          <w:kern w:val="0"/>
          <w:szCs w:val="21"/>
        </w:rPr>
        <w:t>–</w:t>
      </w:r>
      <w:r w:rsidRPr="00234CBF">
        <w:rPr>
          <w:rFonts w:ascii="Times New Roman" w:eastAsia="宋体" w:hAnsi="Times New Roman"/>
          <w:kern w:val="0"/>
          <w:szCs w:val="21"/>
        </w:rPr>
        <w:t>空芯耦合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，又为后续通过管模选择性抑制高阶模提供了足够的设计自由度。</w:t>
      </w:r>
    </w:p>
    <w:p w14:paraId="49127813" w14:textId="1981D674" w:rsidR="00283939" w:rsidRPr="00FB32C6" w:rsidRDefault="00C6271E" w:rsidP="006A26A5">
      <w:pPr>
        <w:snapToGrid w:val="0"/>
        <w:jc w:val="center"/>
        <w:rPr>
          <w:noProof/>
        </w:rPr>
      </w:pPr>
      <w:r>
        <w:rPr>
          <w:noProof/>
        </w:rPr>
        <w:object w:dxaOrig="4021" w:dyaOrig="3421" w14:anchorId="250CD21F">
          <v:shape id="_x0000_i1032" type="#_x0000_t75" style="width:200.95pt;height:170.9pt" o:ole="">
            <v:imagedata r:id="rId22" o:title=""/>
          </v:shape>
          <o:OLEObject Type="Embed" ProgID="Visio.Drawing.15" ShapeID="_x0000_i1032" DrawAspect="Content" ObjectID="_1844942222" r:id="rId23"/>
        </w:object>
      </w:r>
    </w:p>
    <w:p w14:paraId="6495438C" w14:textId="77777777" w:rsidR="00283939" w:rsidRPr="00F64E20" w:rsidRDefault="00283939" w:rsidP="00F94712">
      <w:pPr>
        <w:widowControl/>
        <w:jc w:val="center"/>
        <w:rPr>
          <w:rStyle w:val="af3"/>
          <w:b/>
          <w:bCs/>
          <w:sz w:val="15"/>
          <w:szCs w:val="15"/>
        </w:rPr>
      </w:pPr>
      <w:r w:rsidRPr="00F64E20">
        <w:rPr>
          <w:rStyle w:val="af3"/>
          <w:rFonts w:hint="eastAsia"/>
          <w:b/>
          <w:bCs/>
          <w:sz w:val="15"/>
          <w:szCs w:val="15"/>
        </w:rPr>
        <w:t>图</w:t>
      </w:r>
      <w:r w:rsidRPr="00F64E20">
        <w:rPr>
          <w:rStyle w:val="af3"/>
          <w:b/>
          <w:bCs/>
          <w:sz w:val="15"/>
          <w:szCs w:val="15"/>
        </w:rPr>
        <w:t xml:space="preserve">7 </w:t>
      </w:r>
      <w:r w:rsidRPr="00F64E20">
        <w:rPr>
          <w:rStyle w:val="af3"/>
          <w:b/>
          <w:bCs/>
          <w:sz w:val="15"/>
          <w:szCs w:val="15"/>
        </w:rPr>
        <w:t>基模、高阶模和管模的有效折射率</w:t>
      </w:r>
      <w:r w:rsidRPr="00F64E20">
        <w:rPr>
          <w:rStyle w:val="af3"/>
          <w:rFonts w:hint="eastAsia"/>
          <w:b/>
          <w:bCs/>
          <w:sz w:val="15"/>
          <w:szCs w:val="15"/>
        </w:rPr>
        <w:t>随</w:t>
      </w:r>
      <w:r w:rsidRPr="00F64E20">
        <w:rPr>
          <w:rStyle w:val="af3"/>
          <w:rFonts w:hint="eastAsia"/>
          <w:b/>
          <w:bCs/>
          <w:i/>
          <w:iCs/>
          <w:sz w:val="15"/>
          <w:szCs w:val="15"/>
        </w:rPr>
        <w:t>N</w:t>
      </w:r>
      <w:r w:rsidRPr="00F64E20">
        <w:rPr>
          <w:rStyle w:val="af3"/>
          <w:rFonts w:hint="eastAsia"/>
          <w:b/>
          <w:bCs/>
          <w:sz w:val="15"/>
          <w:szCs w:val="15"/>
        </w:rPr>
        <w:t>变化趋势</w:t>
      </w:r>
    </w:p>
    <w:p w14:paraId="4D4D391C" w14:textId="03292912" w:rsidR="00283939"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在确定包层管数目</w:t>
      </w:r>
      <w:r w:rsidRPr="00F64E20">
        <w:rPr>
          <w:rFonts w:ascii="Times New Roman" w:eastAsia="宋体" w:hAnsi="Times New Roman"/>
          <w:i/>
          <w:iCs/>
          <w:kern w:val="0"/>
          <w:szCs w:val="21"/>
        </w:rPr>
        <w:t>N</w:t>
      </w:r>
      <w:r w:rsidRPr="00234CBF">
        <w:rPr>
          <w:rFonts w:ascii="Times New Roman" w:eastAsia="宋体" w:hAnsi="Times New Roman"/>
          <w:kern w:val="0"/>
          <w:szCs w:val="21"/>
        </w:rPr>
        <w:t>=7</w:t>
      </w:r>
      <w:r w:rsidRPr="00234CBF">
        <w:rPr>
          <w:rFonts w:ascii="Times New Roman" w:eastAsia="宋体" w:hAnsi="Times New Roman"/>
          <w:kern w:val="0"/>
          <w:szCs w:val="21"/>
        </w:rPr>
        <w:t>之后，我们进一步考察包层管间隙</w:t>
      </w:r>
      <w:r w:rsidRPr="00F64E20">
        <w:rPr>
          <w:rFonts w:ascii="Times New Roman" w:eastAsia="宋体" w:hAnsi="Times New Roman"/>
          <w:i/>
          <w:iCs/>
          <w:kern w:val="0"/>
          <w:szCs w:val="21"/>
        </w:rPr>
        <w:t>d</w:t>
      </w:r>
      <w:r w:rsidRPr="00234CBF">
        <w:rPr>
          <w:rFonts w:ascii="Times New Roman" w:eastAsia="宋体" w:hAnsi="Times New Roman"/>
          <w:kern w:val="0"/>
          <w:szCs w:val="21"/>
        </w:rPr>
        <w:t>和</w:t>
      </w:r>
      <w:r w:rsidRPr="00234CBF">
        <w:rPr>
          <w:rFonts w:ascii="Times New Roman" w:eastAsia="宋体" w:hAnsi="Times New Roman" w:hint="eastAsia"/>
          <w:kern w:val="0"/>
          <w:szCs w:val="21"/>
        </w:rPr>
        <w:t>大小</w:t>
      </w:r>
      <w:r w:rsidRPr="00234CBF">
        <w:rPr>
          <w:rFonts w:ascii="Times New Roman" w:eastAsia="宋体" w:hAnsi="Times New Roman"/>
          <w:kern w:val="0"/>
          <w:szCs w:val="21"/>
        </w:rPr>
        <w:t>管径比</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对传输与耦合性能的影响。具体做法为：在保持纤芯直径</w:t>
      </w:r>
      <w:r w:rsidRPr="00F64E20">
        <w:rPr>
          <w:rFonts w:ascii="Times New Roman" w:eastAsia="宋体" w:hAnsi="Times New Roman"/>
          <w:i/>
          <w:iCs/>
          <w:kern w:val="0"/>
          <w:szCs w:val="21"/>
        </w:rPr>
        <w:t>2a</w:t>
      </w:r>
      <w:r w:rsidRPr="00234CBF">
        <w:rPr>
          <w:rFonts w:ascii="Times New Roman" w:eastAsia="宋体" w:hAnsi="Times New Roman"/>
          <w:kern w:val="0"/>
          <w:szCs w:val="21"/>
        </w:rPr>
        <w:t>=30</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与壁厚</w:t>
      </w:r>
      <w:r w:rsidRPr="00F64E20">
        <w:rPr>
          <w:rFonts w:ascii="Times New Roman" w:eastAsia="宋体" w:hAnsi="Times New Roman"/>
          <w:i/>
          <w:iCs/>
          <w:kern w:val="0"/>
          <w:szCs w:val="21"/>
        </w:rPr>
        <w:t>t</w:t>
      </w:r>
      <w:r w:rsidRPr="00234CBF">
        <w:rPr>
          <w:rFonts w:ascii="Times New Roman" w:eastAsia="宋体" w:hAnsi="Times New Roman"/>
          <w:kern w:val="0"/>
          <w:szCs w:val="21"/>
        </w:rPr>
        <w:t>=360</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nm</w:t>
      </w:r>
      <w:r w:rsidRPr="00234CBF">
        <w:rPr>
          <w:rFonts w:ascii="Times New Roman" w:eastAsia="宋体" w:hAnsi="Times New Roman"/>
          <w:kern w:val="0"/>
          <w:szCs w:val="21"/>
        </w:rPr>
        <w:t>不变的前提下，采用七管结构，分别对包层管间隙</w:t>
      </w:r>
      <w:r w:rsidRPr="00F64E20">
        <w:rPr>
          <w:rFonts w:ascii="Times New Roman" w:eastAsia="宋体" w:hAnsi="Times New Roman"/>
          <w:i/>
          <w:iCs/>
          <w:kern w:val="0"/>
          <w:szCs w:val="21"/>
        </w:rPr>
        <w:t>d</w:t>
      </w:r>
      <w:r w:rsidRPr="00234CBF">
        <w:rPr>
          <w:rFonts w:ascii="Times New Roman" w:eastAsia="宋体" w:hAnsi="Times New Roman"/>
          <w:kern w:val="0"/>
          <w:szCs w:val="21"/>
        </w:rPr>
        <w:t>和大小管径比</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开展单变量参数扫描：其一，在固定</w:t>
      </w:r>
      <w:r w:rsidRPr="00F64E20">
        <w:rPr>
          <w:rFonts w:ascii="Times New Roman" w:eastAsia="宋体" w:hAnsi="Times New Roman"/>
          <w:i/>
          <w:iCs/>
          <w:kern w:val="0"/>
          <w:szCs w:val="21"/>
        </w:rPr>
        <w:t>d</w:t>
      </w:r>
      <w:r w:rsidRPr="00234CBF">
        <w:rPr>
          <w:rFonts w:ascii="Times New Roman" w:eastAsia="宋体" w:hAnsi="Times New Roman"/>
          <w:kern w:val="0"/>
          <w:szCs w:val="21"/>
        </w:rPr>
        <w:t>=2</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的条件下，将</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hint="eastAsia"/>
          <w:kern w:val="0"/>
          <w:szCs w:val="21"/>
        </w:rPr>
        <w:t>的值</w:t>
      </w:r>
      <w:r w:rsidRPr="00234CBF">
        <w:rPr>
          <w:rFonts w:ascii="Times New Roman" w:eastAsia="宋体" w:hAnsi="Times New Roman"/>
          <w:kern w:val="0"/>
          <w:szCs w:val="21"/>
        </w:rPr>
        <w:t>从</w:t>
      </w:r>
      <w:r w:rsidRPr="00234CBF">
        <w:rPr>
          <w:rFonts w:ascii="Times New Roman" w:eastAsia="宋体" w:hAnsi="Times New Roman"/>
          <w:kern w:val="0"/>
          <w:szCs w:val="21"/>
        </w:rPr>
        <w:t>0.5</w:t>
      </w:r>
      <w:r w:rsidRPr="00234CBF">
        <w:rPr>
          <w:rFonts w:ascii="Times New Roman" w:eastAsia="宋体" w:hAnsi="Times New Roman"/>
          <w:kern w:val="0"/>
          <w:szCs w:val="21"/>
        </w:rPr>
        <w:t>以</w:t>
      </w:r>
      <w:r w:rsidRPr="00234CBF">
        <w:rPr>
          <w:rFonts w:ascii="Times New Roman" w:eastAsia="宋体" w:hAnsi="Times New Roman"/>
          <w:kern w:val="0"/>
          <w:szCs w:val="21"/>
        </w:rPr>
        <w:t>0.05</w:t>
      </w:r>
      <w:r w:rsidRPr="00234CBF">
        <w:rPr>
          <w:rFonts w:ascii="Times New Roman" w:eastAsia="宋体" w:hAnsi="Times New Roman"/>
          <w:kern w:val="0"/>
          <w:szCs w:val="21"/>
        </w:rPr>
        <w:t>的步长提升至</w:t>
      </w:r>
      <w:r w:rsidRPr="00234CBF">
        <w:rPr>
          <w:rFonts w:ascii="Times New Roman" w:eastAsia="宋体" w:hAnsi="Times New Roman"/>
          <w:kern w:val="0"/>
          <w:szCs w:val="21"/>
        </w:rPr>
        <w:t>0.9</w:t>
      </w:r>
      <w:r w:rsidRPr="00234CBF">
        <w:rPr>
          <w:rFonts w:ascii="Times New Roman" w:eastAsia="宋体" w:hAnsi="Times New Roman"/>
          <w:kern w:val="0"/>
          <w:szCs w:val="21"/>
        </w:rPr>
        <w:t>；其二，在固定</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=0.9</w:t>
      </w:r>
      <w:r w:rsidRPr="00234CBF">
        <w:rPr>
          <w:rFonts w:ascii="Times New Roman" w:eastAsia="宋体" w:hAnsi="Times New Roman"/>
          <w:kern w:val="0"/>
          <w:szCs w:val="21"/>
        </w:rPr>
        <w:t>的条件下，将</w:t>
      </w:r>
      <w:r w:rsidRPr="00F64E20">
        <w:rPr>
          <w:rFonts w:ascii="Times New Roman" w:eastAsia="宋体" w:hAnsi="Times New Roman"/>
          <w:i/>
          <w:iCs/>
          <w:kern w:val="0"/>
          <w:szCs w:val="21"/>
        </w:rPr>
        <w:t>d</w:t>
      </w:r>
      <w:r w:rsidRPr="00234CBF">
        <w:rPr>
          <w:rFonts w:ascii="Times New Roman" w:eastAsia="宋体" w:hAnsi="Times New Roman"/>
          <w:kern w:val="0"/>
          <w:szCs w:val="21"/>
        </w:rPr>
        <w:t>从</w:t>
      </w:r>
      <w:r w:rsidRPr="00234CBF">
        <w:rPr>
          <w:rFonts w:ascii="Times New Roman" w:eastAsia="宋体" w:hAnsi="Times New Roman"/>
          <w:kern w:val="0"/>
          <w:szCs w:val="21"/>
        </w:rPr>
        <w:t>1</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以</w:t>
      </w:r>
      <w:r w:rsidRPr="00234CBF">
        <w:rPr>
          <w:rFonts w:ascii="Times New Roman" w:eastAsia="宋体" w:hAnsi="Times New Roman"/>
          <w:kern w:val="0"/>
          <w:szCs w:val="21"/>
        </w:rPr>
        <w:t>0.5</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的步长递增至</w:t>
      </w:r>
      <w:r w:rsidRPr="00234CBF">
        <w:rPr>
          <w:rFonts w:ascii="Times New Roman" w:eastAsia="宋体" w:hAnsi="Times New Roman"/>
          <w:kern w:val="0"/>
          <w:szCs w:val="21"/>
        </w:rPr>
        <w:t>5</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。对应得到的各芯模限制损耗，以及芯模与管模的有效折射率随参数变化的结果如图</w:t>
      </w:r>
      <w:r w:rsidRPr="00234CBF">
        <w:rPr>
          <w:rFonts w:ascii="Times New Roman" w:eastAsia="宋体" w:hAnsi="Times New Roman"/>
          <w:kern w:val="0"/>
          <w:szCs w:val="21"/>
        </w:rPr>
        <w:t>8</w:t>
      </w:r>
      <w:r w:rsidRPr="00234CBF">
        <w:rPr>
          <w:rFonts w:ascii="Times New Roman" w:eastAsia="宋体" w:hAnsi="Times New Roman"/>
          <w:kern w:val="0"/>
          <w:szCs w:val="21"/>
        </w:rPr>
        <w:t>所示。由图</w:t>
      </w:r>
      <w:r w:rsidRPr="00234CBF">
        <w:rPr>
          <w:rFonts w:ascii="Times New Roman" w:eastAsia="宋体" w:hAnsi="Times New Roman"/>
          <w:kern w:val="0"/>
          <w:szCs w:val="21"/>
        </w:rPr>
        <w:t>8(</w:t>
      </w:r>
      <w:r w:rsidR="00F03105">
        <w:rPr>
          <w:rFonts w:ascii="Times New Roman" w:eastAsia="宋体" w:hAnsi="Times New Roman" w:hint="eastAsia"/>
          <w:kern w:val="0"/>
          <w:szCs w:val="21"/>
        </w:rPr>
        <w:t>c</w:t>
      </w:r>
      <w:r w:rsidRPr="00234CBF">
        <w:rPr>
          <w:rFonts w:ascii="Times New Roman" w:eastAsia="宋体" w:hAnsi="Times New Roman"/>
          <w:kern w:val="0"/>
          <w:szCs w:val="21"/>
        </w:rPr>
        <w:t>)</w:t>
      </w:r>
      <w:r w:rsidRPr="00234CBF">
        <w:rPr>
          <w:rFonts w:ascii="Times New Roman" w:eastAsia="宋体" w:hAnsi="Times New Roman"/>
          <w:kern w:val="0"/>
          <w:szCs w:val="21"/>
        </w:rPr>
        <w:t>、</w:t>
      </w:r>
      <w:r w:rsidRPr="00234CBF">
        <w:rPr>
          <w:rFonts w:ascii="Times New Roman" w:eastAsia="宋体" w:hAnsi="Times New Roman"/>
          <w:kern w:val="0"/>
          <w:szCs w:val="21"/>
        </w:rPr>
        <w:t xml:space="preserve">(d) </w:t>
      </w:r>
      <w:r w:rsidRPr="00234CBF">
        <w:rPr>
          <w:rFonts w:ascii="Times New Roman" w:eastAsia="宋体" w:hAnsi="Times New Roman"/>
          <w:kern w:val="0"/>
          <w:szCs w:val="21"/>
        </w:rPr>
        <w:t>中管模有效折射率的变化可以看出：随着</w:t>
      </w:r>
      <w:r w:rsidRPr="00F64E20">
        <w:rPr>
          <w:rFonts w:ascii="Times New Roman" w:eastAsia="宋体" w:hAnsi="Times New Roman"/>
          <w:i/>
          <w:iCs/>
          <w:kern w:val="0"/>
          <w:szCs w:val="21"/>
        </w:rPr>
        <w:t>d</w:t>
      </w:r>
      <w:r w:rsidRPr="00234CBF">
        <w:rPr>
          <w:rFonts w:ascii="Times New Roman" w:eastAsia="宋体" w:hAnsi="Times New Roman"/>
          <w:kern w:val="0"/>
          <w:szCs w:val="21"/>
        </w:rPr>
        <w:t>增大，管模有效折射率整体呈单调下降趋势；而随着</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增加，管模有效折射率则稳步上升。其余芯模的有效折射率变化幅度相对较小，曲线整体较为平缓。上述趋势表明，在本工作考虑的参数范围内，管模有效折射率主要由等效包层管半径控制。无论是减小包层管间隙</w:t>
      </w:r>
      <w:r w:rsidRPr="00F64E20">
        <w:rPr>
          <w:rFonts w:ascii="Times New Roman" w:eastAsia="宋体" w:hAnsi="Times New Roman"/>
          <w:i/>
          <w:iCs/>
          <w:kern w:val="0"/>
          <w:szCs w:val="21"/>
        </w:rPr>
        <w:t>d</w:t>
      </w:r>
      <w:r w:rsidRPr="00234CBF">
        <w:rPr>
          <w:rFonts w:ascii="Times New Roman" w:eastAsia="宋体" w:hAnsi="Times New Roman"/>
          <w:kern w:val="0"/>
          <w:szCs w:val="21"/>
        </w:rPr>
        <w:t>还是增大大小管径比</w:t>
      </w:r>
      <w:r w:rsidR="00F64E20" w:rsidRPr="00F64E20">
        <w:rPr>
          <w:rFonts w:ascii="Times New Roman" w:eastAsia="宋体" w:hAnsi="Times New Roman"/>
          <w:i/>
          <w:iCs/>
          <w:kern w:val="0"/>
          <w:szCs w:val="21"/>
        </w:rPr>
        <w:t>D</w:t>
      </w:r>
      <w:r w:rsidR="00F64E20" w:rsidRPr="00F64E20">
        <w:rPr>
          <w:rFonts w:ascii="Times New Roman" w:eastAsia="宋体" w:hAnsi="Times New Roman"/>
          <w:i/>
          <w:iCs/>
          <w:kern w:val="0"/>
          <w:szCs w:val="21"/>
          <w:vertAlign w:val="subscript"/>
        </w:rPr>
        <w:t>1</w:t>
      </w:r>
      <w:r w:rsidR="00F64E20" w:rsidRPr="00F64E20">
        <w:rPr>
          <w:rFonts w:ascii="Times New Roman" w:eastAsia="宋体" w:hAnsi="Times New Roman"/>
          <w:i/>
          <w:iCs/>
          <w:kern w:val="0"/>
          <w:szCs w:val="21"/>
        </w:rPr>
        <w:t>/D</w:t>
      </w:r>
      <w:r w:rsidRPr="00234CBF">
        <w:rPr>
          <w:rFonts w:ascii="Times New Roman" w:eastAsia="宋体" w:hAnsi="Times New Roman"/>
          <w:kern w:val="0"/>
          <w:szCs w:val="21"/>
        </w:rPr>
        <w:t>，都会导致小包层管直径</w:t>
      </w:r>
      <w:r w:rsidRPr="00F64E20">
        <w:rPr>
          <w:rFonts w:ascii="Times New Roman" w:eastAsia="宋体" w:hAnsi="Times New Roman"/>
          <w:i/>
          <w:iCs/>
          <w:kern w:val="0"/>
          <w:szCs w:val="21"/>
        </w:rPr>
        <w:t>D</w:t>
      </w:r>
      <w:r w:rsidRPr="00234CBF">
        <w:rPr>
          <w:rFonts w:ascii="Times New Roman" w:eastAsia="宋体" w:hAnsi="Times New Roman"/>
          <w:kern w:val="0"/>
          <w:szCs w:val="21"/>
        </w:rPr>
        <w:t>增大。若将单根包层管近似为空心毛细波导，其管模有效折射率可近似写为</w:t>
      </w:r>
    </w:p>
    <w:p w14:paraId="5D195235" w14:textId="46A7E83A" w:rsidR="002A3E66" w:rsidRPr="00234CBF" w:rsidRDefault="002A3E66" w:rsidP="002A3E66">
      <w:pPr>
        <w:ind w:firstLineChars="200" w:firstLine="480"/>
        <w:rPr>
          <w:rFonts w:ascii="Times New Roman" w:eastAsia="宋体" w:hAnsi="Times New Roman"/>
          <w:kern w:val="0"/>
          <w:szCs w:val="21"/>
        </w:rPr>
      </w:pPr>
      <w:r>
        <w:rPr>
          <w:rFonts w:ascii="Times New Roman" w:eastAsia="宋体" w:hAnsi="Times New Roman"/>
          <w:kern w:val="0"/>
          <w:sz w:val="24"/>
          <w:szCs w:val="24"/>
        </w:rPr>
        <w:t xml:space="preserve">                    </w:t>
      </w:r>
      <m:oMath>
        <m:sSub>
          <m:sSubPr>
            <m:ctrlPr>
              <w:rPr>
                <w:rFonts w:ascii="Cambria Math" w:eastAsia="宋体" w:hAnsi="Cambria Math"/>
                <w:i/>
                <w:kern w:val="0"/>
                <w:sz w:val="24"/>
                <w:szCs w:val="24"/>
              </w:rPr>
            </m:ctrlPr>
          </m:sSubPr>
          <m:e>
            <m:r>
              <w:rPr>
                <w:rFonts w:ascii="Cambria Math" w:eastAsia="宋体" w:hAnsi="Cambria Math"/>
                <w:kern w:val="0"/>
                <w:sz w:val="24"/>
                <w:szCs w:val="24"/>
              </w:rPr>
              <m:t>β</m:t>
            </m:r>
          </m:e>
          <m:sub>
            <m:r>
              <w:rPr>
                <w:rFonts w:ascii="Cambria Math" w:eastAsia="宋体" w:hAnsi="Cambria Math"/>
                <w:kern w:val="0"/>
                <w:sz w:val="24"/>
                <w:szCs w:val="24"/>
              </w:rPr>
              <m:t>mn</m:t>
            </m:r>
          </m:sub>
        </m:sSub>
        <m:r>
          <w:rPr>
            <w:rFonts w:ascii="Cambria Math" w:eastAsia="宋体" w:hAnsi="Cambria Math"/>
            <w:kern w:val="0"/>
            <w:sz w:val="24"/>
            <w:szCs w:val="24"/>
          </w:rPr>
          <m:t>≈</m:t>
        </m:r>
        <m:sSub>
          <m:sSubPr>
            <m:ctrlPr>
              <w:rPr>
                <w:rFonts w:ascii="Cambria Math" w:eastAsia="宋体" w:hAnsi="Cambria Math"/>
                <w:i/>
                <w:kern w:val="0"/>
                <w:sz w:val="24"/>
                <w:szCs w:val="24"/>
              </w:rPr>
            </m:ctrlPr>
          </m:sSubPr>
          <m:e>
            <m:r>
              <w:rPr>
                <w:rFonts w:ascii="Cambria Math" w:eastAsia="宋体" w:hAnsi="Cambria Math"/>
                <w:kern w:val="0"/>
                <w:sz w:val="24"/>
                <w:szCs w:val="24"/>
              </w:rPr>
              <m:t>k</m:t>
            </m:r>
          </m:e>
          <m:sub>
            <m:r>
              <w:rPr>
                <w:rFonts w:ascii="Cambria Math" w:eastAsia="宋体" w:hAnsi="Cambria Math"/>
                <w:kern w:val="0"/>
                <w:sz w:val="24"/>
                <w:szCs w:val="24"/>
              </w:rPr>
              <m:t>0</m:t>
            </m:r>
          </m:sub>
        </m:sSub>
        <m:rad>
          <m:radPr>
            <m:degHide m:val="1"/>
            <m:ctrlPr>
              <w:rPr>
                <w:rFonts w:ascii="Cambria Math" w:eastAsia="宋体" w:hAnsi="Cambria Math"/>
                <w:i/>
                <w:kern w:val="0"/>
                <w:sz w:val="24"/>
                <w:szCs w:val="24"/>
              </w:rPr>
            </m:ctrlPr>
          </m:radPr>
          <m:deg/>
          <m:e>
            <m:sSup>
              <m:sSupPr>
                <m:ctrlPr>
                  <w:rPr>
                    <w:rFonts w:ascii="Cambria Math" w:eastAsia="宋体" w:hAnsi="Cambria Math"/>
                    <w:i/>
                    <w:kern w:val="0"/>
                    <w:sz w:val="24"/>
                    <w:szCs w:val="24"/>
                  </w:rPr>
                </m:ctrlPr>
              </m:sSupPr>
              <m:e>
                <m:sSubSup>
                  <m:sSubSupPr>
                    <m:ctrlPr>
                      <w:rPr>
                        <w:rFonts w:ascii="Cambria Math" w:eastAsia="宋体" w:hAnsi="Cambria Math"/>
                        <w:i/>
                        <w:kern w:val="0"/>
                        <w:sz w:val="24"/>
                        <w:szCs w:val="24"/>
                      </w:rPr>
                    </m:ctrlPr>
                  </m:sSubSupPr>
                  <m:e>
                    <m:r>
                      <w:rPr>
                        <w:rFonts w:ascii="Cambria Math" w:eastAsia="宋体" w:hAnsi="Cambria Math"/>
                        <w:kern w:val="0"/>
                        <w:sz w:val="24"/>
                        <w:szCs w:val="24"/>
                      </w:rPr>
                      <m:t>n</m:t>
                    </m:r>
                  </m:e>
                  <m:sub>
                    <m:r>
                      <w:rPr>
                        <w:rFonts w:ascii="Cambria Math" w:eastAsia="宋体" w:hAnsi="Cambria Math"/>
                        <w:kern w:val="0"/>
                        <w:sz w:val="24"/>
                        <w:szCs w:val="24"/>
                      </w:rPr>
                      <m:t>air</m:t>
                    </m:r>
                  </m:sub>
                  <m:sup>
                    <m:r>
                      <w:rPr>
                        <w:rFonts w:ascii="Cambria Math" w:eastAsia="宋体" w:hAnsi="Cambria Math"/>
                        <w:kern w:val="0"/>
                        <w:sz w:val="24"/>
                        <w:szCs w:val="24"/>
                      </w:rPr>
                      <m:t>2</m:t>
                    </m:r>
                  </m:sup>
                </m:sSubSup>
                <m:r>
                  <w:rPr>
                    <w:rFonts w:ascii="Cambria Math" w:eastAsia="宋体" w:hAnsi="Cambria Math"/>
                    <w:kern w:val="0"/>
                    <w:sz w:val="24"/>
                    <w:szCs w:val="24"/>
                  </w:rPr>
                  <m:t>-(</m:t>
                </m:r>
                <m:f>
                  <m:fPr>
                    <m:ctrlPr>
                      <w:rPr>
                        <w:rFonts w:ascii="Cambria Math" w:eastAsia="宋体" w:hAnsi="Cambria Math"/>
                        <w:i/>
                        <w:kern w:val="0"/>
                        <w:sz w:val="24"/>
                        <w:szCs w:val="24"/>
                      </w:rPr>
                    </m:ctrlPr>
                  </m:fPr>
                  <m:num>
                    <m:sSub>
                      <m:sSubPr>
                        <m:ctrlPr>
                          <w:rPr>
                            <w:rFonts w:ascii="Cambria Math" w:eastAsia="宋体" w:hAnsi="Cambria Math"/>
                            <w:i/>
                            <w:kern w:val="0"/>
                            <w:sz w:val="24"/>
                            <w:szCs w:val="24"/>
                          </w:rPr>
                        </m:ctrlPr>
                      </m:sSubPr>
                      <m:e>
                        <m:r>
                          <w:rPr>
                            <w:rFonts w:ascii="Cambria Math" w:eastAsia="宋体" w:hAnsi="Cambria Math"/>
                            <w:kern w:val="0"/>
                            <w:sz w:val="24"/>
                            <w:szCs w:val="24"/>
                          </w:rPr>
                          <m:t>u</m:t>
                        </m:r>
                      </m:e>
                      <m:sub>
                        <m:r>
                          <w:rPr>
                            <w:rFonts w:ascii="Cambria Math" w:eastAsia="宋体" w:hAnsi="Cambria Math"/>
                            <w:kern w:val="0"/>
                            <w:sz w:val="24"/>
                            <w:szCs w:val="24"/>
                          </w:rPr>
                          <m:t>mn</m:t>
                        </m:r>
                      </m:sub>
                    </m:sSub>
                    <m:r>
                      <w:rPr>
                        <w:rFonts w:ascii="Cambria Math" w:eastAsia="宋体" w:hAnsi="Cambria Math"/>
                        <w:kern w:val="0"/>
                        <w:sz w:val="24"/>
                        <w:szCs w:val="24"/>
                      </w:rPr>
                      <m:t>λ</m:t>
                    </m:r>
                  </m:num>
                  <m:den>
                    <m:r>
                      <w:rPr>
                        <w:rFonts w:ascii="Cambria Math" w:eastAsia="宋体" w:hAnsi="Cambria Math"/>
                        <w:kern w:val="0"/>
                        <w:sz w:val="24"/>
                        <w:szCs w:val="24"/>
                      </w:rPr>
                      <m:t>2πa</m:t>
                    </m:r>
                  </m:den>
                </m:f>
                <m:r>
                  <w:rPr>
                    <w:rFonts w:ascii="Cambria Math" w:eastAsia="宋体" w:hAnsi="Cambria Math"/>
                    <w:kern w:val="0"/>
                    <w:sz w:val="24"/>
                    <w:szCs w:val="24"/>
                  </w:rPr>
                  <m:t>)</m:t>
                </m:r>
              </m:e>
              <m:sup>
                <m:r>
                  <w:rPr>
                    <w:rFonts w:ascii="Cambria Math" w:eastAsia="宋体" w:hAnsi="Cambria Math"/>
                    <w:kern w:val="0"/>
                    <w:sz w:val="24"/>
                    <w:szCs w:val="24"/>
                  </w:rPr>
                  <m:t>2</m:t>
                </m:r>
              </m:sup>
            </m:sSup>
          </m:e>
        </m:rad>
      </m:oMath>
      <w:r>
        <w:rPr>
          <w:rFonts w:ascii="Times New Roman" w:eastAsia="宋体" w:hAnsi="Times New Roman"/>
          <w:kern w:val="0"/>
          <w:sz w:val="24"/>
          <w:szCs w:val="24"/>
        </w:rPr>
        <w:t xml:space="preserve">                     (3)</w:t>
      </w:r>
    </w:p>
    <w:p w14:paraId="35780DD9" w14:textId="168E564B"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其</w:t>
      </w:r>
      <w:r w:rsidRPr="00234CBF">
        <w:rPr>
          <w:rFonts w:ascii="Times New Roman" w:eastAsia="宋体" w:hAnsi="Times New Roman" w:hint="eastAsia"/>
          <w:kern w:val="0"/>
          <w:szCs w:val="21"/>
        </w:rPr>
        <w:t>中，</w:t>
      </w:r>
      <w:r w:rsidR="00587AB7" w:rsidRPr="00587AB7">
        <w:rPr>
          <w:rFonts w:ascii="Times New Roman" w:eastAsia="宋体" w:hAnsi="Times New Roman" w:hint="eastAsia"/>
          <w:i/>
          <w:iCs/>
          <w:kern w:val="0"/>
          <w:szCs w:val="21"/>
        </w:rPr>
        <w:t>k</w:t>
      </w:r>
      <w:r w:rsidR="00587AB7" w:rsidRPr="00587AB7">
        <w:rPr>
          <w:rFonts w:ascii="Times New Roman" w:eastAsia="宋体" w:hAnsi="Times New Roman"/>
          <w:kern w:val="0"/>
          <w:szCs w:val="21"/>
          <w:vertAlign w:val="subscript"/>
        </w:rPr>
        <w:t>0</w:t>
      </w:r>
      <w:r w:rsidR="00587AB7">
        <w:rPr>
          <w:rFonts w:ascii="Times New Roman" w:eastAsia="宋体" w:hAnsi="Times New Roman" w:hint="eastAsia"/>
          <w:kern w:val="0"/>
          <w:szCs w:val="21"/>
        </w:rPr>
        <w:t>为真空波数，</w:t>
      </w:r>
      <w:r w:rsidR="00587AB7" w:rsidRPr="00587AB7">
        <w:rPr>
          <w:rFonts w:ascii="Times New Roman" w:eastAsia="宋体" w:hAnsi="Times New Roman" w:hint="eastAsia"/>
          <w:i/>
          <w:iCs/>
          <w:kern w:val="0"/>
          <w:szCs w:val="21"/>
        </w:rPr>
        <w:t>λ</w:t>
      </w:r>
      <w:r w:rsidR="00587AB7">
        <w:rPr>
          <w:rFonts w:ascii="Times New Roman" w:eastAsia="宋体" w:hAnsi="Times New Roman" w:hint="eastAsia"/>
          <w:kern w:val="0"/>
          <w:szCs w:val="21"/>
        </w:rPr>
        <w:t>为工作波长，</w:t>
      </w:r>
      <w:r w:rsidR="00587AB7" w:rsidRPr="00587AB7">
        <w:rPr>
          <w:rFonts w:ascii="Times New Roman" w:eastAsia="宋体" w:hAnsi="Times New Roman" w:hint="eastAsia"/>
          <w:i/>
          <w:iCs/>
          <w:kern w:val="0"/>
          <w:szCs w:val="21"/>
        </w:rPr>
        <w:t>n</w:t>
      </w:r>
      <w:r w:rsidR="00587AB7" w:rsidRPr="00587AB7">
        <w:rPr>
          <w:rFonts w:ascii="Times New Roman" w:eastAsia="宋体" w:hAnsi="Times New Roman" w:hint="eastAsia"/>
          <w:i/>
          <w:iCs/>
          <w:kern w:val="0"/>
          <w:szCs w:val="21"/>
          <w:vertAlign w:val="subscript"/>
        </w:rPr>
        <w:t>air</w:t>
      </w:r>
      <w:r w:rsidR="00587AB7">
        <w:rPr>
          <w:rFonts w:ascii="Times New Roman" w:eastAsia="宋体" w:hAnsi="Times New Roman" w:hint="eastAsia"/>
          <w:kern w:val="0"/>
          <w:szCs w:val="21"/>
        </w:rPr>
        <w:t>为空芯区域折射率，</w:t>
      </w:r>
      <w:r w:rsidRPr="00F64E20">
        <w:rPr>
          <w:rFonts w:ascii="Times New Roman" w:eastAsia="宋体" w:hAnsi="Times New Roman" w:hint="eastAsia"/>
          <w:i/>
          <w:iCs/>
          <w:kern w:val="0"/>
          <w:szCs w:val="21"/>
        </w:rPr>
        <w:t>a</w:t>
      </w:r>
      <w:r w:rsidRPr="00234CBF">
        <w:rPr>
          <w:rFonts w:ascii="Times New Roman" w:eastAsia="宋体" w:hAnsi="Times New Roman"/>
          <w:kern w:val="0"/>
          <w:szCs w:val="21"/>
        </w:rPr>
        <w:t>为包层管半径、</w:t>
      </w:r>
      <w:r w:rsidRPr="00F64E20">
        <w:rPr>
          <w:rFonts w:ascii="Times New Roman" w:eastAsia="宋体" w:hAnsi="Times New Roman"/>
          <w:i/>
          <w:iCs/>
          <w:kern w:val="0"/>
          <w:szCs w:val="21"/>
        </w:rPr>
        <w:t>u</w:t>
      </w:r>
      <w:r w:rsidRPr="00F64E20">
        <w:rPr>
          <w:rFonts w:ascii="Times New Roman" w:eastAsia="宋体" w:hAnsi="Times New Roman"/>
          <w:i/>
          <w:iCs/>
          <w:kern w:val="0"/>
          <w:szCs w:val="21"/>
          <w:vertAlign w:val="subscript"/>
        </w:rPr>
        <w:t>mn</w:t>
      </w:r>
      <w:r w:rsidRPr="00234CBF">
        <w:rPr>
          <w:rFonts w:ascii="Times New Roman" w:eastAsia="宋体" w:hAnsi="Times New Roman"/>
          <w:kern w:val="0"/>
          <w:szCs w:val="21"/>
        </w:rPr>
        <w:t>为特征根。由此可见，随</w:t>
      </w:r>
      <w:r w:rsidRPr="00234CBF">
        <w:rPr>
          <w:rFonts w:ascii="Times New Roman" w:eastAsia="宋体" w:hAnsi="Times New Roman" w:hint="eastAsia"/>
          <w:kern w:val="0"/>
          <w:szCs w:val="21"/>
        </w:rPr>
        <w:t>着</w:t>
      </w:r>
      <w:r w:rsidRPr="00F64E20">
        <w:rPr>
          <w:rFonts w:ascii="Times New Roman" w:eastAsia="宋体" w:hAnsi="Times New Roman"/>
          <w:i/>
          <w:iCs/>
          <w:kern w:val="0"/>
          <w:szCs w:val="21"/>
        </w:rPr>
        <w:t>a</w:t>
      </w:r>
      <w:r w:rsidRPr="00234CBF">
        <w:rPr>
          <w:rFonts w:ascii="Times New Roman" w:eastAsia="宋体" w:hAnsi="Times New Roman"/>
          <w:kern w:val="0"/>
          <w:szCs w:val="21"/>
        </w:rPr>
        <w:t>增大，横向截断项按</w:t>
      </w:r>
      <w:r w:rsidRPr="00234CBF">
        <w:rPr>
          <w:rFonts w:ascii="Times New Roman" w:eastAsia="宋体" w:hAnsi="Times New Roman"/>
          <w:kern w:val="0"/>
          <w:szCs w:val="21"/>
        </w:rPr>
        <w:t>1/</w:t>
      </w:r>
      <w:r w:rsidRPr="00F64E20">
        <w:rPr>
          <w:rFonts w:ascii="Times New Roman" w:eastAsia="宋体" w:hAnsi="Times New Roman"/>
          <w:i/>
          <w:iCs/>
          <w:kern w:val="0"/>
          <w:szCs w:val="21"/>
        </w:rPr>
        <w:t>a</w:t>
      </w:r>
      <w:r w:rsidRPr="00F64E20">
        <w:rPr>
          <w:rFonts w:ascii="Times New Roman" w:eastAsia="宋体" w:hAnsi="Times New Roman"/>
          <w:i/>
          <w:iCs/>
          <w:kern w:val="0"/>
          <w:szCs w:val="21"/>
          <w:vertAlign w:val="superscript"/>
        </w:rPr>
        <w:t>2</w:t>
      </w:r>
      <w:r w:rsidRPr="00234CBF">
        <w:rPr>
          <w:rFonts w:ascii="Times New Roman" w:eastAsia="宋体" w:hAnsi="Times New Roman"/>
          <w:kern w:val="0"/>
          <w:szCs w:val="21"/>
        </w:rPr>
        <w:t>衰减，</w:t>
      </w:r>
      <w:r w:rsidRPr="003B0912">
        <w:rPr>
          <w:rFonts w:ascii="Times New Roman" w:eastAsia="宋体" w:hAnsi="Times New Roman"/>
          <w:i/>
          <w:iCs/>
          <w:kern w:val="0"/>
          <w:szCs w:val="21"/>
        </w:rPr>
        <w:t>β</w:t>
      </w:r>
      <w:r w:rsidRPr="003B0912">
        <w:rPr>
          <w:rFonts w:ascii="Times New Roman" w:eastAsia="宋体" w:hAnsi="Times New Roman"/>
          <w:i/>
          <w:iCs/>
          <w:kern w:val="0"/>
          <w:szCs w:val="21"/>
          <w:vertAlign w:val="subscript"/>
        </w:rPr>
        <w:t>mn</w:t>
      </w:r>
      <w:r w:rsidRPr="00234CBF">
        <w:rPr>
          <w:rFonts w:ascii="Times New Roman" w:eastAsia="宋体" w:hAnsi="Times New Roman"/>
          <w:kern w:val="0"/>
          <w:szCs w:val="21"/>
        </w:rPr>
        <w:t>增大，</w:t>
      </w:r>
      <w:r w:rsidRPr="003B0912">
        <w:rPr>
          <w:rFonts w:ascii="Times New Roman" w:eastAsia="宋体" w:hAnsi="Times New Roman"/>
          <w:i/>
          <w:iCs/>
          <w:kern w:val="0"/>
          <w:szCs w:val="21"/>
        </w:rPr>
        <w:t>n</w:t>
      </w:r>
      <w:r w:rsidRPr="003B0912">
        <w:rPr>
          <w:rFonts w:ascii="Times New Roman" w:eastAsia="宋体" w:hAnsi="Times New Roman"/>
          <w:i/>
          <w:iCs/>
          <w:kern w:val="0"/>
          <w:szCs w:val="21"/>
          <w:vertAlign w:val="subscript"/>
        </w:rPr>
        <w:t>eff</w:t>
      </w:r>
      <w:r w:rsidRPr="00234CBF">
        <w:rPr>
          <w:rFonts w:ascii="Times New Roman" w:eastAsia="宋体" w:hAnsi="Times New Roman"/>
          <w:kern w:val="0"/>
          <w:szCs w:val="21"/>
        </w:rPr>
        <w:t>由低于</w:t>
      </w:r>
      <w:r w:rsidRPr="003B0912">
        <w:rPr>
          <w:rFonts w:ascii="Times New Roman" w:eastAsia="宋体" w:hAnsi="Times New Roman"/>
          <w:i/>
          <w:iCs/>
          <w:kern w:val="0"/>
          <w:szCs w:val="21"/>
        </w:rPr>
        <w:t>n</w:t>
      </w:r>
      <w:r w:rsidRPr="003B0912">
        <w:rPr>
          <w:rFonts w:ascii="Times New Roman" w:eastAsia="宋体" w:hAnsi="Times New Roman"/>
          <w:i/>
          <w:iCs/>
          <w:kern w:val="0"/>
          <w:szCs w:val="21"/>
          <w:vertAlign w:val="subscript"/>
        </w:rPr>
        <w:t>air</w:t>
      </w:r>
      <w:r w:rsidRPr="00234CBF">
        <w:rPr>
          <w:rFonts w:ascii="Times New Roman" w:eastAsia="宋体" w:hAnsi="Times New Roman"/>
          <w:kern w:val="0"/>
          <w:szCs w:val="21"/>
        </w:rPr>
        <w:t>的一侧上升并逼近</w:t>
      </w:r>
      <w:r w:rsidRPr="003B0912">
        <w:rPr>
          <w:rFonts w:ascii="Times New Roman" w:eastAsia="宋体" w:hAnsi="Times New Roman"/>
          <w:i/>
          <w:iCs/>
          <w:kern w:val="0"/>
          <w:szCs w:val="21"/>
        </w:rPr>
        <w:t>n</w:t>
      </w:r>
      <w:r w:rsidRPr="003B0912">
        <w:rPr>
          <w:rFonts w:ascii="Times New Roman" w:eastAsia="宋体" w:hAnsi="Times New Roman"/>
          <w:i/>
          <w:iCs/>
          <w:kern w:val="0"/>
          <w:szCs w:val="21"/>
          <w:vertAlign w:val="subscript"/>
        </w:rPr>
        <w:t>air</w:t>
      </w:r>
      <w:r w:rsidRPr="00234CBF">
        <w:rPr>
          <w:rFonts w:ascii="Times New Roman" w:eastAsia="宋体" w:hAnsi="Times New Roman"/>
          <w:kern w:val="0"/>
          <w:szCs w:val="21"/>
        </w:rPr>
        <w:t>。</w:t>
      </w:r>
    </w:p>
    <w:p w14:paraId="59B80264"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除了结构参数对管模有效折射率的影响之外，我们还需要回答一个关键问题：应当优先让哪一个高阶芯模与管模发生相遇和强耦合，从而在抬升其损耗的同时，最大化单模传输的稳定性。图</w:t>
      </w:r>
      <w:r w:rsidRPr="00234CBF">
        <w:rPr>
          <w:rFonts w:ascii="Times New Roman" w:eastAsia="宋体" w:hAnsi="Times New Roman"/>
          <w:kern w:val="0"/>
          <w:szCs w:val="21"/>
        </w:rPr>
        <w:t>8(a)</w:t>
      </w:r>
      <w:r w:rsidRPr="00234CBF">
        <w:rPr>
          <w:rFonts w:ascii="Times New Roman" w:eastAsia="宋体" w:hAnsi="Times New Roman" w:hint="eastAsia"/>
          <w:kern w:val="0"/>
          <w:szCs w:val="21"/>
        </w:rPr>
        <w:t>、</w:t>
      </w:r>
      <w:r w:rsidRPr="00234CBF">
        <w:rPr>
          <w:rFonts w:ascii="Times New Roman" w:eastAsia="宋体" w:hAnsi="Times New Roman"/>
          <w:kern w:val="0"/>
          <w:szCs w:val="21"/>
        </w:rPr>
        <w:t>(</w:t>
      </w:r>
      <w:r w:rsidR="00F03105">
        <w:rPr>
          <w:rFonts w:ascii="Times New Roman" w:eastAsia="宋体" w:hAnsi="Times New Roman" w:hint="eastAsia"/>
          <w:kern w:val="0"/>
          <w:szCs w:val="21"/>
        </w:rPr>
        <w:t>b</w:t>
      </w:r>
      <w:r w:rsidRPr="00234CBF">
        <w:rPr>
          <w:rFonts w:ascii="Times New Roman" w:eastAsia="宋体" w:hAnsi="Times New Roman"/>
          <w:kern w:val="0"/>
          <w:szCs w:val="21"/>
        </w:rPr>
        <w:t>)</w:t>
      </w:r>
      <w:r w:rsidRPr="00234CBF">
        <w:rPr>
          <w:rFonts w:ascii="Times New Roman" w:eastAsia="宋体" w:hAnsi="Times New Roman"/>
          <w:kern w:val="0"/>
          <w:szCs w:val="21"/>
        </w:rPr>
        <w:t>表明，在当前</w:t>
      </w:r>
      <w:r w:rsidRPr="00234CBF">
        <w:rPr>
          <w:rFonts w:ascii="Times New Roman" w:eastAsia="宋体" w:hAnsi="Times New Roman"/>
          <w:kern w:val="0"/>
          <w:szCs w:val="21"/>
        </w:rPr>
        <w:t>NANF</w:t>
      </w:r>
      <w:r w:rsidRPr="00234CBF">
        <w:rPr>
          <w:rFonts w:ascii="Times New Roman" w:eastAsia="宋体" w:hAnsi="Times New Roman"/>
          <w:kern w:val="0"/>
          <w:szCs w:val="21"/>
        </w:rPr>
        <w:t>结构与波长窗口内，</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11</w:t>
      </w:r>
      <w:r w:rsidRPr="00234CBF">
        <w:rPr>
          <w:rFonts w:ascii="Times New Roman" w:eastAsia="宋体" w:hAnsi="Times New Roman"/>
          <w:kern w:val="0"/>
          <w:szCs w:val="21"/>
        </w:rPr>
        <w:t>模式是损耗最接近基模</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01</w:t>
      </w:r>
      <w:r w:rsidRPr="00234CBF">
        <w:rPr>
          <w:rFonts w:ascii="Times New Roman" w:eastAsia="宋体" w:hAnsi="Times New Roman"/>
          <w:kern w:val="0"/>
          <w:szCs w:val="21"/>
        </w:rPr>
        <w:t>的高阶模。随着大小管径比</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增大至</w:t>
      </w:r>
      <w:r w:rsidRPr="00234CBF">
        <w:rPr>
          <w:rFonts w:ascii="Times New Roman" w:eastAsia="宋体" w:hAnsi="Times New Roman"/>
          <w:kern w:val="0"/>
          <w:szCs w:val="21"/>
        </w:rPr>
        <w:t>0.9</w:t>
      </w:r>
      <w:r w:rsidRPr="00234CBF">
        <w:rPr>
          <w:rFonts w:ascii="Times New Roman" w:eastAsia="宋体" w:hAnsi="Times New Roman"/>
          <w:kern w:val="0"/>
          <w:szCs w:val="21"/>
        </w:rPr>
        <w:t>，管模有效折射率已经逼近</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11</w:t>
      </w:r>
      <w:r w:rsidRPr="00234CBF">
        <w:rPr>
          <w:rFonts w:ascii="Times New Roman" w:eastAsia="宋体" w:hAnsi="Times New Roman"/>
          <w:kern w:val="0"/>
          <w:szCs w:val="21"/>
        </w:rPr>
        <w:t>模式轨道。对于单模工作而言，这种情形是有利的：由于</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11</w:t>
      </w:r>
      <w:r w:rsidRPr="00234CBF">
        <w:rPr>
          <w:rFonts w:ascii="Times New Roman" w:eastAsia="宋体" w:hAnsi="Times New Roman"/>
          <w:kern w:val="0"/>
          <w:szCs w:val="21"/>
        </w:rPr>
        <w:t>模式原本就具有最接近基模的限制损耗，只需通过管模耦合适度抬升</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11</w:t>
      </w:r>
      <w:r w:rsidRPr="00234CBF">
        <w:rPr>
          <w:rFonts w:ascii="Times New Roman" w:eastAsia="宋体" w:hAnsi="Times New Roman"/>
          <w:kern w:val="0"/>
          <w:szCs w:val="21"/>
        </w:rPr>
        <w:t>的损耗，即可较容易实现</w:t>
      </w:r>
      <w:r w:rsidRPr="003B0912">
        <w:rPr>
          <w:rFonts w:ascii="Times New Roman" w:eastAsia="宋体" w:hAnsi="Times New Roman"/>
          <w:i/>
          <w:iCs/>
          <w:kern w:val="0"/>
          <w:szCs w:val="21"/>
        </w:rPr>
        <w:t>R</w:t>
      </w:r>
      <w:r w:rsidRPr="00234CBF">
        <w:rPr>
          <w:rFonts w:ascii="Times New Roman" w:eastAsia="宋体" w:hAnsi="Times New Roman"/>
          <w:kern w:val="0"/>
          <w:szCs w:val="21"/>
        </w:rPr>
        <w:t>=αHOM/αLP</w:t>
      </w:r>
      <w:r w:rsidRPr="003B0912">
        <w:rPr>
          <w:rFonts w:ascii="Times New Roman" w:eastAsia="宋体" w:hAnsi="Times New Roman"/>
          <w:kern w:val="0"/>
          <w:szCs w:val="21"/>
          <w:vertAlign w:val="subscript"/>
        </w:rPr>
        <w:t>01</w:t>
      </w:r>
      <w:r w:rsidRPr="00234CBF">
        <w:rPr>
          <w:rFonts w:ascii="Times New Roman" w:eastAsia="宋体" w:hAnsi="Times New Roman"/>
          <w:kern w:val="0"/>
          <w:szCs w:val="21"/>
        </w:rPr>
        <w:t>&gt;50</w:t>
      </w:r>
      <w:r w:rsidRPr="00234CBF">
        <w:rPr>
          <w:rFonts w:ascii="Times New Roman" w:eastAsia="宋体" w:hAnsi="Times New Roman"/>
          <w:kern w:val="0"/>
          <w:szCs w:val="21"/>
        </w:rPr>
        <w:t>的目标。</w:t>
      </w:r>
    </w:p>
    <w:p w14:paraId="034097E4" w14:textId="77777777" w:rsidR="00283939" w:rsidRDefault="00283939" w:rsidP="00815A1A">
      <w:pPr>
        <w:ind w:firstLineChars="200" w:firstLine="420"/>
        <w:rPr>
          <w:rFonts w:ascii="Times New Roman" w:eastAsia="宋体" w:hAnsi="Times New Roman"/>
          <w:kern w:val="0"/>
          <w:szCs w:val="21"/>
        </w:rPr>
      </w:pPr>
      <w:r w:rsidRPr="00234CBF">
        <w:rPr>
          <w:rFonts w:ascii="Times New Roman" w:eastAsia="宋体" w:hAnsi="Times New Roman"/>
          <w:kern w:val="0"/>
          <w:szCs w:val="21"/>
        </w:rPr>
        <w:t>需要注意的是，当</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=0.9</w:t>
      </w:r>
      <w:r w:rsidRPr="00234CBF">
        <w:rPr>
          <w:rFonts w:ascii="Times New Roman" w:eastAsia="宋体" w:hAnsi="Times New Roman"/>
          <w:kern w:val="0"/>
          <w:szCs w:val="21"/>
        </w:rPr>
        <w:t>且</w:t>
      </w:r>
      <w:r w:rsidRPr="003B0912">
        <w:rPr>
          <w:rFonts w:ascii="Times New Roman" w:eastAsia="宋体" w:hAnsi="Times New Roman"/>
          <w:i/>
          <w:iCs/>
          <w:kern w:val="0"/>
          <w:szCs w:val="21"/>
        </w:rPr>
        <w:t>d</w:t>
      </w:r>
      <w:r w:rsidRPr="00234CBF">
        <w:rPr>
          <w:rFonts w:ascii="Times New Roman" w:eastAsia="宋体" w:hAnsi="Times New Roman"/>
          <w:kern w:val="0"/>
          <w:szCs w:val="21"/>
        </w:rPr>
        <w:t>=1</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时，管模有效折射率与</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11</w:t>
      </w:r>
      <w:r w:rsidRPr="00234CBF">
        <w:rPr>
          <w:rFonts w:ascii="Times New Roman" w:eastAsia="宋体" w:hAnsi="Times New Roman"/>
          <w:kern w:val="0"/>
          <w:szCs w:val="21"/>
        </w:rPr>
        <w:t>模式过于接近，导致</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21</w:t>
      </w:r>
      <w:r w:rsidRPr="00234CBF">
        <w:rPr>
          <w:rFonts w:ascii="Times New Roman" w:eastAsia="宋体" w:hAnsi="Times New Roman"/>
          <w:kern w:val="0"/>
          <w:szCs w:val="21"/>
        </w:rPr>
        <w:t>模式反超</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11</w:t>
      </w:r>
      <w:r w:rsidRPr="00234CBF">
        <w:rPr>
          <w:rFonts w:ascii="Times New Roman" w:eastAsia="宋体" w:hAnsi="Times New Roman"/>
          <w:kern w:val="0"/>
          <w:szCs w:val="21"/>
        </w:rPr>
        <w:t>成为损耗最接近基模的高阶模，这会削弱单模工作的稳定性。基于这一</w:t>
      </w:r>
      <w:r w:rsidRPr="00234CBF">
        <w:rPr>
          <w:rFonts w:ascii="Times New Roman" w:eastAsia="宋体" w:hAnsi="Times New Roman" w:hint="eastAsia"/>
          <w:kern w:val="0"/>
          <w:szCs w:val="21"/>
        </w:rPr>
        <w:t>现象</w:t>
      </w:r>
      <w:r w:rsidRPr="00234CBF">
        <w:rPr>
          <w:rFonts w:ascii="Times New Roman" w:eastAsia="宋体" w:hAnsi="Times New Roman"/>
          <w:kern w:val="0"/>
          <w:szCs w:val="21"/>
        </w:rPr>
        <w:t>，本文通过联合调节</w:t>
      </w:r>
      <w:r w:rsidRPr="003B0912">
        <w:rPr>
          <w:rFonts w:ascii="Times New Roman" w:eastAsia="宋体" w:hAnsi="Times New Roman"/>
          <w:i/>
          <w:iCs/>
          <w:kern w:val="0"/>
          <w:szCs w:val="21"/>
        </w:rPr>
        <w:t>d</w:t>
      </w:r>
      <w:r w:rsidRPr="00234CBF">
        <w:rPr>
          <w:rFonts w:ascii="Times New Roman" w:eastAsia="宋体" w:hAnsi="Times New Roman"/>
          <w:kern w:val="0"/>
          <w:szCs w:val="21"/>
        </w:rPr>
        <w:t>与</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，使管模有效折射率落在</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11</w:t>
      </w:r>
      <w:r w:rsidRPr="00234CBF">
        <w:rPr>
          <w:rFonts w:ascii="Times New Roman" w:eastAsia="宋体" w:hAnsi="Times New Roman"/>
          <w:kern w:val="0"/>
          <w:szCs w:val="21"/>
        </w:rPr>
        <w:t>与</w:t>
      </w:r>
      <w:r w:rsidRPr="00234CBF">
        <w:rPr>
          <w:rFonts w:ascii="Times New Roman" w:eastAsia="宋体" w:hAnsi="Times New Roman"/>
          <w:kern w:val="0"/>
          <w:szCs w:val="21"/>
        </w:rPr>
        <w:t xml:space="preserve"> LP</w:t>
      </w:r>
      <w:r w:rsidRPr="003B0912">
        <w:rPr>
          <w:rFonts w:ascii="Times New Roman" w:eastAsia="宋体" w:hAnsi="Times New Roman"/>
          <w:kern w:val="0"/>
          <w:szCs w:val="21"/>
          <w:vertAlign w:val="subscript"/>
        </w:rPr>
        <w:t>21</w:t>
      </w:r>
      <w:r w:rsidRPr="00234CBF">
        <w:rPr>
          <w:rFonts w:ascii="Times New Roman" w:eastAsia="宋体" w:hAnsi="Times New Roman"/>
          <w:kern w:val="0"/>
          <w:szCs w:val="21"/>
        </w:rPr>
        <w:t>模式</w:t>
      </w:r>
      <w:r w:rsidRPr="00234CBF">
        <w:rPr>
          <w:rFonts w:ascii="Times New Roman" w:eastAsia="宋体" w:hAnsi="Times New Roman" w:hint="eastAsia"/>
          <w:kern w:val="0"/>
          <w:szCs w:val="21"/>
        </w:rPr>
        <w:t>的有效折射率</w:t>
      </w:r>
      <w:r w:rsidRPr="00234CBF">
        <w:rPr>
          <w:rFonts w:ascii="Times New Roman" w:eastAsia="宋体" w:hAnsi="Times New Roman"/>
          <w:kern w:val="0"/>
          <w:szCs w:val="21"/>
        </w:rPr>
        <w:t>轨道之间，由管模同时对这两条高阶模耦合通道产生抑制作用，避免某一高阶模长期占据</w:t>
      </w:r>
      <w:r w:rsidRPr="00234CBF">
        <w:rPr>
          <w:rFonts w:ascii="Times New Roman" w:eastAsia="宋体" w:hAnsi="Times New Roman"/>
          <w:kern w:val="0"/>
          <w:szCs w:val="21"/>
        </w:rPr>
        <w:t>“</w:t>
      </w:r>
      <w:r w:rsidRPr="00234CBF">
        <w:rPr>
          <w:rFonts w:ascii="Times New Roman" w:eastAsia="宋体" w:hAnsi="Times New Roman"/>
          <w:kern w:val="0"/>
          <w:szCs w:val="21"/>
        </w:rPr>
        <w:t>最低高阶模损耗</w:t>
      </w:r>
      <w:r w:rsidRPr="00234CBF">
        <w:rPr>
          <w:rFonts w:ascii="Times New Roman" w:eastAsia="宋体" w:hAnsi="Times New Roman"/>
          <w:kern w:val="0"/>
          <w:szCs w:val="21"/>
        </w:rPr>
        <w:t>”</w:t>
      </w:r>
      <w:r w:rsidRPr="00234CBF">
        <w:rPr>
          <w:rFonts w:ascii="Times New Roman" w:eastAsia="宋体" w:hAnsi="Times New Roman"/>
          <w:kern w:val="0"/>
          <w:szCs w:val="21"/>
        </w:rPr>
        <w:t>的位置。与仅针对单一高阶模进行抬升相比，这种设计能够在工艺波动和参数扰动下提供更加稳定、可复现的单模传输特性</w:t>
      </w:r>
      <w:r w:rsidRPr="00234CBF">
        <w:rPr>
          <w:rFonts w:ascii="Times New Roman" w:eastAsia="宋体" w:hAnsi="Times New Roman" w:hint="eastAsia"/>
          <w:kern w:val="0"/>
          <w:szCs w:val="21"/>
        </w:rPr>
        <w:t>。</w:t>
      </w:r>
    </w:p>
    <w:p w14:paraId="600FA5F9" w14:textId="1C736A95" w:rsidR="00E13457" w:rsidRDefault="00460680" w:rsidP="00475021">
      <w:pPr>
        <w:jc w:val="center"/>
        <w:rPr>
          <w:rFonts w:ascii="Times New Roman" w:eastAsia="宋体" w:hAnsi="Times New Roman"/>
          <w:kern w:val="0"/>
          <w:szCs w:val="21"/>
        </w:rPr>
      </w:pPr>
      <w:r>
        <w:rPr>
          <w:rFonts w:ascii="Times New Roman" w:eastAsia="宋体" w:hAnsi="Times New Roman"/>
          <w:kern w:val="0"/>
          <w:szCs w:val="21"/>
        </w:rPr>
        <w:object w:dxaOrig="3975" w:dyaOrig="3090" w14:anchorId="12CC8D5B">
          <v:shape id="_x0000_i1033" type="#_x0000_t75" style="width:198.45pt;height:154.65pt" o:ole="">
            <v:imagedata r:id="rId24" o:title=""/>
          </v:shape>
          <o:OLEObject Type="Embed" ProgID="Visio.Drawing.15" ShapeID="_x0000_i1033" DrawAspect="Content" ObjectID="_1844942223" r:id="rId25"/>
        </w:object>
      </w:r>
      <w:r>
        <w:rPr>
          <w:rFonts w:ascii="Times New Roman" w:eastAsia="宋体" w:hAnsi="Times New Roman"/>
          <w:kern w:val="0"/>
          <w:szCs w:val="21"/>
        </w:rPr>
        <w:object w:dxaOrig="3975" w:dyaOrig="3090" w14:anchorId="664F2764">
          <v:shape id="_x0000_i1034" type="#_x0000_t75" style="width:198.45pt;height:154.65pt" o:ole="">
            <v:imagedata r:id="rId26" o:title=""/>
          </v:shape>
          <o:OLEObject Type="Embed" ProgID="Visio.Drawing.15" ShapeID="_x0000_i1034" DrawAspect="Content" ObjectID="_1844942224" r:id="rId27"/>
        </w:object>
      </w:r>
    </w:p>
    <w:p w14:paraId="535F1860" w14:textId="77777777" w:rsidR="00283939" w:rsidRDefault="00D10808" w:rsidP="00F94712">
      <w:pPr>
        <w:widowControl/>
        <w:jc w:val="center"/>
        <w:rPr>
          <w:rStyle w:val="af3"/>
          <w:b/>
          <w:bCs/>
          <w:sz w:val="15"/>
          <w:szCs w:val="15"/>
        </w:rPr>
      </w:pPr>
      <w:r w:rsidRPr="003B0912">
        <w:rPr>
          <w:rStyle w:val="af3"/>
          <w:b/>
          <w:bCs/>
          <w:sz w:val="15"/>
          <w:szCs w:val="15"/>
        </w:rPr>
        <w:t>(a)</w:t>
      </w:r>
      <w:r w:rsidRPr="003B0912">
        <w:rPr>
          <w:rStyle w:val="af3"/>
          <w:rFonts w:hint="eastAsia"/>
          <w:b/>
          <w:bCs/>
          <w:sz w:val="15"/>
          <w:szCs w:val="15"/>
        </w:rPr>
        <w:t>基模、高阶模损耗随</w:t>
      </w:r>
      <w:r w:rsidRPr="003B0912">
        <w:rPr>
          <w:rStyle w:val="af3"/>
          <w:b/>
          <w:bCs/>
          <w:i/>
          <w:iCs/>
          <w:sz w:val="15"/>
          <w:szCs w:val="15"/>
        </w:rPr>
        <w:t>D</w:t>
      </w:r>
      <w:r w:rsidRPr="003B0912">
        <w:rPr>
          <w:rStyle w:val="af3"/>
          <w:b/>
          <w:bCs/>
          <w:i/>
          <w:iCs/>
          <w:sz w:val="15"/>
          <w:szCs w:val="15"/>
          <w:vertAlign w:val="subscript"/>
        </w:rPr>
        <w:t>1</w:t>
      </w:r>
      <w:r w:rsidRPr="003B0912">
        <w:rPr>
          <w:rStyle w:val="af3"/>
          <w:b/>
          <w:bCs/>
          <w:i/>
          <w:iCs/>
          <w:sz w:val="15"/>
          <w:szCs w:val="15"/>
        </w:rPr>
        <w:t>/D</w:t>
      </w:r>
      <w:r w:rsidRPr="003B0912">
        <w:rPr>
          <w:rStyle w:val="af3"/>
          <w:rFonts w:hint="eastAsia"/>
          <w:b/>
          <w:bCs/>
          <w:sz w:val="15"/>
          <w:szCs w:val="15"/>
        </w:rPr>
        <w:t>变化趋势</w:t>
      </w:r>
      <w:r w:rsidRPr="003B0912">
        <w:rPr>
          <w:rStyle w:val="af3"/>
          <w:rFonts w:hint="eastAsia"/>
          <w:b/>
          <w:bCs/>
          <w:sz w:val="15"/>
          <w:szCs w:val="15"/>
        </w:rPr>
        <w:t xml:space="preserve"> </w:t>
      </w:r>
      <w:r w:rsidRPr="003B0912">
        <w:rPr>
          <w:rStyle w:val="af3"/>
          <w:b/>
          <w:bCs/>
          <w:sz w:val="15"/>
          <w:szCs w:val="15"/>
        </w:rPr>
        <w:t xml:space="preserve"> (b)</w:t>
      </w:r>
      <w:r w:rsidRPr="003B0912">
        <w:rPr>
          <w:rStyle w:val="af3"/>
          <w:rFonts w:hint="eastAsia"/>
          <w:b/>
          <w:bCs/>
          <w:sz w:val="15"/>
          <w:szCs w:val="15"/>
        </w:rPr>
        <w:t>基模、高阶模损耗随</w:t>
      </w:r>
      <w:r w:rsidRPr="003B0912">
        <w:rPr>
          <w:rStyle w:val="af3"/>
          <w:rFonts w:hint="eastAsia"/>
          <w:b/>
          <w:bCs/>
          <w:i/>
          <w:iCs/>
          <w:sz w:val="15"/>
          <w:szCs w:val="15"/>
        </w:rPr>
        <w:t>d</w:t>
      </w:r>
      <w:r w:rsidRPr="003B0912">
        <w:rPr>
          <w:rStyle w:val="af3"/>
          <w:rFonts w:hint="eastAsia"/>
          <w:b/>
          <w:bCs/>
          <w:sz w:val="15"/>
          <w:szCs w:val="15"/>
        </w:rPr>
        <w:t>变化趋势</w:t>
      </w:r>
    </w:p>
    <w:p w14:paraId="02370055" w14:textId="128269C8" w:rsidR="00E13457" w:rsidRPr="00E13457" w:rsidRDefault="00485A7B" w:rsidP="00475021">
      <w:pPr>
        <w:jc w:val="center"/>
        <w:rPr>
          <w:kern w:val="0"/>
          <w:szCs w:val="21"/>
        </w:rPr>
      </w:pPr>
      <w:r>
        <w:rPr>
          <w:kern w:val="0"/>
          <w:szCs w:val="21"/>
        </w:rPr>
        <w:object w:dxaOrig="3870" w:dyaOrig="3166" w14:anchorId="0879282C">
          <v:shape id="_x0000_i1035" type="#_x0000_t75" style="width:193.45pt;height:158.4pt" o:ole="">
            <v:imagedata r:id="rId28" o:title=""/>
          </v:shape>
          <o:OLEObject Type="Embed" ProgID="Visio.Drawing.15" ShapeID="_x0000_i1035" DrawAspect="Content" ObjectID="_1844942225" r:id="rId29"/>
        </w:object>
      </w:r>
      <w:r>
        <w:rPr>
          <w:kern w:val="0"/>
          <w:szCs w:val="21"/>
        </w:rPr>
        <w:object w:dxaOrig="3961" w:dyaOrig="3180" w14:anchorId="3020C61E">
          <v:shape id="_x0000_i1036" type="#_x0000_t75" style="width:197.85pt;height:159.05pt" o:ole="">
            <v:imagedata r:id="rId30" o:title=""/>
          </v:shape>
          <o:OLEObject Type="Embed" ProgID="Visio.Drawing.15" ShapeID="_x0000_i1036" DrawAspect="Content" ObjectID="_1844942226" r:id="rId31"/>
        </w:object>
      </w:r>
    </w:p>
    <w:p w14:paraId="13146E1C" w14:textId="77777777" w:rsidR="00D10808" w:rsidRPr="003B0912" w:rsidRDefault="00D10808" w:rsidP="00F94712">
      <w:pPr>
        <w:widowControl/>
        <w:jc w:val="center"/>
        <w:rPr>
          <w:b/>
          <w:bCs/>
          <w:sz w:val="15"/>
          <w:szCs w:val="15"/>
        </w:rPr>
      </w:pPr>
      <w:r w:rsidRPr="003B0912">
        <w:rPr>
          <w:rStyle w:val="af3"/>
          <w:b/>
          <w:bCs/>
          <w:sz w:val="15"/>
          <w:szCs w:val="15"/>
        </w:rPr>
        <w:t>(c)</w:t>
      </w:r>
      <w:r w:rsidRPr="003B0912">
        <w:rPr>
          <w:rStyle w:val="af3"/>
          <w:b/>
          <w:bCs/>
          <w:sz w:val="15"/>
          <w:szCs w:val="15"/>
        </w:rPr>
        <w:t>基模、高阶模和管模</w:t>
      </w:r>
      <w:r w:rsidRPr="003B0912">
        <w:rPr>
          <w:rStyle w:val="af3"/>
          <w:b/>
          <w:bCs/>
          <w:i/>
          <w:iCs/>
          <w:sz w:val="15"/>
          <w:szCs w:val="15"/>
        </w:rPr>
        <w:t>n</w:t>
      </w:r>
      <w:r w:rsidRPr="003B0912">
        <w:rPr>
          <w:rStyle w:val="af3"/>
          <w:b/>
          <w:bCs/>
          <w:i/>
          <w:iCs/>
          <w:sz w:val="15"/>
          <w:szCs w:val="15"/>
          <w:vertAlign w:val="subscript"/>
        </w:rPr>
        <w:t>eff</w:t>
      </w:r>
      <w:r w:rsidRPr="003B0912">
        <w:rPr>
          <w:rStyle w:val="af3"/>
          <w:rFonts w:hint="eastAsia"/>
          <w:b/>
          <w:bCs/>
          <w:sz w:val="15"/>
          <w:szCs w:val="15"/>
        </w:rPr>
        <w:t>随</w:t>
      </w:r>
      <w:r w:rsidRPr="003B0912">
        <w:rPr>
          <w:rStyle w:val="af3"/>
          <w:rFonts w:hint="eastAsia"/>
          <w:b/>
          <w:bCs/>
          <w:i/>
          <w:iCs/>
          <w:sz w:val="15"/>
          <w:szCs w:val="15"/>
        </w:rPr>
        <w:t>D</w:t>
      </w:r>
      <w:r w:rsidRPr="003B0912">
        <w:rPr>
          <w:rStyle w:val="af3"/>
          <w:b/>
          <w:bCs/>
          <w:i/>
          <w:iCs/>
          <w:sz w:val="15"/>
          <w:szCs w:val="15"/>
          <w:vertAlign w:val="subscript"/>
        </w:rPr>
        <w:t>1</w:t>
      </w:r>
      <w:r w:rsidRPr="003B0912">
        <w:rPr>
          <w:rStyle w:val="af3"/>
          <w:b/>
          <w:bCs/>
          <w:i/>
          <w:iCs/>
          <w:sz w:val="15"/>
          <w:szCs w:val="15"/>
        </w:rPr>
        <w:t>/D</w:t>
      </w:r>
      <w:r w:rsidRPr="003B0912">
        <w:rPr>
          <w:rStyle w:val="af3"/>
          <w:rFonts w:hint="eastAsia"/>
          <w:b/>
          <w:bCs/>
          <w:sz w:val="15"/>
          <w:szCs w:val="15"/>
        </w:rPr>
        <w:t>变化</w:t>
      </w:r>
      <w:r w:rsidRPr="003B0912">
        <w:rPr>
          <w:rStyle w:val="af3"/>
          <w:rFonts w:hint="eastAsia"/>
          <w:b/>
          <w:bCs/>
          <w:sz w:val="15"/>
          <w:szCs w:val="15"/>
        </w:rPr>
        <w:t xml:space="preserve"> </w:t>
      </w:r>
      <w:r w:rsidRPr="003B0912">
        <w:rPr>
          <w:rStyle w:val="af3"/>
          <w:b/>
          <w:bCs/>
          <w:sz w:val="15"/>
          <w:szCs w:val="15"/>
        </w:rPr>
        <w:t xml:space="preserve"> (d)</w:t>
      </w:r>
      <w:r w:rsidRPr="003B0912">
        <w:rPr>
          <w:rStyle w:val="af3"/>
          <w:b/>
          <w:bCs/>
          <w:sz w:val="15"/>
          <w:szCs w:val="15"/>
        </w:rPr>
        <w:t>基模、高阶模和管模</w:t>
      </w:r>
      <w:r w:rsidRPr="003B0912">
        <w:rPr>
          <w:rStyle w:val="af3"/>
          <w:b/>
          <w:bCs/>
          <w:i/>
          <w:iCs/>
          <w:sz w:val="15"/>
          <w:szCs w:val="15"/>
        </w:rPr>
        <w:t>n</w:t>
      </w:r>
      <w:r w:rsidRPr="003B0912">
        <w:rPr>
          <w:rStyle w:val="af3"/>
          <w:b/>
          <w:bCs/>
          <w:i/>
          <w:iCs/>
          <w:sz w:val="15"/>
          <w:szCs w:val="15"/>
          <w:vertAlign w:val="subscript"/>
        </w:rPr>
        <w:t>eff</w:t>
      </w:r>
      <w:r w:rsidRPr="003B0912">
        <w:rPr>
          <w:rStyle w:val="af3"/>
          <w:rFonts w:hint="eastAsia"/>
          <w:b/>
          <w:bCs/>
          <w:sz w:val="15"/>
          <w:szCs w:val="15"/>
        </w:rPr>
        <w:t>随</w:t>
      </w:r>
      <w:r w:rsidRPr="003B0912">
        <w:rPr>
          <w:rStyle w:val="af3"/>
          <w:rFonts w:hint="eastAsia"/>
          <w:b/>
          <w:bCs/>
          <w:i/>
          <w:iCs/>
          <w:sz w:val="15"/>
          <w:szCs w:val="15"/>
        </w:rPr>
        <w:t>d</w:t>
      </w:r>
      <w:r w:rsidRPr="003B0912">
        <w:rPr>
          <w:rStyle w:val="af3"/>
          <w:rFonts w:hint="eastAsia"/>
          <w:b/>
          <w:bCs/>
          <w:sz w:val="15"/>
          <w:szCs w:val="15"/>
        </w:rPr>
        <w:t>变化趋势</w:t>
      </w:r>
    </w:p>
    <w:p w14:paraId="11D0E89E" w14:textId="77777777" w:rsidR="00D10808" w:rsidRPr="003B0912" w:rsidRDefault="00D10808" w:rsidP="00F94712">
      <w:pPr>
        <w:widowControl/>
        <w:jc w:val="center"/>
        <w:rPr>
          <w:rStyle w:val="af3"/>
          <w:b/>
          <w:bCs/>
          <w:sz w:val="15"/>
          <w:szCs w:val="15"/>
        </w:rPr>
      </w:pPr>
      <w:r w:rsidRPr="003B0912">
        <w:rPr>
          <w:rStyle w:val="af3"/>
          <w:rFonts w:hint="eastAsia"/>
          <w:b/>
          <w:bCs/>
          <w:sz w:val="15"/>
          <w:szCs w:val="15"/>
        </w:rPr>
        <w:t>图</w:t>
      </w:r>
      <w:r w:rsidRPr="003B0912">
        <w:rPr>
          <w:rStyle w:val="af3"/>
          <w:b/>
          <w:bCs/>
          <w:sz w:val="15"/>
          <w:szCs w:val="15"/>
        </w:rPr>
        <w:t xml:space="preserve">8 </w:t>
      </w:r>
      <w:r w:rsidRPr="003B0912">
        <w:rPr>
          <w:rStyle w:val="af3"/>
          <w:b/>
          <w:bCs/>
          <w:sz w:val="15"/>
          <w:szCs w:val="15"/>
        </w:rPr>
        <w:t>基模</w:t>
      </w:r>
      <w:r w:rsidRPr="003B0912">
        <w:rPr>
          <w:rStyle w:val="af3"/>
          <w:rFonts w:hint="eastAsia"/>
          <w:b/>
          <w:bCs/>
          <w:sz w:val="15"/>
          <w:szCs w:val="15"/>
        </w:rPr>
        <w:t>、管模</w:t>
      </w:r>
      <w:r w:rsidRPr="003B0912">
        <w:rPr>
          <w:rStyle w:val="af3"/>
          <w:b/>
          <w:bCs/>
          <w:sz w:val="15"/>
          <w:szCs w:val="15"/>
        </w:rPr>
        <w:t>与高阶模损耗及</w:t>
      </w:r>
      <w:r w:rsidRPr="003B0912">
        <w:rPr>
          <w:rStyle w:val="af3"/>
          <w:b/>
          <w:bCs/>
          <w:i/>
          <w:iCs/>
          <w:sz w:val="15"/>
          <w:szCs w:val="15"/>
        </w:rPr>
        <w:t>n</w:t>
      </w:r>
      <w:r w:rsidRPr="003B0912">
        <w:rPr>
          <w:rStyle w:val="af3"/>
          <w:b/>
          <w:bCs/>
          <w:i/>
          <w:iCs/>
          <w:sz w:val="15"/>
          <w:szCs w:val="15"/>
          <w:vertAlign w:val="subscript"/>
        </w:rPr>
        <w:t>eff</w:t>
      </w:r>
      <w:r w:rsidRPr="003B0912">
        <w:rPr>
          <w:rStyle w:val="af3"/>
          <w:b/>
          <w:bCs/>
          <w:sz w:val="15"/>
          <w:szCs w:val="15"/>
        </w:rPr>
        <w:t>随结构参数</w:t>
      </w:r>
      <w:r w:rsidRPr="003B0912">
        <w:rPr>
          <w:rStyle w:val="af3"/>
          <w:rFonts w:hint="eastAsia"/>
          <w:b/>
          <w:bCs/>
          <w:i/>
          <w:iCs/>
          <w:sz w:val="15"/>
          <w:szCs w:val="15"/>
        </w:rPr>
        <w:t>D</w:t>
      </w:r>
      <w:r w:rsidRPr="003B0912">
        <w:rPr>
          <w:rStyle w:val="af3"/>
          <w:b/>
          <w:bCs/>
          <w:i/>
          <w:iCs/>
          <w:sz w:val="15"/>
          <w:szCs w:val="15"/>
          <w:vertAlign w:val="subscript"/>
        </w:rPr>
        <w:t>1</w:t>
      </w:r>
      <w:r w:rsidRPr="003B0912">
        <w:rPr>
          <w:rStyle w:val="af3"/>
          <w:b/>
          <w:bCs/>
          <w:i/>
          <w:iCs/>
          <w:sz w:val="15"/>
          <w:szCs w:val="15"/>
        </w:rPr>
        <w:t>/D</w:t>
      </w:r>
      <w:r w:rsidRPr="003B0912">
        <w:rPr>
          <w:rStyle w:val="af3"/>
          <w:b/>
          <w:bCs/>
          <w:sz w:val="15"/>
          <w:szCs w:val="15"/>
        </w:rPr>
        <w:t>与</w:t>
      </w:r>
      <w:r w:rsidRPr="003B0912">
        <w:rPr>
          <w:rStyle w:val="af3"/>
          <w:b/>
          <w:bCs/>
          <w:i/>
          <w:iCs/>
          <w:sz w:val="15"/>
          <w:szCs w:val="15"/>
        </w:rPr>
        <w:t>d</w:t>
      </w:r>
      <w:r w:rsidRPr="003B0912">
        <w:rPr>
          <w:rStyle w:val="af3"/>
          <w:b/>
          <w:bCs/>
          <w:sz w:val="15"/>
          <w:szCs w:val="15"/>
        </w:rPr>
        <w:t>的演化</w:t>
      </w:r>
    </w:p>
    <w:p w14:paraId="1678A19C" w14:textId="77777777" w:rsidR="00283939" w:rsidRPr="00234CBF" w:rsidRDefault="00283939" w:rsidP="006A26A5">
      <w:pPr>
        <w:rPr>
          <w:rFonts w:ascii="Times New Roman" w:eastAsia="宋体" w:hAnsi="Times New Roman"/>
          <w:b/>
          <w:sz w:val="24"/>
          <w:szCs w:val="24"/>
        </w:rPr>
      </w:pPr>
      <w:r w:rsidRPr="00234CBF">
        <w:rPr>
          <w:rFonts w:ascii="Times New Roman" w:eastAsia="宋体" w:hAnsi="Times New Roman" w:hint="eastAsia"/>
          <w:b/>
          <w:sz w:val="24"/>
          <w:szCs w:val="24"/>
        </w:rPr>
        <w:t>4</w:t>
      </w:r>
      <w:r w:rsidRPr="00234CBF">
        <w:rPr>
          <w:rFonts w:ascii="Times New Roman" w:eastAsia="宋体" w:hAnsi="Times New Roman" w:hint="eastAsia"/>
          <w:b/>
          <w:sz w:val="24"/>
          <w:szCs w:val="24"/>
        </w:rPr>
        <w:t>结果与讨论</w:t>
      </w:r>
    </w:p>
    <w:p w14:paraId="2CDC9798" w14:textId="77777777" w:rsidR="00283939" w:rsidRPr="005205EF" w:rsidRDefault="00283939" w:rsidP="006A26A5">
      <w:pPr>
        <w:ind w:firstLineChars="200" w:firstLine="420"/>
        <w:rPr>
          <w:rFonts w:ascii="Times New Roman" w:hAnsi="Times New Roman"/>
          <w:szCs w:val="21"/>
        </w:rPr>
      </w:pPr>
      <w:r w:rsidRPr="00234CBF">
        <w:rPr>
          <w:rFonts w:ascii="Times New Roman" w:eastAsia="宋体" w:hAnsi="Times New Roman"/>
          <w:kern w:val="0"/>
          <w:szCs w:val="21"/>
        </w:rPr>
        <w:t>考虑到</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对单模性能的主导作用，在后续的精细优化中我们优先将</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固定为</w:t>
      </w:r>
      <w:r w:rsidRPr="00234CBF">
        <w:rPr>
          <w:rFonts w:ascii="Times New Roman" w:eastAsia="宋体" w:hAnsi="Times New Roman"/>
          <w:kern w:val="0"/>
          <w:szCs w:val="21"/>
        </w:rPr>
        <w:t>0.9</w:t>
      </w:r>
      <w:r w:rsidRPr="00234CBF">
        <w:rPr>
          <w:rFonts w:ascii="Times New Roman" w:eastAsia="宋体" w:hAnsi="Times New Roman"/>
          <w:kern w:val="0"/>
          <w:szCs w:val="21"/>
        </w:rPr>
        <w:t>，并将优化重心从</w:t>
      </w:r>
      <w:r w:rsidRPr="00234CBF">
        <w:rPr>
          <w:rFonts w:ascii="Times New Roman" w:eastAsia="宋体" w:hAnsi="Times New Roman"/>
          <w:kern w:val="0"/>
          <w:szCs w:val="21"/>
        </w:rPr>
        <w:t>“</w:t>
      </w:r>
      <w:r w:rsidRPr="00234CBF">
        <w:rPr>
          <w:rFonts w:ascii="Times New Roman" w:eastAsia="宋体" w:hAnsi="Times New Roman"/>
          <w:kern w:val="0"/>
          <w:szCs w:val="21"/>
        </w:rPr>
        <w:t>是否能抬升某一特定高阶模的损耗</w:t>
      </w:r>
      <w:r w:rsidRPr="00234CBF">
        <w:rPr>
          <w:rFonts w:ascii="Times New Roman" w:eastAsia="宋体" w:hAnsi="Times New Roman"/>
          <w:kern w:val="0"/>
          <w:szCs w:val="21"/>
        </w:rPr>
        <w:t>”</w:t>
      </w:r>
      <w:r w:rsidRPr="00234CBF">
        <w:rPr>
          <w:rFonts w:ascii="Times New Roman" w:eastAsia="宋体" w:hAnsi="Times New Roman"/>
          <w:kern w:val="0"/>
          <w:szCs w:val="21"/>
        </w:rPr>
        <w:t>转向</w:t>
      </w:r>
      <w:r w:rsidRPr="00234CBF">
        <w:rPr>
          <w:rFonts w:ascii="Times New Roman" w:eastAsia="宋体" w:hAnsi="Times New Roman"/>
          <w:kern w:val="0"/>
          <w:szCs w:val="21"/>
        </w:rPr>
        <w:t>“</w:t>
      </w:r>
      <w:r w:rsidRPr="00234CBF">
        <w:rPr>
          <w:rFonts w:ascii="Times New Roman" w:eastAsia="宋体" w:hAnsi="Times New Roman"/>
          <w:kern w:val="0"/>
          <w:szCs w:val="21"/>
        </w:rPr>
        <w:t>能否同时抑制多个关键高阶模</w:t>
      </w:r>
      <w:r w:rsidRPr="00234CBF">
        <w:rPr>
          <w:rFonts w:ascii="Times New Roman" w:eastAsia="宋体" w:hAnsi="Times New Roman"/>
          <w:kern w:val="0"/>
          <w:szCs w:val="21"/>
        </w:rPr>
        <w:t>”</w:t>
      </w:r>
      <w:r w:rsidRPr="00234CBF">
        <w:rPr>
          <w:rFonts w:ascii="Times New Roman" w:eastAsia="宋体" w:hAnsi="Times New Roman"/>
          <w:kern w:val="0"/>
          <w:szCs w:val="21"/>
        </w:rPr>
        <w:t>。在</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=0.9</w:t>
      </w:r>
      <w:r w:rsidRPr="00234CBF">
        <w:rPr>
          <w:rFonts w:ascii="Times New Roman" w:eastAsia="宋体" w:hAnsi="Times New Roman"/>
          <w:kern w:val="0"/>
          <w:szCs w:val="21"/>
        </w:rPr>
        <w:t>、</w:t>
      </w:r>
      <w:r w:rsidRPr="003B0912">
        <w:rPr>
          <w:rFonts w:ascii="Times New Roman" w:eastAsia="宋体" w:hAnsi="Times New Roman"/>
          <w:i/>
          <w:iCs/>
          <w:kern w:val="0"/>
          <w:szCs w:val="21"/>
        </w:rPr>
        <w:t>N</w:t>
      </w:r>
      <w:r w:rsidRPr="00234CBF">
        <w:rPr>
          <w:rFonts w:ascii="Times New Roman" w:eastAsia="宋体" w:hAnsi="Times New Roman"/>
          <w:kern w:val="0"/>
          <w:szCs w:val="21"/>
        </w:rPr>
        <w:t>=7</w:t>
      </w:r>
      <w:r w:rsidRPr="00234CBF">
        <w:rPr>
          <w:rFonts w:ascii="Times New Roman" w:eastAsia="宋体" w:hAnsi="Times New Roman"/>
          <w:kern w:val="0"/>
          <w:szCs w:val="21"/>
        </w:rPr>
        <w:t>的条件下，我们以</w:t>
      </w:r>
      <w:r w:rsidRPr="00234CBF">
        <w:rPr>
          <w:rFonts w:ascii="Times New Roman" w:eastAsia="宋体" w:hAnsi="Times New Roman"/>
          <w:kern w:val="0"/>
          <w:szCs w:val="21"/>
        </w:rPr>
        <w:t>0.1</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为步长，将</w:t>
      </w:r>
      <w:r w:rsidRPr="003B0912">
        <w:rPr>
          <w:rFonts w:ascii="Times New Roman" w:eastAsia="宋体" w:hAnsi="Times New Roman"/>
          <w:i/>
          <w:iCs/>
          <w:kern w:val="0"/>
          <w:szCs w:val="21"/>
        </w:rPr>
        <w:t>d</w:t>
      </w:r>
      <w:r w:rsidRPr="00234CBF">
        <w:rPr>
          <w:rFonts w:ascii="Times New Roman" w:eastAsia="宋体" w:hAnsi="Times New Roman"/>
          <w:kern w:val="0"/>
          <w:szCs w:val="21"/>
        </w:rPr>
        <w:t>从</w:t>
      </w:r>
      <w:r w:rsidRPr="00234CBF">
        <w:rPr>
          <w:rFonts w:ascii="Times New Roman" w:eastAsia="宋体" w:hAnsi="Times New Roman"/>
          <w:kern w:val="0"/>
          <w:szCs w:val="21"/>
        </w:rPr>
        <w:t>0.5</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扫描至</w:t>
      </w:r>
      <w:r w:rsidRPr="00234CBF">
        <w:rPr>
          <w:rFonts w:ascii="Times New Roman" w:eastAsia="宋体" w:hAnsi="Times New Roman"/>
          <w:kern w:val="0"/>
          <w:szCs w:val="21"/>
        </w:rPr>
        <w:t>1.5</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，使管模能够同时对</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11</w:t>
      </w:r>
      <w:r w:rsidRPr="00234CBF">
        <w:rPr>
          <w:rFonts w:ascii="Times New Roman" w:eastAsia="宋体" w:hAnsi="Times New Roman"/>
          <w:kern w:val="0"/>
          <w:szCs w:val="21"/>
        </w:rPr>
        <w:t>和</w:t>
      </w:r>
      <w:r w:rsidRPr="00234CBF">
        <w:rPr>
          <w:rFonts w:ascii="Times New Roman" w:eastAsia="宋体" w:hAnsi="Times New Roman"/>
          <w:kern w:val="0"/>
          <w:szCs w:val="21"/>
        </w:rPr>
        <w:t>LP</w:t>
      </w:r>
      <w:r w:rsidRPr="003B0912">
        <w:rPr>
          <w:rFonts w:ascii="Times New Roman" w:eastAsia="宋体" w:hAnsi="Times New Roman"/>
          <w:kern w:val="0"/>
          <w:szCs w:val="21"/>
          <w:vertAlign w:val="subscript"/>
        </w:rPr>
        <w:t>21</w:t>
      </w:r>
      <w:r w:rsidRPr="00234CBF">
        <w:rPr>
          <w:rFonts w:ascii="Times New Roman" w:eastAsia="宋体" w:hAnsi="Times New Roman"/>
          <w:kern w:val="0"/>
          <w:szCs w:val="21"/>
        </w:rPr>
        <w:t>模产生显著影响，并在每一组结构参数下提取与基模损耗最接近的高阶模损耗，其结果如图</w:t>
      </w:r>
      <w:r w:rsidRPr="00234CBF">
        <w:rPr>
          <w:rFonts w:ascii="Times New Roman" w:eastAsia="宋体" w:hAnsi="Times New Roman"/>
          <w:kern w:val="0"/>
          <w:szCs w:val="21"/>
        </w:rPr>
        <w:t>9</w:t>
      </w:r>
      <w:r w:rsidRPr="00234CBF">
        <w:rPr>
          <w:rFonts w:ascii="Times New Roman" w:eastAsia="宋体" w:hAnsi="Times New Roman"/>
          <w:kern w:val="0"/>
          <w:szCs w:val="21"/>
        </w:rPr>
        <w:t>所示。可以看到，在大多数结构条件下，高阶模与基模的损耗比</w:t>
      </w:r>
      <w:r w:rsidRPr="003B0912">
        <w:rPr>
          <w:rFonts w:ascii="Times New Roman" w:eastAsia="宋体" w:hAnsi="Times New Roman"/>
          <w:i/>
          <w:iCs/>
          <w:kern w:val="0"/>
          <w:szCs w:val="21"/>
        </w:rPr>
        <w:t>R</w:t>
      </w:r>
      <w:r w:rsidRPr="00234CBF">
        <w:rPr>
          <w:rFonts w:ascii="Times New Roman" w:eastAsia="宋体" w:hAnsi="Times New Roman"/>
          <w:kern w:val="0"/>
          <w:szCs w:val="21"/>
        </w:rPr>
        <w:t>=αHOM/αLP</w:t>
      </w:r>
      <w:r w:rsidRPr="003B0912">
        <w:rPr>
          <w:rFonts w:ascii="Times New Roman" w:eastAsia="宋体" w:hAnsi="Times New Roman"/>
          <w:kern w:val="0"/>
          <w:szCs w:val="21"/>
          <w:vertAlign w:val="subscript"/>
        </w:rPr>
        <w:t>01</w:t>
      </w:r>
      <w:r w:rsidRPr="00234CBF">
        <w:rPr>
          <w:rFonts w:ascii="Times New Roman" w:eastAsia="宋体" w:hAnsi="Times New Roman"/>
          <w:kern w:val="0"/>
          <w:szCs w:val="21"/>
        </w:rPr>
        <w:t>均大于</w:t>
      </w:r>
      <w:r w:rsidRPr="00234CBF">
        <w:rPr>
          <w:rFonts w:ascii="Times New Roman" w:eastAsia="宋体" w:hAnsi="Times New Roman"/>
          <w:kern w:val="0"/>
          <w:szCs w:val="21"/>
        </w:rPr>
        <w:t>100</w:t>
      </w:r>
      <w:r w:rsidRPr="00234CBF">
        <w:rPr>
          <w:rFonts w:ascii="Times New Roman" w:eastAsia="宋体" w:hAnsi="Times New Roman"/>
          <w:kern w:val="0"/>
          <w:szCs w:val="21"/>
        </w:rPr>
        <w:t>，说明纤芯区域内高阶模已获得充分抑制。仅在</w:t>
      </w:r>
      <w:r w:rsidRPr="003B0912">
        <w:rPr>
          <w:rFonts w:ascii="Times New Roman" w:eastAsia="宋体" w:hAnsi="Times New Roman"/>
          <w:i/>
          <w:iCs/>
          <w:kern w:val="0"/>
          <w:szCs w:val="21"/>
        </w:rPr>
        <w:t>d</w:t>
      </w:r>
      <w:r w:rsidRPr="00234CBF">
        <w:rPr>
          <w:rFonts w:ascii="Times New Roman" w:eastAsia="宋体" w:hAnsi="Times New Roman"/>
          <w:kern w:val="0"/>
          <w:szCs w:val="21"/>
        </w:rPr>
        <w:t>=0.8</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与</w:t>
      </w:r>
      <w:r w:rsidRPr="003B0912">
        <w:rPr>
          <w:rFonts w:ascii="Times New Roman" w:eastAsia="宋体" w:hAnsi="Times New Roman"/>
          <w:i/>
          <w:iCs/>
          <w:kern w:val="0"/>
          <w:szCs w:val="21"/>
        </w:rPr>
        <w:t>d</w:t>
      </w:r>
      <w:r w:rsidRPr="00234CBF">
        <w:rPr>
          <w:rFonts w:ascii="Times New Roman" w:eastAsia="宋体" w:hAnsi="Times New Roman"/>
          <w:kern w:val="0"/>
          <w:szCs w:val="21"/>
        </w:rPr>
        <w:t xml:space="preserve"> = 1.2</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kern w:val="0"/>
          <w:szCs w:val="21"/>
        </w:rPr>
        <w:t>附近，由于基模损耗出现局部突增，导致</w:t>
      </w:r>
      <w:r w:rsidRPr="003B0912">
        <w:rPr>
          <w:rFonts w:ascii="Times New Roman" w:eastAsia="宋体" w:hAnsi="Times New Roman"/>
          <w:i/>
          <w:iCs/>
          <w:kern w:val="0"/>
          <w:szCs w:val="21"/>
        </w:rPr>
        <w:t>R</w:t>
      </w:r>
      <w:r w:rsidRPr="00234CBF">
        <w:rPr>
          <w:rFonts w:ascii="Times New Roman" w:eastAsia="宋体" w:hAnsi="Times New Roman"/>
          <w:kern w:val="0"/>
          <w:szCs w:val="21"/>
        </w:rPr>
        <w:t>低于</w:t>
      </w:r>
      <w:r w:rsidRPr="00234CBF">
        <w:rPr>
          <w:rFonts w:ascii="Times New Roman" w:eastAsia="宋体" w:hAnsi="Times New Roman"/>
          <w:kern w:val="0"/>
          <w:szCs w:val="21"/>
        </w:rPr>
        <w:t>100</w:t>
      </w:r>
      <w:r w:rsidRPr="00234CBF">
        <w:rPr>
          <w:rFonts w:ascii="Times New Roman" w:eastAsia="宋体" w:hAnsi="Times New Roman"/>
          <w:kern w:val="0"/>
          <w:szCs w:val="21"/>
        </w:rPr>
        <w:t>，但整体仍保持在远高于基本单模判据的水平。由此可见，基于</w:t>
      </w:r>
      <w:r w:rsidRPr="003B0912">
        <w:rPr>
          <w:rFonts w:ascii="Times New Roman" w:eastAsia="宋体" w:hAnsi="Times New Roman"/>
          <w:i/>
          <w:iCs/>
          <w:kern w:val="0"/>
          <w:szCs w:val="21"/>
        </w:rPr>
        <w:t>N</w:t>
      </w:r>
      <w:r w:rsidRPr="00234CBF">
        <w:rPr>
          <w:rFonts w:ascii="Times New Roman" w:eastAsia="宋体" w:hAnsi="Times New Roman"/>
          <w:kern w:val="0"/>
          <w:szCs w:val="21"/>
        </w:rPr>
        <w:t>=7</w:t>
      </w:r>
      <w:r w:rsidRPr="00234CBF">
        <w:rPr>
          <w:rFonts w:ascii="Times New Roman" w:eastAsia="宋体" w:hAnsi="Times New Roman"/>
          <w:kern w:val="0"/>
          <w:szCs w:val="21"/>
        </w:rPr>
        <w:t>与</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=0.9</w:t>
      </w:r>
      <w:r w:rsidRPr="00234CBF">
        <w:rPr>
          <w:rFonts w:ascii="Times New Roman" w:eastAsia="宋体" w:hAnsi="Times New Roman"/>
          <w:kern w:val="0"/>
          <w:szCs w:val="21"/>
        </w:rPr>
        <w:t>的参数组合，通过对</w:t>
      </w:r>
      <w:r w:rsidRPr="003B0912">
        <w:rPr>
          <w:rFonts w:ascii="Times New Roman" w:eastAsia="宋体" w:hAnsi="Times New Roman"/>
          <w:i/>
          <w:iCs/>
          <w:kern w:val="0"/>
          <w:szCs w:val="21"/>
        </w:rPr>
        <w:t>d</w:t>
      </w:r>
      <w:r w:rsidRPr="00234CBF">
        <w:rPr>
          <w:rFonts w:ascii="Times New Roman" w:eastAsia="宋体" w:hAnsi="Times New Roman"/>
          <w:kern w:val="0"/>
          <w:szCs w:val="21"/>
        </w:rPr>
        <w:t>的精细调节，我们不仅实现了</w:t>
      </w:r>
      <w:r w:rsidRPr="003B0912">
        <w:rPr>
          <w:rFonts w:ascii="Times New Roman" w:eastAsia="宋体" w:hAnsi="Times New Roman"/>
          <w:i/>
          <w:iCs/>
          <w:kern w:val="0"/>
          <w:szCs w:val="21"/>
        </w:rPr>
        <w:t>R</w:t>
      </w:r>
      <w:r w:rsidRPr="00234CBF">
        <w:rPr>
          <w:rFonts w:ascii="Times New Roman" w:eastAsia="宋体" w:hAnsi="Times New Roman"/>
          <w:kern w:val="0"/>
          <w:szCs w:val="21"/>
        </w:rPr>
        <w:t>&gt;50</w:t>
      </w:r>
      <w:r w:rsidRPr="00234CBF">
        <w:rPr>
          <w:rFonts w:ascii="Times New Roman" w:eastAsia="宋体" w:hAnsi="Times New Roman"/>
          <w:kern w:val="0"/>
          <w:szCs w:val="21"/>
        </w:rPr>
        <w:t>的单模要求，更在宽参数范围内获得了</w:t>
      </w:r>
      <w:r w:rsidRPr="003B0912">
        <w:rPr>
          <w:rFonts w:ascii="Times New Roman" w:eastAsia="宋体" w:hAnsi="Times New Roman"/>
          <w:i/>
          <w:iCs/>
          <w:kern w:val="0"/>
          <w:szCs w:val="21"/>
        </w:rPr>
        <w:t>R</w:t>
      </w:r>
      <w:r w:rsidRPr="00234CBF">
        <w:rPr>
          <w:rFonts w:ascii="Times New Roman" w:eastAsia="宋体" w:hAnsi="Times New Roman"/>
          <w:kern w:val="0"/>
          <w:szCs w:val="21"/>
        </w:rPr>
        <w:t>&gt;100</w:t>
      </w:r>
      <w:r w:rsidRPr="00234CBF">
        <w:rPr>
          <w:rFonts w:ascii="Times New Roman" w:eastAsia="宋体" w:hAnsi="Times New Roman"/>
          <w:kern w:val="0"/>
          <w:szCs w:val="21"/>
        </w:rPr>
        <w:t>的高阶模抑制裕度，为</w:t>
      </w:r>
      <w:r w:rsidRPr="00234CBF">
        <w:rPr>
          <w:rFonts w:ascii="Times New Roman" w:eastAsia="宋体" w:hAnsi="Times New Roman" w:hint="eastAsia"/>
          <w:kern w:val="0"/>
          <w:szCs w:val="21"/>
        </w:rPr>
        <w:t>上述</w:t>
      </w:r>
      <w:r w:rsidRPr="00234CBF">
        <w:rPr>
          <w:rFonts w:ascii="Times New Roman" w:eastAsia="宋体" w:hAnsi="Times New Roman"/>
          <w:kern w:val="0"/>
          <w:szCs w:val="21"/>
        </w:rPr>
        <w:t>耦合损耗优化提供了稳定的单模工作区间。</w:t>
      </w:r>
    </w:p>
    <w:p w14:paraId="25B0655B" w14:textId="1D4E88CD" w:rsidR="00283939" w:rsidRPr="00FB32C6" w:rsidRDefault="00D67F02" w:rsidP="000626C9">
      <w:pPr>
        <w:pStyle w:val="af4"/>
        <w:spacing w:before="0" w:beforeAutospacing="0" w:after="0" w:afterAutospacing="0"/>
        <w:jc w:val="center"/>
        <w:rPr>
          <w:noProof/>
        </w:rPr>
      </w:pPr>
      <w:r>
        <w:rPr>
          <w:noProof/>
        </w:rPr>
        <w:object w:dxaOrig="4051" w:dyaOrig="3241" w14:anchorId="68E2D6F1">
          <v:shape id="_x0000_i1037" type="#_x0000_t75" style="width:202.85pt;height:162.15pt" o:ole="">
            <v:imagedata r:id="rId32" o:title=""/>
          </v:shape>
          <o:OLEObject Type="Embed" ProgID="Visio.Drawing.15" ShapeID="_x0000_i1037" DrawAspect="Content" ObjectID="_1844942227" r:id="rId33"/>
        </w:object>
      </w:r>
    </w:p>
    <w:p w14:paraId="7B2D244E" w14:textId="77777777" w:rsidR="00283939" w:rsidRPr="00C555E9" w:rsidRDefault="00283939" w:rsidP="00F94712">
      <w:pPr>
        <w:widowControl/>
        <w:jc w:val="center"/>
        <w:rPr>
          <w:rStyle w:val="af3"/>
          <w:b/>
          <w:bCs/>
          <w:sz w:val="15"/>
          <w:szCs w:val="15"/>
        </w:rPr>
      </w:pPr>
      <w:r w:rsidRPr="00C555E9">
        <w:rPr>
          <w:rStyle w:val="af3"/>
          <w:rFonts w:hint="eastAsia"/>
          <w:b/>
          <w:bCs/>
          <w:sz w:val="15"/>
          <w:szCs w:val="15"/>
        </w:rPr>
        <w:t>图</w:t>
      </w:r>
      <w:r w:rsidRPr="00C555E9">
        <w:rPr>
          <w:rStyle w:val="af3"/>
          <w:b/>
          <w:bCs/>
          <w:sz w:val="15"/>
          <w:szCs w:val="15"/>
        </w:rPr>
        <w:t xml:space="preserve">9 </w:t>
      </w:r>
      <w:r w:rsidRPr="00C555E9">
        <w:rPr>
          <w:rStyle w:val="af3"/>
          <w:b/>
          <w:bCs/>
          <w:sz w:val="15"/>
          <w:szCs w:val="15"/>
        </w:rPr>
        <w:t>损耗最小的高阶芯模与基芯模</w:t>
      </w:r>
      <w:r w:rsidRPr="00C555E9">
        <w:rPr>
          <w:rStyle w:val="af3"/>
          <w:b/>
          <w:bCs/>
          <w:sz w:val="15"/>
          <w:szCs w:val="15"/>
        </w:rPr>
        <w:t>LP</w:t>
      </w:r>
      <w:r w:rsidRPr="00C555E9">
        <w:rPr>
          <w:rStyle w:val="af3"/>
          <w:b/>
          <w:bCs/>
          <w:sz w:val="15"/>
          <w:szCs w:val="15"/>
          <w:vertAlign w:val="subscript"/>
        </w:rPr>
        <w:t>01</w:t>
      </w:r>
      <w:r w:rsidRPr="00C555E9">
        <w:rPr>
          <w:rStyle w:val="af3"/>
          <w:b/>
          <w:bCs/>
          <w:sz w:val="15"/>
          <w:szCs w:val="15"/>
        </w:rPr>
        <w:t>的损耗比</w:t>
      </w:r>
    </w:p>
    <w:p w14:paraId="0DD6B2C9"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hint="eastAsia"/>
          <w:kern w:val="0"/>
          <w:szCs w:val="21"/>
        </w:rPr>
        <w:t>优化后的光纤参数：</w:t>
      </w:r>
      <w:r w:rsidRPr="003B0912">
        <w:rPr>
          <w:rFonts w:ascii="Times New Roman" w:eastAsia="宋体" w:hAnsi="Times New Roman" w:hint="eastAsia"/>
          <w:i/>
          <w:iCs/>
          <w:kern w:val="0"/>
          <w:szCs w:val="21"/>
        </w:rPr>
        <w:t>N</w:t>
      </w:r>
      <w:r w:rsidRPr="00234CBF">
        <w:rPr>
          <w:rFonts w:ascii="Times New Roman" w:eastAsia="宋体" w:hAnsi="Times New Roman"/>
          <w:kern w:val="0"/>
          <w:szCs w:val="21"/>
        </w:rPr>
        <w:t>=7</w:t>
      </w:r>
      <w:r w:rsidRPr="00234CBF">
        <w:rPr>
          <w:rFonts w:ascii="Times New Roman" w:eastAsia="宋体" w:hAnsi="Times New Roman" w:hint="eastAsia"/>
          <w:kern w:val="0"/>
          <w:szCs w:val="21"/>
        </w:rPr>
        <w:t>，</w:t>
      </w:r>
      <w:r w:rsidRPr="003B0912">
        <w:rPr>
          <w:rFonts w:ascii="Times New Roman" w:eastAsia="宋体" w:hAnsi="Times New Roman" w:hint="eastAsia"/>
          <w:i/>
          <w:iCs/>
          <w:kern w:val="0"/>
          <w:szCs w:val="21"/>
        </w:rPr>
        <w:t>t</w:t>
      </w:r>
      <w:r w:rsidRPr="00234CBF">
        <w:rPr>
          <w:rFonts w:ascii="Times New Roman" w:eastAsia="宋体" w:hAnsi="Times New Roman"/>
          <w:kern w:val="0"/>
          <w:szCs w:val="21"/>
        </w:rPr>
        <w:t>=360</w:t>
      </w:r>
      <w:r w:rsidRPr="00234CBF">
        <w:rPr>
          <w:rFonts w:ascii="Times New Roman" w:eastAsia="宋体" w:hAnsi="Times New Roman" w:hint="eastAsia"/>
          <w:kern w:val="0"/>
          <w:szCs w:val="21"/>
        </w:rPr>
        <w:t xml:space="preserve"> nm</w:t>
      </w:r>
      <w:r w:rsidRPr="00234CBF">
        <w:rPr>
          <w:rFonts w:ascii="Times New Roman" w:eastAsia="宋体" w:hAnsi="Times New Roman" w:hint="eastAsia"/>
          <w:kern w:val="0"/>
          <w:szCs w:val="21"/>
        </w:rPr>
        <w:t>，</w:t>
      </w:r>
      <w:r w:rsidRPr="003B0912">
        <w:rPr>
          <w:rFonts w:ascii="Times New Roman" w:eastAsia="宋体" w:hAnsi="Times New Roman" w:hint="eastAsia"/>
          <w:i/>
          <w:iCs/>
          <w:kern w:val="0"/>
          <w:szCs w:val="21"/>
        </w:rPr>
        <w:t>2a</w:t>
      </w:r>
      <w:r w:rsidRPr="00234CBF">
        <w:rPr>
          <w:rFonts w:ascii="Times New Roman" w:eastAsia="宋体" w:hAnsi="Times New Roman"/>
          <w:kern w:val="0"/>
          <w:szCs w:val="21"/>
        </w:rPr>
        <w:t>=30</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hint="eastAsia"/>
          <w:kern w:val="0"/>
          <w:szCs w:val="21"/>
        </w:rPr>
        <w:t>，</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=0.9,</w:t>
      </w:r>
      <w:r w:rsidRPr="003B0912">
        <w:rPr>
          <w:rFonts w:ascii="Times New Roman" w:eastAsia="宋体" w:hAnsi="Times New Roman"/>
          <w:i/>
          <w:iCs/>
          <w:kern w:val="0"/>
          <w:szCs w:val="21"/>
        </w:rPr>
        <w:t>d</w:t>
      </w:r>
      <w:r w:rsidRPr="00234CBF">
        <w:rPr>
          <w:rFonts w:ascii="Times New Roman" w:eastAsia="宋体" w:hAnsi="Times New Roman"/>
          <w:kern w:val="0"/>
          <w:szCs w:val="21"/>
        </w:rPr>
        <w:t>=0</w:t>
      </w:r>
      <w:r w:rsidRPr="00234CBF">
        <w:rPr>
          <w:rFonts w:ascii="Times New Roman" w:eastAsia="宋体" w:hAnsi="Times New Roman" w:hint="eastAsia"/>
          <w:kern w:val="0"/>
          <w:szCs w:val="21"/>
        </w:rPr>
        <w:t>.</w:t>
      </w:r>
      <w:r w:rsidRPr="00234CBF">
        <w:rPr>
          <w:rFonts w:ascii="Times New Roman" w:eastAsia="宋体" w:hAnsi="Times New Roman"/>
          <w:kern w:val="0"/>
          <w:szCs w:val="21"/>
        </w:rPr>
        <w:t>9</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hint="eastAsia"/>
          <w:kern w:val="0"/>
          <w:szCs w:val="21"/>
        </w:rPr>
        <w:t>。在上述条件下能够获得最佳的高阶模抑制比</w:t>
      </w:r>
      <w:r w:rsidRPr="003B0912">
        <w:rPr>
          <w:rFonts w:ascii="Times New Roman" w:eastAsia="宋体" w:hAnsi="Times New Roman" w:hint="eastAsia"/>
          <w:i/>
          <w:iCs/>
          <w:kern w:val="0"/>
          <w:szCs w:val="21"/>
        </w:rPr>
        <w:t>R</w:t>
      </w:r>
      <w:r w:rsidRPr="00234CBF">
        <w:rPr>
          <w:rFonts w:ascii="Times New Roman" w:eastAsia="宋体" w:hAnsi="Times New Roman"/>
          <w:kern w:val="0"/>
          <w:szCs w:val="21"/>
        </w:rPr>
        <w:t>&gt;250</w:t>
      </w:r>
      <w:r w:rsidRPr="00234CBF">
        <w:rPr>
          <w:rFonts w:ascii="Times New Roman" w:eastAsia="宋体" w:hAnsi="Times New Roman" w:hint="eastAsia"/>
          <w:kern w:val="0"/>
          <w:szCs w:val="21"/>
        </w:rPr>
        <w:t>，且耦合损耗低至</w:t>
      </w:r>
      <w:r w:rsidRPr="00234CBF">
        <w:rPr>
          <w:rFonts w:ascii="Times New Roman" w:eastAsia="宋体" w:hAnsi="Times New Roman"/>
          <w:kern w:val="0"/>
          <w:szCs w:val="21"/>
        </w:rPr>
        <w:t>0.069dB</w:t>
      </w:r>
      <w:r w:rsidRPr="00234CBF">
        <w:rPr>
          <w:rFonts w:ascii="Times New Roman" w:eastAsia="宋体" w:hAnsi="Times New Roman" w:hint="eastAsia"/>
          <w:kern w:val="0"/>
          <w:szCs w:val="21"/>
        </w:rPr>
        <w:t>，</w:t>
      </w:r>
      <w:r w:rsidRPr="00234CBF">
        <w:rPr>
          <w:rFonts w:ascii="Times New Roman" w:eastAsia="宋体" w:hAnsi="Times New Roman"/>
          <w:kern w:val="0"/>
          <w:szCs w:val="21"/>
        </w:rPr>
        <w:t>降幅超过</w:t>
      </w:r>
      <w:r w:rsidRPr="00234CBF">
        <w:rPr>
          <w:rFonts w:ascii="Times New Roman" w:eastAsia="宋体" w:hAnsi="Times New Roman"/>
          <w:kern w:val="0"/>
          <w:szCs w:val="21"/>
        </w:rPr>
        <w:t>40%</w:t>
      </w:r>
      <w:r w:rsidRPr="00234CBF">
        <w:rPr>
          <w:rFonts w:ascii="Times New Roman" w:eastAsia="宋体" w:hAnsi="Times New Roman" w:hint="eastAsia"/>
          <w:kern w:val="0"/>
          <w:szCs w:val="21"/>
        </w:rPr>
        <w:t>。在保证光纤耦合损耗降低的同时，兼具光纤传输时的良好单模特性。</w:t>
      </w:r>
    </w:p>
    <w:p w14:paraId="0095729C" w14:textId="77777777" w:rsidR="00283939" w:rsidRPr="00234CBF" w:rsidRDefault="00283939" w:rsidP="006A26A5">
      <w:pPr>
        <w:rPr>
          <w:rFonts w:ascii="Times New Roman" w:eastAsia="宋体" w:hAnsi="Times New Roman"/>
          <w:b/>
          <w:sz w:val="24"/>
          <w:szCs w:val="24"/>
        </w:rPr>
      </w:pPr>
      <w:r w:rsidRPr="00234CBF">
        <w:rPr>
          <w:rFonts w:ascii="Times New Roman" w:eastAsia="宋体" w:hAnsi="Times New Roman"/>
          <w:b/>
          <w:sz w:val="24"/>
          <w:szCs w:val="24"/>
        </w:rPr>
        <w:t>5</w:t>
      </w:r>
      <w:r w:rsidR="001B1789">
        <w:rPr>
          <w:rFonts w:ascii="Times New Roman" w:eastAsia="宋体" w:hAnsi="Times New Roman" w:hint="eastAsia"/>
          <w:b/>
          <w:sz w:val="24"/>
          <w:szCs w:val="24"/>
        </w:rPr>
        <w:t>结束语</w:t>
      </w:r>
    </w:p>
    <w:p w14:paraId="005A76E2" w14:textId="77777777" w:rsidR="00283939" w:rsidRPr="00234CBF" w:rsidRDefault="00283939" w:rsidP="006A26A5">
      <w:pPr>
        <w:ind w:firstLineChars="200" w:firstLine="420"/>
        <w:rPr>
          <w:rFonts w:ascii="Times New Roman" w:eastAsia="宋体" w:hAnsi="Times New Roman"/>
          <w:kern w:val="0"/>
          <w:szCs w:val="21"/>
        </w:rPr>
      </w:pPr>
      <w:r w:rsidRPr="00234CBF">
        <w:rPr>
          <w:rFonts w:ascii="Times New Roman" w:eastAsia="宋体" w:hAnsi="Times New Roman"/>
          <w:kern w:val="0"/>
          <w:szCs w:val="21"/>
        </w:rPr>
        <w:t>本文围绕</w:t>
      </w:r>
      <w:r w:rsidRPr="00234CBF">
        <w:rPr>
          <w:rFonts w:ascii="Times New Roman" w:eastAsia="宋体" w:hAnsi="Times New Roman"/>
          <w:kern w:val="0"/>
          <w:szCs w:val="21"/>
        </w:rPr>
        <w:t>SCF–GRIN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–NANF</w:t>
      </w:r>
      <w:r w:rsidRPr="00234CBF">
        <w:rPr>
          <w:rFonts w:ascii="Times New Roman" w:eastAsia="宋体" w:hAnsi="Times New Roman"/>
          <w:kern w:val="0"/>
          <w:szCs w:val="21"/>
        </w:rPr>
        <w:t>结构，针对当前</w:t>
      </w:r>
      <w:r w:rsidRPr="00234CBF">
        <w:rPr>
          <w:rFonts w:ascii="Times New Roman" w:eastAsia="宋体" w:hAnsi="Times New Roman"/>
          <w:kern w:val="0"/>
          <w:szCs w:val="21"/>
        </w:rPr>
        <w:t xml:space="preserve"> SCF–HCF</w:t>
      </w:r>
      <w:r w:rsidRPr="00234CBF">
        <w:rPr>
          <w:rFonts w:ascii="Times New Roman" w:eastAsia="宋体" w:hAnsi="Times New Roman" w:hint="eastAsia"/>
          <w:kern w:val="0"/>
          <w:szCs w:val="21"/>
        </w:rPr>
        <w:t>耦合过程中两者的电场分布不匹配及相位不同步，耦合损耗高的问题。</w:t>
      </w:r>
      <w:r w:rsidRPr="00234CBF">
        <w:rPr>
          <w:rFonts w:ascii="Times New Roman" w:eastAsia="宋体" w:hAnsi="Times New Roman"/>
          <w:kern w:val="0"/>
          <w:szCs w:val="21"/>
        </w:rPr>
        <w:t>从模场重叠积分</w:t>
      </w:r>
      <w:r w:rsidRPr="00234CBF">
        <w:rPr>
          <w:rFonts w:ascii="Times New Roman" w:eastAsia="宋体" w:hAnsi="Times New Roman" w:hint="eastAsia"/>
          <w:kern w:val="0"/>
          <w:szCs w:val="21"/>
        </w:rPr>
        <w:t>理论</w:t>
      </w:r>
      <w:r w:rsidRPr="00234CBF">
        <w:rPr>
          <w:rFonts w:ascii="Times New Roman" w:eastAsia="宋体" w:hAnsi="Times New Roman"/>
          <w:kern w:val="0"/>
          <w:szCs w:val="21"/>
        </w:rPr>
        <w:t>出发，将入射端</w:t>
      </w:r>
      <w:r w:rsidRPr="00234CBF">
        <w:rPr>
          <w:rFonts w:ascii="Times New Roman" w:eastAsia="宋体" w:hAnsi="Times New Roman" w:hint="eastAsia"/>
          <w:kern w:val="0"/>
          <w:szCs w:val="21"/>
        </w:rPr>
        <w:t>S</w:t>
      </w:r>
      <w:r w:rsidRPr="00234CBF">
        <w:rPr>
          <w:rFonts w:ascii="Times New Roman" w:eastAsia="宋体" w:hAnsi="Times New Roman"/>
          <w:kern w:val="0"/>
          <w:szCs w:val="21"/>
        </w:rPr>
        <w:t>C</w:t>
      </w:r>
      <w:r w:rsidRPr="00234CBF">
        <w:rPr>
          <w:rFonts w:ascii="Times New Roman" w:eastAsia="宋体" w:hAnsi="Times New Roman" w:hint="eastAsia"/>
          <w:kern w:val="0"/>
          <w:szCs w:val="21"/>
        </w:rPr>
        <w:t>F</w:t>
      </w:r>
      <w:r w:rsidRPr="00234CBF">
        <w:rPr>
          <w:rFonts w:ascii="Times New Roman" w:eastAsia="宋体" w:hAnsi="Times New Roman" w:hint="eastAsia"/>
          <w:kern w:val="0"/>
          <w:szCs w:val="21"/>
        </w:rPr>
        <w:t>的模场通过引入</w:t>
      </w:r>
      <w:r w:rsidRPr="00234CBF">
        <w:rPr>
          <w:rFonts w:ascii="Times New Roman" w:eastAsia="宋体" w:hAnsi="Times New Roman"/>
          <w:kern w:val="0"/>
          <w:szCs w:val="21"/>
        </w:rPr>
        <w:t>GRIN</w:t>
      </w:r>
      <w:r w:rsidRPr="00234CBF">
        <w:rPr>
          <w:rFonts w:ascii="Times New Roman" w:eastAsia="宋体" w:hAnsi="Times New Roman" w:hint="eastAsia"/>
          <w:kern w:val="0"/>
          <w:szCs w:val="21"/>
        </w:rPr>
        <w:t>光纤作为</w:t>
      </w:r>
      <w:r w:rsidRPr="00234CBF">
        <w:rPr>
          <w:rFonts w:ascii="Times New Roman" w:eastAsia="宋体" w:hAnsi="Times New Roman"/>
          <w:kern w:val="0"/>
          <w:szCs w:val="21"/>
        </w:rPr>
        <w:t>模场适配</w:t>
      </w:r>
      <w:r w:rsidRPr="00234CBF">
        <w:rPr>
          <w:rFonts w:ascii="Times New Roman" w:eastAsia="宋体" w:hAnsi="Times New Roman" w:hint="eastAsia"/>
          <w:kern w:val="0"/>
          <w:szCs w:val="21"/>
        </w:rPr>
        <w:t>器与</w:t>
      </w:r>
      <w:r w:rsidRPr="00234CBF">
        <w:rPr>
          <w:rFonts w:ascii="Times New Roman" w:eastAsia="宋体" w:hAnsi="Times New Roman" w:hint="eastAsia"/>
          <w:kern w:val="0"/>
          <w:szCs w:val="21"/>
        </w:rPr>
        <w:t>HCF</w:t>
      </w:r>
      <w:r w:rsidRPr="00234CBF">
        <w:rPr>
          <w:rFonts w:ascii="Times New Roman" w:eastAsia="宋体" w:hAnsi="Times New Roman" w:hint="eastAsia"/>
          <w:kern w:val="0"/>
          <w:szCs w:val="21"/>
        </w:rPr>
        <w:t>耦合，同时创新性的</w:t>
      </w:r>
      <w:r w:rsidRPr="00234CBF">
        <w:rPr>
          <w:rFonts w:ascii="Times New Roman" w:eastAsia="宋体" w:hAnsi="Times New Roman"/>
          <w:kern w:val="0"/>
          <w:szCs w:val="21"/>
        </w:rPr>
        <w:t>开展</w:t>
      </w:r>
      <w:r w:rsidRPr="00234CBF">
        <w:rPr>
          <w:rFonts w:ascii="Times New Roman" w:eastAsia="宋体" w:hAnsi="Times New Roman" w:hint="eastAsia"/>
          <w:kern w:val="0"/>
          <w:szCs w:val="21"/>
        </w:rPr>
        <w:t xml:space="preserve"> H</w:t>
      </w:r>
      <w:r w:rsidRPr="00234CBF">
        <w:rPr>
          <w:rFonts w:ascii="Times New Roman" w:eastAsia="宋体" w:hAnsi="Times New Roman"/>
          <w:kern w:val="0"/>
          <w:szCs w:val="21"/>
        </w:rPr>
        <w:t>CF</w:t>
      </w:r>
      <w:r w:rsidRPr="00234CBF">
        <w:rPr>
          <w:rFonts w:ascii="Times New Roman" w:eastAsia="宋体" w:hAnsi="Times New Roman"/>
          <w:kern w:val="0"/>
          <w:szCs w:val="21"/>
        </w:rPr>
        <w:t>的结构</w:t>
      </w:r>
      <w:r w:rsidRPr="00234CBF">
        <w:rPr>
          <w:rFonts w:ascii="Times New Roman" w:eastAsia="宋体" w:hAnsi="Times New Roman" w:hint="eastAsia"/>
          <w:kern w:val="0"/>
          <w:szCs w:val="21"/>
        </w:rPr>
        <w:t>优化工作，以</w:t>
      </w:r>
      <w:r w:rsidRPr="00234CBF">
        <w:rPr>
          <w:rFonts w:ascii="Times New Roman" w:eastAsia="宋体" w:hAnsi="Times New Roman" w:hint="eastAsia"/>
          <w:kern w:val="0"/>
          <w:szCs w:val="21"/>
        </w:rPr>
        <w:t>HCF</w:t>
      </w:r>
      <w:r w:rsidRPr="00234CBF">
        <w:rPr>
          <w:rFonts w:ascii="Times New Roman" w:eastAsia="宋体" w:hAnsi="Times New Roman" w:hint="eastAsia"/>
          <w:kern w:val="0"/>
          <w:szCs w:val="21"/>
        </w:rPr>
        <w:t>与</w:t>
      </w:r>
      <w:r w:rsidRPr="00234CBF">
        <w:rPr>
          <w:rFonts w:ascii="Times New Roman" w:eastAsia="宋体" w:hAnsi="Times New Roman" w:hint="eastAsia"/>
          <w:kern w:val="0"/>
          <w:szCs w:val="21"/>
        </w:rPr>
        <w:t>S</w:t>
      </w:r>
      <w:r w:rsidRPr="00234CBF">
        <w:rPr>
          <w:rFonts w:ascii="Times New Roman" w:eastAsia="宋体" w:hAnsi="Times New Roman"/>
          <w:kern w:val="0"/>
          <w:szCs w:val="21"/>
        </w:rPr>
        <w:t>C</w:t>
      </w:r>
      <w:r w:rsidRPr="00234CBF">
        <w:rPr>
          <w:rFonts w:ascii="Times New Roman" w:eastAsia="宋体" w:hAnsi="Times New Roman" w:hint="eastAsia"/>
          <w:kern w:val="0"/>
          <w:szCs w:val="21"/>
        </w:rPr>
        <w:t>F</w:t>
      </w:r>
      <w:r w:rsidRPr="00234CBF">
        <w:rPr>
          <w:rFonts w:ascii="Times New Roman" w:eastAsia="宋体" w:hAnsi="Times New Roman" w:hint="eastAsia"/>
          <w:kern w:val="0"/>
          <w:szCs w:val="21"/>
        </w:rPr>
        <w:t>的电场分布匹配及相位同步为目标，降低</w:t>
      </w:r>
      <w:r w:rsidRPr="00234CBF">
        <w:rPr>
          <w:rFonts w:ascii="Times New Roman" w:eastAsia="宋体" w:hAnsi="Times New Roman"/>
          <w:kern w:val="0"/>
          <w:szCs w:val="21"/>
        </w:rPr>
        <w:t>SCF–HCF</w:t>
      </w:r>
      <w:r w:rsidRPr="00234CBF">
        <w:rPr>
          <w:rFonts w:ascii="Times New Roman" w:eastAsia="宋体" w:hAnsi="Times New Roman" w:hint="eastAsia"/>
          <w:kern w:val="0"/>
          <w:szCs w:val="21"/>
        </w:rPr>
        <w:t>的耦合损耗。</w:t>
      </w:r>
    </w:p>
    <w:p w14:paraId="298F7606" w14:textId="77777777" w:rsidR="00283939" w:rsidRPr="005B03A8" w:rsidRDefault="00283939" w:rsidP="006A26A5">
      <w:pPr>
        <w:ind w:firstLineChars="200" w:firstLine="420"/>
        <w:rPr>
          <w:rFonts w:ascii="Times New Roman" w:hAnsi="Times New Roman"/>
          <w:szCs w:val="21"/>
        </w:rPr>
      </w:pPr>
      <w:r w:rsidRPr="00234CBF">
        <w:rPr>
          <w:rFonts w:ascii="Times New Roman" w:eastAsia="宋体" w:hAnsi="Times New Roman" w:hint="eastAsia"/>
          <w:kern w:val="0"/>
          <w:szCs w:val="21"/>
        </w:rPr>
        <w:t>首先，</w:t>
      </w:r>
      <w:r w:rsidRPr="00234CBF">
        <w:rPr>
          <w:rFonts w:ascii="Times New Roman" w:eastAsia="宋体" w:hAnsi="Times New Roman"/>
          <w:kern w:val="0"/>
          <w:szCs w:val="21"/>
        </w:rPr>
        <w:t>通过选取合适芯径与长度的</w:t>
      </w:r>
      <w:r w:rsidRPr="00234CBF">
        <w:rPr>
          <w:rFonts w:ascii="Times New Roman" w:eastAsia="宋体" w:hAnsi="Times New Roman"/>
          <w:kern w:val="0"/>
          <w:szCs w:val="21"/>
        </w:rPr>
        <w:t>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，实现</w:t>
      </w:r>
      <w:r w:rsidRPr="00234CBF">
        <w:rPr>
          <w:rFonts w:ascii="Times New Roman" w:eastAsia="宋体" w:hAnsi="Times New Roman"/>
          <w:kern w:val="0"/>
          <w:szCs w:val="21"/>
        </w:rPr>
        <w:t>SCF</w:t>
      </w:r>
      <w:r w:rsidRPr="00234CBF">
        <w:rPr>
          <w:rFonts w:ascii="Times New Roman" w:eastAsia="宋体" w:hAnsi="Times New Roman"/>
          <w:kern w:val="0"/>
          <w:szCs w:val="21"/>
        </w:rPr>
        <w:t>输出模场直径在</w:t>
      </w:r>
      <w:r w:rsidRPr="00234CBF">
        <w:rPr>
          <w:rFonts w:ascii="Times New Roman" w:eastAsia="宋体" w:hAnsi="Times New Roman"/>
          <w:kern w:val="0"/>
          <w:szCs w:val="21"/>
        </w:rPr>
        <w:t>7.5</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hint="eastAsia"/>
          <w:kern w:val="0"/>
          <w:szCs w:val="21"/>
        </w:rPr>
        <w:t>至</w:t>
      </w:r>
      <w:r w:rsidRPr="00234CBF">
        <w:rPr>
          <w:rFonts w:ascii="Times New Roman" w:eastAsia="宋体" w:hAnsi="Times New Roman"/>
          <w:kern w:val="0"/>
          <w:szCs w:val="21"/>
        </w:rPr>
        <w:t>数十微米范围内的连续可调，为不同芯径</w:t>
      </w:r>
      <w:r w:rsidRPr="00234CBF">
        <w:rPr>
          <w:rFonts w:ascii="Times New Roman" w:eastAsia="宋体" w:hAnsi="Times New Roman" w:hint="eastAsia"/>
          <w:kern w:val="0"/>
          <w:szCs w:val="21"/>
        </w:rPr>
        <w:t>HCF</w:t>
      </w:r>
      <w:r w:rsidRPr="00234CBF">
        <w:rPr>
          <w:rFonts w:ascii="Times New Roman" w:eastAsia="宋体" w:hAnsi="Times New Roman"/>
          <w:kern w:val="0"/>
          <w:szCs w:val="21"/>
        </w:rPr>
        <w:t>提供了可重构的尺寸匹配通道；</w:t>
      </w:r>
      <w:r w:rsidRPr="00234CBF">
        <w:rPr>
          <w:rFonts w:ascii="Times New Roman" w:eastAsia="宋体" w:hAnsi="Times New Roman" w:hint="eastAsia"/>
          <w:kern w:val="0"/>
          <w:szCs w:val="21"/>
        </w:rPr>
        <w:t>然后</w:t>
      </w:r>
      <w:r w:rsidRPr="00234CBF">
        <w:rPr>
          <w:rFonts w:ascii="Times New Roman" w:eastAsia="宋体" w:hAnsi="Times New Roman"/>
          <w:kern w:val="0"/>
          <w:szCs w:val="21"/>
        </w:rPr>
        <w:t>以</w:t>
      </w:r>
      <w:r w:rsidRPr="00234CBF">
        <w:rPr>
          <w:rFonts w:ascii="Times New Roman" w:eastAsia="宋体" w:hAnsi="Times New Roman" w:hint="eastAsia"/>
          <w:kern w:val="0"/>
          <w:szCs w:val="21"/>
        </w:rPr>
        <w:t>五</w:t>
      </w:r>
      <w:r w:rsidRPr="00234CBF">
        <w:rPr>
          <w:rFonts w:ascii="Times New Roman" w:eastAsia="宋体" w:hAnsi="Times New Roman"/>
          <w:kern w:val="0"/>
          <w:szCs w:val="21"/>
        </w:rPr>
        <w:t>管结构</w:t>
      </w:r>
      <w:r w:rsidRPr="00234CBF">
        <w:rPr>
          <w:rFonts w:ascii="Times New Roman" w:eastAsia="宋体" w:hAnsi="Times New Roman" w:hint="eastAsia"/>
          <w:kern w:val="0"/>
          <w:szCs w:val="21"/>
        </w:rPr>
        <w:t>的</w:t>
      </w:r>
      <w:r w:rsidRPr="00234CBF">
        <w:rPr>
          <w:rFonts w:ascii="Times New Roman" w:eastAsia="宋体" w:hAnsi="Times New Roman" w:hint="eastAsia"/>
          <w:kern w:val="0"/>
          <w:szCs w:val="21"/>
        </w:rPr>
        <w:t>NANF</w:t>
      </w:r>
      <w:r w:rsidRPr="00234CBF">
        <w:rPr>
          <w:rFonts w:ascii="Times New Roman" w:eastAsia="宋体" w:hAnsi="Times New Roman"/>
          <w:kern w:val="0"/>
          <w:szCs w:val="21"/>
        </w:rPr>
        <w:t>为基础，</w:t>
      </w:r>
      <w:r w:rsidRPr="00234CBF">
        <w:rPr>
          <w:rFonts w:ascii="Times New Roman" w:eastAsia="宋体" w:hAnsi="Times New Roman" w:hint="eastAsia"/>
          <w:kern w:val="0"/>
          <w:szCs w:val="21"/>
        </w:rPr>
        <w:t>采用有限元的分析方法</w:t>
      </w:r>
      <w:r w:rsidRPr="00234CBF">
        <w:rPr>
          <w:rFonts w:ascii="Times New Roman" w:eastAsia="宋体" w:hAnsi="Times New Roman"/>
          <w:kern w:val="0"/>
          <w:szCs w:val="21"/>
        </w:rPr>
        <w:t>系统</w:t>
      </w:r>
      <w:r w:rsidRPr="00234CBF">
        <w:rPr>
          <w:rFonts w:ascii="Times New Roman" w:eastAsia="宋体" w:hAnsi="Times New Roman" w:hint="eastAsia"/>
          <w:kern w:val="0"/>
          <w:szCs w:val="21"/>
        </w:rPr>
        <w:t>研究其</w:t>
      </w:r>
      <w:r w:rsidRPr="00234CBF">
        <w:rPr>
          <w:rFonts w:ascii="Times New Roman" w:eastAsia="宋体" w:hAnsi="Times New Roman"/>
          <w:kern w:val="0"/>
          <w:szCs w:val="21"/>
        </w:rPr>
        <w:t>包层管数</w:t>
      </w:r>
      <w:r w:rsidRPr="003B0912">
        <w:rPr>
          <w:rFonts w:ascii="Times New Roman" w:eastAsia="宋体" w:hAnsi="Times New Roman"/>
          <w:i/>
          <w:iCs/>
          <w:kern w:val="0"/>
          <w:szCs w:val="21"/>
        </w:rPr>
        <w:t>N</w:t>
      </w:r>
      <w:r w:rsidRPr="00234CBF">
        <w:rPr>
          <w:rFonts w:ascii="Times New Roman" w:eastAsia="宋体" w:hAnsi="Times New Roman"/>
          <w:kern w:val="0"/>
          <w:szCs w:val="21"/>
        </w:rPr>
        <w:t>、管间隙</w:t>
      </w:r>
      <w:r w:rsidRPr="003B0912">
        <w:rPr>
          <w:rFonts w:ascii="Times New Roman" w:eastAsia="宋体" w:hAnsi="Times New Roman"/>
          <w:i/>
          <w:iCs/>
          <w:kern w:val="0"/>
          <w:szCs w:val="21"/>
        </w:rPr>
        <w:t>d</w:t>
      </w:r>
      <w:r w:rsidRPr="00234CBF">
        <w:rPr>
          <w:rFonts w:ascii="Times New Roman" w:eastAsia="宋体" w:hAnsi="Times New Roman"/>
          <w:kern w:val="0"/>
          <w:szCs w:val="21"/>
        </w:rPr>
        <w:t>及大小管径比</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对管模与高阶模有效折射率以及基模电场分布</w:t>
      </w:r>
      <w:r w:rsidRPr="00234CBF">
        <w:rPr>
          <w:rFonts w:ascii="Times New Roman" w:eastAsia="宋体" w:hAnsi="Times New Roman" w:hint="eastAsia"/>
          <w:kern w:val="0"/>
          <w:szCs w:val="21"/>
        </w:rPr>
        <w:t>和相位</w:t>
      </w:r>
      <w:r w:rsidRPr="00234CBF">
        <w:rPr>
          <w:rFonts w:ascii="Times New Roman" w:eastAsia="宋体" w:hAnsi="Times New Roman"/>
          <w:kern w:val="0"/>
          <w:szCs w:val="21"/>
        </w:rPr>
        <w:t>的影响</w:t>
      </w:r>
      <w:r w:rsidRPr="00234CBF">
        <w:rPr>
          <w:rFonts w:ascii="Times New Roman" w:eastAsia="宋体" w:hAnsi="Times New Roman" w:hint="eastAsia"/>
          <w:kern w:val="0"/>
          <w:szCs w:val="21"/>
        </w:rPr>
        <w:t>，从而降低</w:t>
      </w:r>
      <w:r w:rsidRPr="00234CBF">
        <w:rPr>
          <w:rFonts w:ascii="Times New Roman" w:eastAsia="宋体" w:hAnsi="Times New Roman" w:hint="eastAsia"/>
          <w:kern w:val="0"/>
          <w:szCs w:val="21"/>
        </w:rPr>
        <w:t>S</w:t>
      </w:r>
      <w:r w:rsidRPr="00234CBF">
        <w:rPr>
          <w:rFonts w:ascii="Times New Roman" w:eastAsia="宋体" w:hAnsi="Times New Roman"/>
          <w:kern w:val="0"/>
          <w:szCs w:val="21"/>
        </w:rPr>
        <w:t>C</w:t>
      </w:r>
      <w:r w:rsidRPr="00234CBF">
        <w:rPr>
          <w:rFonts w:ascii="Times New Roman" w:eastAsia="宋体" w:hAnsi="Times New Roman" w:hint="eastAsia"/>
          <w:kern w:val="0"/>
          <w:szCs w:val="21"/>
        </w:rPr>
        <w:t>F</w:t>
      </w:r>
      <w:r w:rsidRPr="00234CBF">
        <w:rPr>
          <w:rFonts w:ascii="Times New Roman" w:eastAsia="宋体" w:hAnsi="Times New Roman" w:hint="eastAsia"/>
          <w:kern w:val="0"/>
          <w:szCs w:val="21"/>
        </w:rPr>
        <w:t>与</w:t>
      </w:r>
      <w:r w:rsidRPr="00234CBF">
        <w:rPr>
          <w:rFonts w:ascii="Times New Roman" w:eastAsia="宋体" w:hAnsi="Times New Roman" w:hint="eastAsia"/>
          <w:kern w:val="0"/>
          <w:szCs w:val="21"/>
        </w:rPr>
        <w:t>HCF</w:t>
      </w:r>
      <w:r w:rsidRPr="00234CBF">
        <w:rPr>
          <w:rFonts w:ascii="Times New Roman" w:eastAsia="宋体" w:hAnsi="Times New Roman" w:hint="eastAsia"/>
          <w:kern w:val="0"/>
          <w:szCs w:val="21"/>
        </w:rPr>
        <w:t>的耦合损耗且保持</w:t>
      </w:r>
      <w:r w:rsidRPr="00234CBF">
        <w:rPr>
          <w:rFonts w:ascii="Times New Roman" w:eastAsia="宋体" w:hAnsi="Times New Roman" w:hint="eastAsia"/>
          <w:kern w:val="0"/>
          <w:szCs w:val="21"/>
        </w:rPr>
        <w:t>HCF</w:t>
      </w:r>
      <w:r w:rsidRPr="00234CBF">
        <w:rPr>
          <w:rFonts w:ascii="Times New Roman" w:eastAsia="宋体" w:hAnsi="Times New Roman" w:hint="eastAsia"/>
          <w:kern w:val="0"/>
          <w:szCs w:val="21"/>
        </w:rPr>
        <w:t>具有良好的单模特性。结果显示，耦合损耗随着</w:t>
      </w:r>
      <w:r w:rsidRPr="003B0912">
        <w:rPr>
          <w:rFonts w:ascii="Times New Roman" w:eastAsia="宋体" w:hAnsi="Times New Roman" w:hint="eastAsia"/>
          <w:i/>
          <w:iCs/>
          <w:kern w:val="0"/>
          <w:szCs w:val="21"/>
        </w:rPr>
        <w:t>N</w:t>
      </w:r>
      <w:r w:rsidRPr="00234CBF">
        <w:rPr>
          <w:rFonts w:ascii="Times New Roman" w:eastAsia="宋体" w:hAnsi="Times New Roman" w:hint="eastAsia"/>
          <w:kern w:val="0"/>
          <w:szCs w:val="21"/>
        </w:rPr>
        <w:t>、</w:t>
      </w:r>
      <w:r w:rsidRPr="003B0912">
        <w:rPr>
          <w:rFonts w:ascii="Times New Roman" w:eastAsia="宋体" w:hAnsi="Times New Roman" w:hint="eastAsia"/>
          <w:i/>
          <w:iCs/>
          <w:kern w:val="0"/>
          <w:szCs w:val="21"/>
        </w:rPr>
        <w:t>d</w:t>
      </w:r>
      <w:r w:rsidRPr="00234CBF">
        <w:rPr>
          <w:rFonts w:ascii="Times New Roman" w:eastAsia="宋体" w:hAnsi="Times New Roman" w:hint="eastAsia"/>
          <w:kern w:val="0"/>
          <w:szCs w:val="21"/>
        </w:rPr>
        <w:t>和</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hint="eastAsia"/>
          <w:kern w:val="0"/>
          <w:szCs w:val="21"/>
        </w:rPr>
        <w:t>的增加而降低，当</w:t>
      </w:r>
      <w:r w:rsidRPr="003B0912">
        <w:rPr>
          <w:rFonts w:ascii="Times New Roman" w:eastAsia="宋体" w:hAnsi="Times New Roman"/>
          <w:i/>
          <w:iCs/>
          <w:kern w:val="0"/>
          <w:szCs w:val="21"/>
        </w:rPr>
        <w:t>N</w:t>
      </w:r>
      <w:r w:rsidRPr="00234CBF">
        <w:rPr>
          <w:rFonts w:ascii="Times New Roman" w:eastAsia="宋体" w:hAnsi="Times New Roman"/>
          <w:kern w:val="0"/>
          <w:szCs w:val="21"/>
        </w:rPr>
        <w:t>=7</w:t>
      </w:r>
      <w:r w:rsidRPr="00234CBF">
        <w:rPr>
          <w:rFonts w:ascii="Times New Roman" w:eastAsia="宋体" w:hAnsi="Times New Roman"/>
          <w:kern w:val="0"/>
          <w:szCs w:val="21"/>
        </w:rPr>
        <w:t>、</w:t>
      </w:r>
      <w:r w:rsidR="003B0912" w:rsidRPr="00F64E20">
        <w:rPr>
          <w:rFonts w:ascii="Times New Roman" w:eastAsia="宋体" w:hAnsi="Times New Roman"/>
          <w:i/>
          <w:iCs/>
          <w:kern w:val="0"/>
          <w:szCs w:val="21"/>
        </w:rPr>
        <w:t>D</w:t>
      </w:r>
      <w:r w:rsidR="003B0912" w:rsidRPr="00F64E20">
        <w:rPr>
          <w:rFonts w:ascii="Times New Roman" w:eastAsia="宋体" w:hAnsi="Times New Roman"/>
          <w:i/>
          <w:iCs/>
          <w:kern w:val="0"/>
          <w:szCs w:val="21"/>
          <w:vertAlign w:val="subscript"/>
        </w:rPr>
        <w:t>1</w:t>
      </w:r>
      <w:r w:rsidR="003B0912" w:rsidRPr="00F64E20">
        <w:rPr>
          <w:rFonts w:ascii="Times New Roman" w:eastAsia="宋体" w:hAnsi="Times New Roman"/>
          <w:i/>
          <w:iCs/>
          <w:kern w:val="0"/>
          <w:szCs w:val="21"/>
        </w:rPr>
        <w:t>/D</w:t>
      </w:r>
      <w:r w:rsidRPr="00234CBF">
        <w:rPr>
          <w:rFonts w:ascii="Times New Roman" w:eastAsia="宋体" w:hAnsi="Times New Roman"/>
          <w:kern w:val="0"/>
          <w:szCs w:val="21"/>
        </w:rPr>
        <w:t>=0.9</w:t>
      </w:r>
      <w:r w:rsidRPr="00234CBF">
        <w:rPr>
          <w:rFonts w:ascii="Times New Roman" w:eastAsia="宋体" w:hAnsi="Times New Roman"/>
          <w:kern w:val="0"/>
          <w:szCs w:val="21"/>
        </w:rPr>
        <w:t>、</w:t>
      </w:r>
      <w:r w:rsidRPr="003B0912">
        <w:rPr>
          <w:rFonts w:ascii="Times New Roman" w:eastAsia="宋体" w:hAnsi="Times New Roman"/>
          <w:i/>
          <w:iCs/>
          <w:kern w:val="0"/>
          <w:szCs w:val="21"/>
        </w:rPr>
        <w:t>d</w:t>
      </w:r>
      <w:r w:rsidRPr="00234CBF">
        <w:rPr>
          <w:rFonts w:ascii="Times New Roman" w:eastAsia="宋体" w:hAnsi="Times New Roman"/>
          <w:kern w:val="0"/>
          <w:szCs w:val="21"/>
        </w:rPr>
        <w:t>=0.9</w:t>
      </w:r>
      <w:r w:rsidRPr="00234CBF">
        <w:rPr>
          <w:rFonts w:ascii="Times New Roman" w:eastAsia="宋体" w:hAnsi="Times New Roman" w:hint="eastAsia"/>
          <w:kern w:val="0"/>
          <w:szCs w:val="21"/>
        </w:rPr>
        <w:t xml:space="preserve"> </w:t>
      </w:r>
      <w:r w:rsidRPr="00234CBF">
        <w:rPr>
          <w:rFonts w:ascii="Times New Roman" w:eastAsia="宋体" w:hAnsi="Times New Roman"/>
          <w:kern w:val="0"/>
          <w:szCs w:val="21"/>
        </w:rPr>
        <w:t>μm</w:t>
      </w:r>
      <w:r w:rsidRPr="00234CBF">
        <w:rPr>
          <w:rFonts w:ascii="Times New Roman" w:eastAsia="宋体" w:hAnsi="Times New Roman" w:hint="eastAsia"/>
          <w:kern w:val="0"/>
          <w:szCs w:val="21"/>
        </w:rPr>
        <w:t>时</w:t>
      </w:r>
      <w:r w:rsidRPr="00234CBF">
        <w:rPr>
          <w:rFonts w:ascii="Times New Roman" w:eastAsia="宋体" w:hAnsi="Times New Roman"/>
          <w:kern w:val="0"/>
          <w:szCs w:val="21"/>
        </w:rPr>
        <w:t>，</w:t>
      </w:r>
      <w:r w:rsidRPr="00234CBF">
        <w:rPr>
          <w:rFonts w:ascii="Times New Roman" w:eastAsia="宋体" w:hAnsi="Times New Roman"/>
          <w:kern w:val="0"/>
          <w:szCs w:val="21"/>
        </w:rPr>
        <w:t>SCF</w:t>
      </w:r>
      <w:r w:rsidRPr="00234CBF">
        <w:rPr>
          <w:rFonts w:ascii="Times New Roman" w:eastAsia="宋体" w:hAnsi="Times New Roman"/>
          <w:kern w:val="0"/>
          <w:szCs w:val="21"/>
        </w:rPr>
        <w:t>与</w:t>
      </w:r>
      <w:r w:rsidRPr="00234CBF">
        <w:rPr>
          <w:rFonts w:ascii="Times New Roman" w:eastAsia="宋体" w:hAnsi="Times New Roman"/>
          <w:kern w:val="0"/>
          <w:szCs w:val="21"/>
        </w:rPr>
        <w:t>NANF</w:t>
      </w:r>
      <w:r w:rsidRPr="00234CBF">
        <w:rPr>
          <w:rFonts w:ascii="Times New Roman" w:eastAsia="宋体" w:hAnsi="Times New Roman"/>
          <w:kern w:val="0"/>
          <w:szCs w:val="21"/>
        </w:rPr>
        <w:t>之间的耦合损耗由</w:t>
      </w:r>
      <w:r w:rsidRPr="00234CBF">
        <w:rPr>
          <w:rFonts w:ascii="Times New Roman" w:eastAsia="宋体" w:hAnsi="Times New Roman"/>
          <w:kern w:val="0"/>
          <w:szCs w:val="21"/>
        </w:rPr>
        <w:t>0.116 dB</w:t>
      </w:r>
      <w:r w:rsidRPr="00234CBF">
        <w:rPr>
          <w:rFonts w:ascii="Times New Roman" w:eastAsia="宋体" w:hAnsi="Times New Roman"/>
          <w:kern w:val="0"/>
          <w:szCs w:val="21"/>
        </w:rPr>
        <w:t>降低至</w:t>
      </w:r>
      <w:r w:rsidRPr="00234CBF">
        <w:rPr>
          <w:rFonts w:ascii="Times New Roman" w:eastAsia="宋体" w:hAnsi="Times New Roman"/>
          <w:kern w:val="0"/>
          <w:szCs w:val="21"/>
        </w:rPr>
        <w:t>0.069 dB</w:t>
      </w:r>
      <w:r w:rsidRPr="00234CBF">
        <w:rPr>
          <w:rFonts w:ascii="Times New Roman" w:eastAsia="宋体" w:hAnsi="Times New Roman"/>
          <w:kern w:val="0"/>
          <w:szCs w:val="21"/>
        </w:rPr>
        <w:t>，降幅超过</w:t>
      </w:r>
      <w:r w:rsidRPr="00234CBF">
        <w:rPr>
          <w:rFonts w:ascii="Times New Roman" w:eastAsia="宋体" w:hAnsi="Times New Roman"/>
          <w:kern w:val="0"/>
          <w:szCs w:val="21"/>
        </w:rPr>
        <w:t>40%</w:t>
      </w:r>
      <w:r w:rsidRPr="00234CBF">
        <w:rPr>
          <w:rFonts w:ascii="Times New Roman" w:eastAsia="宋体" w:hAnsi="Times New Roman"/>
          <w:kern w:val="0"/>
          <w:szCs w:val="21"/>
        </w:rPr>
        <w:t>，高阶模抑制比可达</w:t>
      </w:r>
      <w:r w:rsidRPr="00234CBF">
        <w:rPr>
          <w:rFonts w:ascii="Times New Roman" w:eastAsia="宋体" w:hAnsi="Times New Roman"/>
          <w:kern w:val="0"/>
          <w:szCs w:val="21"/>
        </w:rPr>
        <w:t>(</w:t>
      </w:r>
      <w:r w:rsidRPr="003B0912">
        <w:rPr>
          <w:rFonts w:ascii="Times New Roman" w:eastAsia="宋体" w:hAnsi="Times New Roman"/>
          <w:i/>
          <w:iCs/>
          <w:kern w:val="0"/>
          <w:szCs w:val="21"/>
        </w:rPr>
        <w:t>R</w:t>
      </w:r>
      <w:r w:rsidRPr="00234CBF">
        <w:rPr>
          <w:rFonts w:ascii="Times New Roman" w:eastAsia="宋体" w:hAnsi="Times New Roman"/>
          <w:kern w:val="0"/>
          <w:szCs w:val="21"/>
        </w:rPr>
        <w:t>&gt;250)</w:t>
      </w:r>
      <w:r w:rsidRPr="00234CBF">
        <w:rPr>
          <w:rFonts w:ascii="Times New Roman" w:eastAsia="宋体" w:hAnsi="Times New Roman"/>
          <w:kern w:val="0"/>
          <w:szCs w:val="21"/>
        </w:rPr>
        <w:t>，</w:t>
      </w:r>
      <w:r w:rsidRPr="00234CBF">
        <w:rPr>
          <w:rFonts w:ascii="Times New Roman" w:eastAsia="宋体" w:hAnsi="Times New Roman" w:hint="eastAsia"/>
          <w:kern w:val="0"/>
          <w:szCs w:val="21"/>
        </w:rPr>
        <w:t>且</w:t>
      </w:r>
      <w:r w:rsidRPr="00234CBF">
        <w:rPr>
          <w:rFonts w:ascii="Times New Roman" w:eastAsia="宋体" w:hAnsi="Times New Roman"/>
          <w:kern w:val="0"/>
          <w:szCs w:val="21"/>
        </w:rPr>
        <w:t>在</w:t>
      </w:r>
      <w:r w:rsidRPr="003B0912">
        <w:rPr>
          <w:rFonts w:ascii="Times New Roman" w:eastAsia="宋体" w:hAnsi="Times New Roman" w:hint="eastAsia"/>
          <w:i/>
          <w:iCs/>
          <w:kern w:val="0"/>
          <w:szCs w:val="21"/>
        </w:rPr>
        <w:t>d</w:t>
      </w:r>
      <w:r w:rsidRPr="00234CBF">
        <w:rPr>
          <w:rFonts w:ascii="Times New Roman" w:eastAsia="宋体" w:hAnsi="Times New Roman" w:hint="eastAsia"/>
          <w:kern w:val="0"/>
          <w:szCs w:val="21"/>
        </w:rPr>
        <w:t xml:space="preserve">=0.5~1.5 </w:t>
      </w:r>
      <w:r w:rsidRPr="00234CBF">
        <w:rPr>
          <w:rFonts w:ascii="Times New Roman" w:eastAsia="宋体" w:hAnsi="Times New Roman"/>
          <w:kern w:val="0"/>
          <w:szCs w:val="21"/>
        </w:rPr>
        <w:t>μm</w:t>
      </w:r>
      <w:r w:rsidRPr="00234CBF">
        <w:rPr>
          <w:rFonts w:ascii="Times New Roman" w:eastAsia="宋体" w:hAnsi="Times New Roman" w:hint="eastAsia"/>
          <w:kern w:val="0"/>
          <w:szCs w:val="21"/>
        </w:rPr>
        <w:t>的裕度范围</w:t>
      </w:r>
      <w:r w:rsidRPr="00234CBF">
        <w:rPr>
          <w:rFonts w:ascii="Times New Roman" w:eastAsia="宋体" w:hAnsi="Times New Roman"/>
          <w:kern w:val="0"/>
          <w:szCs w:val="21"/>
        </w:rPr>
        <w:t>内</w:t>
      </w:r>
      <w:r w:rsidRPr="00234CBF">
        <w:rPr>
          <w:rFonts w:ascii="Times New Roman" w:eastAsia="宋体" w:hAnsi="Times New Roman" w:hint="eastAsia"/>
          <w:kern w:val="0"/>
          <w:szCs w:val="21"/>
        </w:rPr>
        <w:t>均</w:t>
      </w:r>
      <w:r w:rsidRPr="00234CBF">
        <w:rPr>
          <w:rFonts w:ascii="Times New Roman" w:eastAsia="宋体" w:hAnsi="Times New Roman"/>
          <w:kern w:val="0"/>
          <w:szCs w:val="21"/>
        </w:rPr>
        <w:t>保持</w:t>
      </w:r>
      <w:r w:rsidRPr="00234CBF">
        <w:rPr>
          <w:rFonts w:ascii="Times New Roman" w:eastAsia="宋体" w:hAnsi="Times New Roman"/>
          <w:kern w:val="0"/>
          <w:szCs w:val="21"/>
        </w:rPr>
        <w:t>(R&gt;</w:t>
      </w:r>
      <w:r w:rsidRPr="00234CBF">
        <w:rPr>
          <w:rFonts w:ascii="Times New Roman" w:eastAsia="宋体" w:hAnsi="Times New Roman" w:hint="eastAsia"/>
          <w:kern w:val="0"/>
          <w:szCs w:val="21"/>
        </w:rPr>
        <w:t>50</w:t>
      </w:r>
      <w:r w:rsidRPr="00234CBF">
        <w:rPr>
          <w:rFonts w:ascii="Times New Roman" w:eastAsia="宋体" w:hAnsi="Times New Roman"/>
          <w:kern w:val="0"/>
          <w:szCs w:val="21"/>
        </w:rPr>
        <w:t>)</w:t>
      </w:r>
      <w:r w:rsidRPr="00234CBF">
        <w:rPr>
          <w:rFonts w:ascii="Times New Roman" w:eastAsia="宋体" w:hAnsi="Times New Roman"/>
          <w:kern w:val="0"/>
          <w:szCs w:val="21"/>
        </w:rPr>
        <w:t>的单模</w:t>
      </w:r>
      <w:r w:rsidRPr="00234CBF">
        <w:rPr>
          <w:rFonts w:ascii="Times New Roman" w:eastAsia="宋体" w:hAnsi="Times New Roman" w:hint="eastAsia"/>
          <w:kern w:val="0"/>
          <w:szCs w:val="21"/>
        </w:rPr>
        <w:t>特性</w:t>
      </w:r>
      <w:r w:rsidRPr="00234CBF">
        <w:rPr>
          <w:rFonts w:ascii="Times New Roman" w:eastAsia="宋体" w:hAnsi="Times New Roman"/>
          <w:kern w:val="0"/>
          <w:szCs w:val="21"/>
        </w:rPr>
        <w:t>，有效解决了</w:t>
      </w:r>
      <w:r w:rsidRPr="00234CBF">
        <w:rPr>
          <w:rFonts w:ascii="Times New Roman" w:eastAsia="宋体" w:hAnsi="Times New Roman" w:hint="eastAsia"/>
          <w:kern w:val="0"/>
          <w:szCs w:val="21"/>
        </w:rPr>
        <w:t>S</w:t>
      </w:r>
      <w:r w:rsidRPr="00234CBF">
        <w:rPr>
          <w:rFonts w:ascii="Times New Roman" w:eastAsia="宋体" w:hAnsi="Times New Roman"/>
          <w:kern w:val="0"/>
          <w:szCs w:val="21"/>
        </w:rPr>
        <w:t>C</w:t>
      </w:r>
      <w:r w:rsidRPr="00234CBF">
        <w:rPr>
          <w:rFonts w:ascii="Times New Roman" w:eastAsia="宋体" w:hAnsi="Times New Roman" w:hint="eastAsia"/>
          <w:kern w:val="0"/>
          <w:szCs w:val="21"/>
        </w:rPr>
        <w:t>F</w:t>
      </w:r>
      <w:r w:rsidRPr="00234CBF">
        <w:rPr>
          <w:rFonts w:ascii="Times New Roman" w:eastAsia="宋体" w:hAnsi="Times New Roman" w:hint="eastAsia"/>
          <w:kern w:val="0"/>
          <w:szCs w:val="21"/>
        </w:rPr>
        <w:t>和</w:t>
      </w:r>
      <w:r w:rsidRPr="00234CBF">
        <w:rPr>
          <w:rFonts w:ascii="Times New Roman" w:eastAsia="宋体" w:hAnsi="Times New Roman" w:hint="eastAsia"/>
          <w:kern w:val="0"/>
          <w:szCs w:val="21"/>
        </w:rPr>
        <w:t>HCF</w:t>
      </w:r>
      <w:r w:rsidRPr="00234CBF">
        <w:rPr>
          <w:rFonts w:ascii="Times New Roman" w:eastAsia="宋体" w:hAnsi="Times New Roman"/>
          <w:kern w:val="0"/>
          <w:szCs w:val="21"/>
        </w:rPr>
        <w:t>耦合</w:t>
      </w:r>
      <w:r w:rsidRPr="00234CBF">
        <w:rPr>
          <w:rFonts w:ascii="Times New Roman" w:eastAsia="宋体" w:hAnsi="Times New Roman" w:hint="eastAsia"/>
          <w:kern w:val="0"/>
          <w:szCs w:val="21"/>
        </w:rPr>
        <w:t>损耗</w:t>
      </w:r>
      <w:r w:rsidRPr="00234CBF">
        <w:rPr>
          <w:rFonts w:ascii="Times New Roman" w:eastAsia="宋体" w:hAnsi="Times New Roman"/>
          <w:kern w:val="0"/>
          <w:szCs w:val="21"/>
        </w:rPr>
        <w:t>与单模性能难以兼顾的矛盾。</w:t>
      </w:r>
      <w:r w:rsidRPr="00234CBF">
        <w:rPr>
          <w:rFonts w:ascii="Times New Roman" w:eastAsia="宋体" w:hAnsi="Times New Roman" w:hint="eastAsia"/>
          <w:kern w:val="0"/>
          <w:szCs w:val="21"/>
        </w:rPr>
        <w:t>然而</w:t>
      </w:r>
      <w:r w:rsidRPr="00234CBF">
        <w:rPr>
          <w:rFonts w:ascii="Times New Roman" w:eastAsia="宋体" w:hAnsi="Times New Roman"/>
          <w:kern w:val="0"/>
          <w:szCs w:val="21"/>
        </w:rPr>
        <w:t>，本文结果仍基于单波长、理想对准与理想折射率分布下的数值分析，尚未充分纳入制备误差、弯曲与环境扰动等因素的影响，后续将结合实验制备与容差分析，对</w:t>
      </w:r>
      <w:r w:rsidRPr="00234CBF">
        <w:rPr>
          <w:rFonts w:ascii="Times New Roman" w:eastAsia="宋体" w:hAnsi="Times New Roman"/>
          <w:kern w:val="0"/>
          <w:szCs w:val="21"/>
        </w:rPr>
        <w:t>SCF–GRIN</w:t>
      </w:r>
      <w:r w:rsidRPr="00234CBF">
        <w:rPr>
          <w:rFonts w:ascii="Times New Roman" w:eastAsia="宋体" w:hAnsi="Times New Roman" w:hint="eastAsia"/>
          <w:kern w:val="0"/>
          <w:szCs w:val="21"/>
        </w:rPr>
        <w:t>光纤</w:t>
      </w:r>
      <w:r w:rsidRPr="00234CBF">
        <w:rPr>
          <w:rFonts w:ascii="Times New Roman" w:eastAsia="宋体" w:hAnsi="Times New Roman"/>
          <w:kern w:val="0"/>
          <w:szCs w:val="21"/>
        </w:rPr>
        <w:t>–NANF</w:t>
      </w:r>
      <w:r w:rsidRPr="00234CBF">
        <w:rPr>
          <w:rFonts w:ascii="Times New Roman" w:eastAsia="宋体" w:hAnsi="Times New Roman"/>
          <w:kern w:val="0"/>
          <w:szCs w:val="21"/>
        </w:rPr>
        <w:t>结构在高功率激光传输和工程互连场景中的性能与稳健性开展进一步验证。</w:t>
      </w:r>
    </w:p>
    <w:p w14:paraId="799CEB27" w14:textId="4995B8E9" w:rsidR="001311C9" w:rsidRPr="00283939" w:rsidRDefault="001311C9" w:rsidP="006A26A5">
      <w:pPr>
        <w:rPr>
          <w:rFonts w:ascii="Times New Roman" w:eastAsia="宋体" w:hAnsi="Times New Roman"/>
          <w:szCs w:val="21"/>
        </w:rPr>
      </w:pPr>
    </w:p>
    <w:p w14:paraId="0DA026B5" w14:textId="77777777" w:rsidR="008F329A" w:rsidRPr="00F31BA5" w:rsidRDefault="008F329A" w:rsidP="006A26A5">
      <w:pPr>
        <w:rPr>
          <w:rFonts w:ascii="Times New Roman" w:eastAsia="宋体" w:hAnsi="Times New Roman"/>
          <w:b/>
          <w:szCs w:val="21"/>
        </w:rPr>
      </w:pPr>
      <w:bookmarkStart w:id="4" w:name="_Hlk221305992"/>
      <w:r w:rsidRPr="00F31BA5">
        <w:rPr>
          <w:rFonts w:ascii="Times New Roman" w:eastAsia="宋体" w:hAnsi="Times New Roman"/>
          <w:b/>
          <w:szCs w:val="21"/>
        </w:rPr>
        <w:t>参考文献：</w:t>
      </w:r>
    </w:p>
    <w:p w14:paraId="5E21DF05" w14:textId="0E78A495" w:rsidR="00514DAE" w:rsidRPr="001B1789" w:rsidRDefault="00514DAE" w:rsidP="006A26A5">
      <w:pPr>
        <w:pStyle w:val="af4"/>
        <w:spacing w:before="0" w:beforeAutospacing="0" w:after="0" w:afterAutospacing="0"/>
        <w:jc w:val="both"/>
        <w:rPr>
          <w:rFonts w:ascii="Times New Roman" w:hAnsi="Times New Roman" w:cs="Times New Roman"/>
          <w:sz w:val="21"/>
          <w:szCs w:val="21"/>
        </w:rPr>
      </w:pPr>
      <w:r w:rsidRPr="00514DAE">
        <w:rPr>
          <w:rFonts w:ascii="Times New Roman" w:hAnsi="Times New Roman" w:cs="Times New Roman"/>
          <w:sz w:val="21"/>
          <w:szCs w:val="21"/>
        </w:rPr>
        <w:t>[1] JASION G T, SAKR H, HAYES J R, et al. 0.174 dB/km hollow core double nested antiresonant nodeless fiber</w:t>
      </w:r>
      <w:r w:rsidRPr="00514DAE">
        <w:rPr>
          <w:rFonts w:ascii="Times New Roman" w:hAnsi="Times New Roman" w:cs="Times New Roman"/>
          <w:sz w:val="21"/>
          <w:szCs w:val="21"/>
        </w:rPr>
        <w:t>（</w:t>
      </w:r>
      <w:r w:rsidRPr="00514DAE">
        <w:rPr>
          <w:rFonts w:ascii="Times New Roman" w:hAnsi="Times New Roman" w:cs="Times New Roman"/>
          <w:sz w:val="21"/>
          <w:szCs w:val="21"/>
        </w:rPr>
        <w:t>DNANF</w:t>
      </w:r>
      <w:r w:rsidRPr="00514DAE">
        <w:rPr>
          <w:rFonts w:ascii="Times New Roman" w:hAnsi="Times New Roman" w:cs="Times New Roman"/>
          <w:sz w:val="21"/>
          <w:szCs w:val="21"/>
        </w:rPr>
        <w:t>）</w:t>
      </w:r>
      <w:r w:rsidR="0097254C">
        <w:rPr>
          <w:rFonts w:ascii="Times New Roman" w:hAnsi="Times New Roman" w:cs="Times New Roman" w:hint="eastAsia"/>
          <w:sz w:val="21"/>
          <w:szCs w:val="21"/>
        </w:rPr>
        <w:t xml:space="preserve"> </w:t>
      </w:r>
      <w:r w:rsidRPr="00514DAE">
        <w:rPr>
          <w:rFonts w:ascii="Times New Roman" w:hAnsi="Times New Roman" w:cs="Times New Roman"/>
          <w:sz w:val="21"/>
          <w:szCs w:val="21"/>
        </w:rPr>
        <w:t>[C]//2022 Optical Fiber Communications Conference and Exhibition</w:t>
      </w:r>
      <w:r w:rsidRPr="00514DAE">
        <w:rPr>
          <w:rFonts w:ascii="Times New Roman" w:hAnsi="Times New Roman" w:cs="Times New Roman"/>
          <w:sz w:val="21"/>
          <w:szCs w:val="21"/>
        </w:rPr>
        <w:t>（</w:t>
      </w:r>
      <w:r w:rsidRPr="00514DAE">
        <w:rPr>
          <w:rFonts w:ascii="Times New Roman" w:hAnsi="Times New Roman" w:cs="Times New Roman"/>
          <w:sz w:val="21"/>
          <w:szCs w:val="21"/>
        </w:rPr>
        <w:t>OFC</w:t>
      </w:r>
      <w:r w:rsidRPr="00514DAE">
        <w:rPr>
          <w:rFonts w:ascii="Times New Roman" w:hAnsi="Times New Roman" w:cs="Times New Roman"/>
          <w:sz w:val="21"/>
          <w:szCs w:val="21"/>
        </w:rPr>
        <w:t>）</w:t>
      </w:r>
      <w:r w:rsidRPr="00514DAE">
        <w:rPr>
          <w:rFonts w:ascii="Times New Roman" w:hAnsi="Times New Roman" w:cs="Times New Roman"/>
          <w:sz w:val="21"/>
          <w:szCs w:val="21"/>
        </w:rPr>
        <w:t>, March 6-10, 2022, San Diego, CA, USA. Piscataway: IEEE, 2022: 1-3.</w:t>
      </w:r>
    </w:p>
    <w:p w14:paraId="4D799D70" w14:textId="454EA233" w:rsidR="004B40C0" w:rsidRPr="001B1789" w:rsidRDefault="004B40C0" w:rsidP="006A26A5">
      <w:pPr>
        <w:pStyle w:val="af4"/>
        <w:spacing w:before="0" w:beforeAutospacing="0" w:after="0" w:afterAutospacing="0"/>
        <w:jc w:val="both"/>
        <w:rPr>
          <w:rFonts w:ascii="Times New Roman" w:hAnsi="Times New Roman" w:cs="Times New Roman"/>
          <w:sz w:val="21"/>
          <w:szCs w:val="21"/>
        </w:rPr>
      </w:pPr>
      <w:r w:rsidRPr="004B40C0">
        <w:rPr>
          <w:rFonts w:ascii="Times New Roman" w:hAnsi="Times New Roman" w:cs="Times New Roman"/>
          <w:sz w:val="21"/>
          <w:szCs w:val="21"/>
        </w:rPr>
        <w:t>[2] MULVAD H C H, ABOKHAMIS MOUSAVI S, ZUBA V, et al. Kilowatt-average-power single-mode laser light transmission over kilometre-scale hollow-core fibre</w:t>
      </w:r>
      <w:r w:rsidR="0097254C">
        <w:rPr>
          <w:rFonts w:ascii="Times New Roman" w:hAnsi="Times New Roman" w:cs="Times New Roman"/>
          <w:sz w:val="21"/>
          <w:szCs w:val="21"/>
        </w:rPr>
        <w:t xml:space="preserve"> </w:t>
      </w:r>
      <w:r w:rsidRPr="004B40C0">
        <w:rPr>
          <w:rFonts w:ascii="Times New Roman" w:hAnsi="Times New Roman" w:cs="Times New Roman"/>
          <w:sz w:val="21"/>
          <w:szCs w:val="21"/>
        </w:rPr>
        <w:t>[J]. Nature Photonics, 2022, 16</w:t>
      </w:r>
      <w:r w:rsidRPr="004B40C0">
        <w:rPr>
          <w:rFonts w:ascii="Times New Roman" w:hAnsi="Times New Roman" w:cs="Times New Roman"/>
          <w:sz w:val="21"/>
          <w:szCs w:val="21"/>
        </w:rPr>
        <w:t>（</w:t>
      </w:r>
      <w:r w:rsidRPr="004B40C0">
        <w:rPr>
          <w:rFonts w:ascii="Times New Roman" w:hAnsi="Times New Roman" w:cs="Times New Roman"/>
          <w:sz w:val="21"/>
          <w:szCs w:val="21"/>
        </w:rPr>
        <w:t>6</w:t>
      </w:r>
      <w:r w:rsidRPr="004B40C0">
        <w:rPr>
          <w:rFonts w:ascii="Times New Roman" w:hAnsi="Times New Roman" w:cs="Times New Roman"/>
          <w:sz w:val="21"/>
          <w:szCs w:val="21"/>
        </w:rPr>
        <w:t>）</w:t>
      </w:r>
      <w:r w:rsidRPr="004B40C0">
        <w:rPr>
          <w:rFonts w:ascii="Times New Roman" w:hAnsi="Times New Roman" w:cs="Times New Roman"/>
          <w:sz w:val="21"/>
          <w:szCs w:val="21"/>
        </w:rPr>
        <w:t>: 448-453.</w:t>
      </w:r>
    </w:p>
    <w:p w14:paraId="17616788" w14:textId="74B14F99" w:rsidR="004B40C0" w:rsidRPr="001B1789" w:rsidRDefault="004B40C0" w:rsidP="006A26A5">
      <w:pPr>
        <w:pStyle w:val="af4"/>
        <w:spacing w:before="0" w:beforeAutospacing="0" w:after="0" w:afterAutospacing="0"/>
        <w:jc w:val="both"/>
        <w:rPr>
          <w:rFonts w:ascii="Times New Roman" w:hAnsi="Times New Roman" w:cs="Times New Roman"/>
          <w:sz w:val="21"/>
          <w:szCs w:val="21"/>
        </w:rPr>
      </w:pPr>
      <w:r w:rsidRPr="004B40C0">
        <w:rPr>
          <w:rFonts w:ascii="Times New Roman" w:hAnsi="Times New Roman" w:cs="Times New Roman"/>
          <w:sz w:val="21"/>
          <w:szCs w:val="21"/>
        </w:rPr>
        <w:t>[3] SHI B, ZHANG C, KELLY T, et al. Splicing hollow-core fiber with standard glass-core fiber with ultralow back-reflection and low coupling loss</w:t>
      </w:r>
      <w:r w:rsidR="0097254C">
        <w:rPr>
          <w:rFonts w:ascii="Times New Roman" w:hAnsi="Times New Roman" w:cs="Times New Roman"/>
          <w:sz w:val="21"/>
          <w:szCs w:val="21"/>
        </w:rPr>
        <w:t xml:space="preserve"> </w:t>
      </w:r>
      <w:r w:rsidRPr="004B40C0">
        <w:rPr>
          <w:rFonts w:ascii="Times New Roman" w:hAnsi="Times New Roman" w:cs="Times New Roman"/>
          <w:sz w:val="21"/>
          <w:szCs w:val="21"/>
        </w:rPr>
        <w:t>[J]. ACS Photonics, 2024, 11</w:t>
      </w:r>
      <w:r w:rsidRPr="004B40C0">
        <w:rPr>
          <w:rFonts w:ascii="Times New Roman" w:hAnsi="Times New Roman" w:cs="Times New Roman"/>
          <w:sz w:val="21"/>
          <w:szCs w:val="21"/>
        </w:rPr>
        <w:t>（</w:t>
      </w:r>
      <w:r w:rsidRPr="004B40C0">
        <w:rPr>
          <w:rFonts w:ascii="Times New Roman" w:hAnsi="Times New Roman" w:cs="Times New Roman"/>
          <w:sz w:val="21"/>
          <w:szCs w:val="21"/>
        </w:rPr>
        <w:t>8</w:t>
      </w:r>
      <w:r w:rsidRPr="004B40C0">
        <w:rPr>
          <w:rFonts w:ascii="Times New Roman" w:hAnsi="Times New Roman" w:cs="Times New Roman"/>
          <w:sz w:val="21"/>
          <w:szCs w:val="21"/>
        </w:rPr>
        <w:t>）</w:t>
      </w:r>
      <w:r w:rsidRPr="004B40C0">
        <w:rPr>
          <w:rFonts w:ascii="Times New Roman" w:hAnsi="Times New Roman" w:cs="Times New Roman"/>
          <w:sz w:val="21"/>
          <w:szCs w:val="21"/>
        </w:rPr>
        <w:t>: 3288-3295.</w:t>
      </w:r>
    </w:p>
    <w:p w14:paraId="6BFE425D" w14:textId="51478EF3" w:rsidR="004B40C0" w:rsidRPr="001B1789" w:rsidRDefault="004B40C0" w:rsidP="006A26A5">
      <w:pPr>
        <w:pStyle w:val="af4"/>
        <w:spacing w:before="0" w:beforeAutospacing="0" w:after="0" w:afterAutospacing="0"/>
        <w:jc w:val="both"/>
        <w:rPr>
          <w:rFonts w:ascii="Times New Roman" w:hAnsi="Times New Roman" w:cs="Times New Roman"/>
          <w:sz w:val="21"/>
          <w:szCs w:val="21"/>
        </w:rPr>
      </w:pPr>
      <w:r w:rsidRPr="004B40C0">
        <w:rPr>
          <w:rFonts w:ascii="Times New Roman" w:hAnsi="Times New Roman" w:cs="Times New Roman"/>
          <w:sz w:val="21"/>
          <w:szCs w:val="21"/>
        </w:rPr>
        <w:t>[4] FAN X, WANG D, CHENG J, et al. Few-mode fiber coupling efficiency for free-space optical communication</w:t>
      </w:r>
      <w:r w:rsidR="0097254C">
        <w:rPr>
          <w:rFonts w:ascii="Times New Roman" w:hAnsi="Times New Roman" w:cs="Times New Roman"/>
          <w:sz w:val="21"/>
          <w:szCs w:val="21"/>
        </w:rPr>
        <w:t xml:space="preserve"> </w:t>
      </w:r>
      <w:r w:rsidRPr="004B40C0">
        <w:rPr>
          <w:rFonts w:ascii="Times New Roman" w:hAnsi="Times New Roman" w:cs="Times New Roman"/>
          <w:sz w:val="21"/>
          <w:szCs w:val="21"/>
        </w:rPr>
        <w:t>[J]. Journal of Lightwave Technology, 2021, 39</w:t>
      </w:r>
      <w:r w:rsidRPr="004B40C0">
        <w:rPr>
          <w:rFonts w:ascii="Times New Roman" w:hAnsi="Times New Roman" w:cs="Times New Roman"/>
          <w:sz w:val="21"/>
          <w:szCs w:val="21"/>
        </w:rPr>
        <w:t>（</w:t>
      </w:r>
      <w:r w:rsidRPr="004B40C0">
        <w:rPr>
          <w:rFonts w:ascii="Times New Roman" w:hAnsi="Times New Roman" w:cs="Times New Roman"/>
          <w:sz w:val="21"/>
          <w:szCs w:val="21"/>
        </w:rPr>
        <w:t>6</w:t>
      </w:r>
      <w:r w:rsidRPr="004B40C0">
        <w:rPr>
          <w:rFonts w:ascii="Times New Roman" w:hAnsi="Times New Roman" w:cs="Times New Roman"/>
          <w:sz w:val="21"/>
          <w:szCs w:val="21"/>
        </w:rPr>
        <w:t>）</w:t>
      </w:r>
      <w:r w:rsidRPr="004B40C0">
        <w:rPr>
          <w:rFonts w:ascii="Times New Roman" w:hAnsi="Times New Roman" w:cs="Times New Roman"/>
          <w:sz w:val="21"/>
          <w:szCs w:val="21"/>
        </w:rPr>
        <w:t>:</w:t>
      </w:r>
      <w:r>
        <w:rPr>
          <w:rFonts w:ascii="Times New Roman" w:hAnsi="Times New Roman" w:cs="Times New Roman"/>
          <w:sz w:val="21"/>
          <w:szCs w:val="21"/>
        </w:rPr>
        <w:t xml:space="preserve"> </w:t>
      </w:r>
      <w:r w:rsidRPr="004B40C0">
        <w:rPr>
          <w:rFonts w:ascii="Times New Roman" w:hAnsi="Times New Roman" w:cs="Times New Roman"/>
          <w:sz w:val="21"/>
          <w:szCs w:val="21"/>
        </w:rPr>
        <w:t>1823-1829.</w:t>
      </w:r>
    </w:p>
    <w:p w14:paraId="5090638B" w14:textId="4143EF8C" w:rsidR="004B40C0" w:rsidRPr="001B1789" w:rsidRDefault="004B40C0" w:rsidP="006A26A5">
      <w:pPr>
        <w:pStyle w:val="af4"/>
        <w:spacing w:before="0" w:beforeAutospacing="0" w:after="0" w:afterAutospacing="0"/>
        <w:jc w:val="both"/>
        <w:rPr>
          <w:rFonts w:ascii="Times New Roman" w:hAnsi="Times New Roman" w:cs="Times New Roman"/>
          <w:sz w:val="21"/>
          <w:szCs w:val="21"/>
        </w:rPr>
      </w:pPr>
      <w:r w:rsidRPr="004B40C0">
        <w:rPr>
          <w:rFonts w:ascii="Times New Roman" w:hAnsi="Times New Roman" w:cs="Times New Roman"/>
          <w:sz w:val="21"/>
          <w:szCs w:val="21"/>
        </w:rPr>
        <w:lastRenderedPageBreak/>
        <w:t>[5] ZHONG A, NUMKAM FOKOUA E R, DING M, et al. Connecting hollow-core and standard single-mode fibers with perfect mode-field size adaptation</w:t>
      </w:r>
      <w:r w:rsidR="0097254C">
        <w:rPr>
          <w:rFonts w:ascii="Times New Roman" w:hAnsi="Times New Roman" w:cs="Times New Roman"/>
          <w:sz w:val="21"/>
          <w:szCs w:val="21"/>
        </w:rPr>
        <w:t xml:space="preserve"> </w:t>
      </w:r>
      <w:r w:rsidRPr="004B40C0">
        <w:rPr>
          <w:rFonts w:ascii="Times New Roman" w:hAnsi="Times New Roman" w:cs="Times New Roman"/>
          <w:sz w:val="21"/>
          <w:szCs w:val="21"/>
        </w:rPr>
        <w:t>[J]. Journal of Lightwave Technology, 2024, 42</w:t>
      </w:r>
      <w:r w:rsidRPr="004B40C0">
        <w:rPr>
          <w:rFonts w:ascii="Times New Roman" w:hAnsi="Times New Roman" w:cs="Times New Roman"/>
          <w:sz w:val="21"/>
          <w:szCs w:val="21"/>
        </w:rPr>
        <w:t>（</w:t>
      </w:r>
      <w:r w:rsidRPr="004B40C0">
        <w:rPr>
          <w:rFonts w:ascii="Times New Roman" w:hAnsi="Times New Roman" w:cs="Times New Roman"/>
          <w:sz w:val="21"/>
          <w:szCs w:val="21"/>
        </w:rPr>
        <w:t>6</w:t>
      </w:r>
      <w:r w:rsidRPr="004B40C0">
        <w:rPr>
          <w:rFonts w:ascii="Times New Roman" w:hAnsi="Times New Roman" w:cs="Times New Roman"/>
          <w:sz w:val="21"/>
          <w:szCs w:val="21"/>
        </w:rPr>
        <w:t>）</w:t>
      </w:r>
      <w:r w:rsidRPr="004B40C0">
        <w:rPr>
          <w:rFonts w:ascii="Times New Roman" w:hAnsi="Times New Roman" w:cs="Times New Roman"/>
          <w:sz w:val="21"/>
          <w:szCs w:val="21"/>
        </w:rPr>
        <w:t>: 2124-2130.</w:t>
      </w:r>
    </w:p>
    <w:p w14:paraId="7CF4A652" w14:textId="66499D95" w:rsidR="00B66E43" w:rsidRPr="001B1789" w:rsidRDefault="00B66E43" w:rsidP="006A26A5">
      <w:pPr>
        <w:pStyle w:val="af4"/>
        <w:spacing w:before="0" w:beforeAutospacing="0" w:after="0" w:afterAutospacing="0"/>
        <w:jc w:val="both"/>
        <w:rPr>
          <w:rFonts w:ascii="Times New Roman" w:hAnsi="Times New Roman" w:cs="Times New Roman"/>
          <w:sz w:val="21"/>
          <w:szCs w:val="21"/>
        </w:rPr>
      </w:pPr>
      <w:r w:rsidRPr="00B66E43">
        <w:rPr>
          <w:rFonts w:ascii="Times New Roman" w:hAnsi="Times New Roman" w:cs="Times New Roman"/>
          <w:sz w:val="21"/>
          <w:szCs w:val="21"/>
        </w:rPr>
        <w:t>[6] WANG C, YU R, DEBORD B, et al. Ultralow-loss fusion splicing between negative curvature hollow-core fibers and conventional SMFs with a reverse-tapering method</w:t>
      </w:r>
      <w:r w:rsidR="0097254C">
        <w:rPr>
          <w:rFonts w:ascii="Times New Roman" w:hAnsi="Times New Roman" w:cs="Times New Roman"/>
          <w:sz w:val="21"/>
          <w:szCs w:val="21"/>
        </w:rPr>
        <w:t xml:space="preserve"> </w:t>
      </w:r>
      <w:r w:rsidRPr="00B66E43">
        <w:rPr>
          <w:rFonts w:ascii="Times New Roman" w:hAnsi="Times New Roman" w:cs="Times New Roman"/>
          <w:sz w:val="21"/>
          <w:szCs w:val="21"/>
        </w:rPr>
        <w:t>[J]. Optics Express, 2021, 29</w:t>
      </w:r>
      <w:r w:rsidRPr="00B66E43">
        <w:rPr>
          <w:rFonts w:ascii="Times New Roman" w:hAnsi="Times New Roman" w:cs="Times New Roman"/>
          <w:sz w:val="21"/>
          <w:szCs w:val="21"/>
        </w:rPr>
        <w:t>（</w:t>
      </w:r>
      <w:r w:rsidRPr="00B66E43">
        <w:rPr>
          <w:rFonts w:ascii="Times New Roman" w:hAnsi="Times New Roman" w:cs="Times New Roman"/>
          <w:sz w:val="21"/>
          <w:szCs w:val="21"/>
        </w:rPr>
        <w:t>14</w:t>
      </w:r>
      <w:r w:rsidRPr="00B66E43">
        <w:rPr>
          <w:rFonts w:ascii="Times New Roman" w:hAnsi="Times New Roman" w:cs="Times New Roman"/>
          <w:sz w:val="21"/>
          <w:szCs w:val="21"/>
        </w:rPr>
        <w:t>）</w:t>
      </w:r>
      <w:r w:rsidRPr="00B66E43">
        <w:rPr>
          <w:rFonts w:ascii="Times New Roman" w:hAnsi="Times New Roman" w:cs="Times New Roman"/>
          <w:sz w:val="21"/>
          <w:szCs w:val="21"/>
        </w:rPr>
        <w:t>: 22470-22478.</w:t>
      </w:r>
    </w:p>
    <w:p w14:paraId="35ECC159" w14:textId="312F4129" w:rsidR="00B66E43" w:rsidRPr="001B1789" w:rsidRDefault="00B66E43" w:rsidP="006A26A5">
      <w:pPr>
        <w:pStyle w:val="af4"/>
        <w:spacing w:before="0" w:beforeAutospacing="0" w:after="0" w:afterAutospacing="0"/>
        <w:jc w:val="both"/>
        <w:rPr>
          <w:rFonts w:ascii="Times New Roman" w:hAnsi="Times New Roman" w:cs="Times New Roman"/>
          <w:sz w:val="21"/>
          <w:szCs w:val="21"/>
        </w:rPr>
      </w:pPr>
      <w:r w:rsidRPr="00B66E43">
        <w:rPr>
          <w:rFonts w:ascii="Times New Roman" w:hAnsi="Times New Roman" w:cs="Times New Roman"/>
          <w:sz w:val="21"/>
          <w:szCs w:val="21"/>
        </w:rPr>
        <w:t>[7] SUSLOV D, KOMANEC M, NUMKAM FOKOUA E R, et al. Low loss and high performance interconnection between standard single-mode fiber and antiresonant hollow-core fiber</w:t>
      </w:r>
      <w:r w:rsidR="0097254C">
        <w:rPr>
          <w:rFonts w:ascii="Times New Roman" w:hAnsi="Times New Roman" w:cs="Times New Roman"/>
          <w:sz w:val="21"/>
          <w:szCs w:val="21"/>
        </w:rPr>
        <w:t xml:space="preserve"> </w:t>
      </w:r>
      <w:r w:rsidRPr="00B66E43">
        <w:rPr>
          <w:rFonts w:ascii="Times New Roman" w:hAnsi="Times New Roman" w:cs="Times New Roman"/>
          <w:sz w:val="21"/>
          <w:szCs w:val="21"/>
        </w:rPr>
        <w:t>[J]. Scientific Reports, 2021, 11</w:t>
      </w:r>
      <w:r w:rsidRPr="00B66E43">
        <w:rPr>
          <w:rFonts w:ascii="Times New Roman" w:hAnsi="Times New Roman" w:cs="Times New Roman"/>
          <w:sz w:val="21"/>
          <w:szCs w:val="21"/>
        </w:rPr>
        <w:t>（</w:t>
      </w:r>
      <w:r w:rsidRPr="00B66E43">
        <w:rPr>
          <w:rFonts w:ascii="Times New Roman" w:hAnsi="Times New Roman" w:cs="Times New Roman"/>
          <w:sz w:val="21"/>
          <w:szCs w:val="21"/>
        </w:rPr>
        <w:t>1</w:t>
      </w:r>
      <w:r w:rsidRPr="00B66E43">
        <w:rPr>
          <w:rFonts w:ascii="Times New Roman" w:hAnsi="Times New Roman" w:cs="Times New Roman"/>
          <w:sz w:val="21"/>
          <w:szCs w:val="21"/>
        </w:rPr>
        <w:t>）</w:t>
      </w:r>
      <w:r w:rsidRPr="00B66E43">
        <w:rPr>
          <w:rFonts w:ascii="Times New Roman" w:hAnsi="Times New Roman" w:cs="Times New Roman"/>
          <w:sz w:val="21"/>
          <w:szCs w:val="21"/>
        </w:rPr>
        <w:t>: 8799-1~8799-</w:t>
      </w:r>
      <w:r w:rsidR="00F9209D">
        <w:rPr>
          <w:rFonts w:ascii="Times New Roman" w:hAnsi="Times New Roman" w:cs="Times New Roman"/>
          <w:sz w:val="21"/>
          <w:szCs w:val="21"/>
        </w:rPr>
        <w:t>9</w:t>
      </w:r>
      <w:r w:rsidRPr="00B66E43">
        <w:rPr>
          <w:rFonts w:ascii="Times New Roman" w:hAnsi="Times New Roman" w:cs="Times New Roman"/>
          <w:sz w:val="21"/>
          <w:szCs w:val="21"/>
        </w:rPr>
        <w:t>.</w:t>
      </w:r>
    </w:p>
    <w:p w14:paraId="1E2910FB" w14:textId="7CE3882D" w:rsidR="00B66E43" w:rsidRPr="001B1789" w:rsidRDefault="00B66E43" w:rsidP="006A26A5">
      <w:pPr>
        <w:pStyle w:val="af4"/>
        <w:spacing w:before="0" w:beforeAutospacing="0" w:after="0" w:afterAutospacing="0"/>
        <w:jc w:val="both"/>
        <w:rPr>
          <w:rFonts w:ascii="Times New Roman" w:hAnsi="Times New Roman" w:cs="Times New Roman"/>
          <w:sz w:val="21"/>
          <w:szCs w:val="21"/>
        </w:rPr>
      </w:pPr>
      <w:r w:rsidRPr="00B66E43">
        <w:rPr>
          <w:rFonts w:ascii="Times New Roman" w:hAnsi="Times New Roman" w:cs="Times New Roman"/>
          <w:sz w:val="21"/>
          <w:szCs w:val="21"/>
        </w:rPr>
        <w:t>[8] SUSLOV D, NUMKAM FOKOUA E R, DOUSEK D, et al. Low loss and broadband low back-reflection interconnection between a hollow-core and standard single-mode fiber</w:t>
      </w:r>
      <w:r w:rsidR="0097254C">
        <w:rPr>
          <w:rFonts w:ascii="Times New Roman" w:hAnsi="Times New Roman" w:cs="Times New Roman"/>
          <w:sz w:val="21"/>
          <w:szCs w:val="21"/>
        </w:rPr>
        <w:t xml:space="preserve"> </w:t>
      </w:r>
      <w:r w:rsidRPr="00B66E43">
        <w:rPr>
          <w:rFonts w:ascii="Times New Roman" w:hAnsi="Times New Roman" w:cs="Times New Roman"/>
          <w:sz w:val="21"/>
          <w:szCs w:val="21"/>
        </w:rPr>
        <w:t>[J]. Optics Express, 2022, 30</w:t>
      </w:r>
      <w:r w:rsidRPr="00B66E43">
        <w:rPr>
          <w:rFonts w:ascii="Times New Roman" w:hAnsi="Times New Roman" w:cs="Times New Roman"/>
          <w:sz w:val="21"/>
          <w:szCs w:val="21"/>
        </w:rPr>
        <w:t>（</w:t>
      </w:r>
      <w:r w:rsidRPr="00B66E43">
        <w:rPr>
          <w:rFonts w:ascii="Times New Roman" w:hAnsi="Times New Roman" w:cs="Times New Roman"/>
          <w:sz w:val="21"/>
          <w:szCs w:val="21"/>
        </w:rPr>
        <w:t>20</w:t>
      </w:r>
      <w:r w:rsidRPr="00B66E43">
        <w:rPr>
          <w:rFonts w:ascii="Times New Roman" w:hAnsi="Times New Roman" w:cs="Times New Roman"/>
          <w:sz w:val="21"/>
          <w:szCs w:val="21"/>
        </w:rPr>
        <w:t>）</w:t>
      </w:r>
      <w:r w:rsidRPr="00B66E43">
        <w:rPr>
          <w:rFonts w:ascii="Times New Roman" w:hAnsi="Times New Roman" w:cs="Times New Roman"/>
          <w:sz w:val="21"/>
          <w:szCs w:val="21"/>
        </w:rPr>
        <w:t>: 37006-37014.</w:t>
      </w:r>
    </w:p>
    <w:p w14:paraId="0B840EF1" w14:textId="3FEC0EB9" w:rsidR="00B66E43" w:rsidRPr="001B1789" w:rsidRDefault="00B66E43" w:rsidP="006A26A5">
      <w:pPr>
        <w:pStyle w:val="af4"/>
        <w:spacing w:before="0" w:beforeAutospacing="0" w:after="0" w:afterAutospacing="0"/>
        <w:jc w:val="both"/>
        <w:rPr>
          <w:rFonts w:ascii="Times New Roman" w:hAnsi="Times New Roman" w:cs="Times New Roman"/>
          <w:sz w:val="21"/>
          <w:szCs w:val="21"/>
        </w:rPr>
      </w:pPr>
      <w:r w:rsidRPr="00B66E43">
        <w:rPr>
          <w:rFonts w:ascii="Times New Roman" w:hAnsi="Times New Roman" w:cs="Times New Roman"/>
          <w:sz w:val="21"/>
          <w:szCs w:val="21"/>
        </w:rPr>
        <w:t>[9] ZUBA V, MULVAD H C H, SLAVÍK R, et al. Limits of coupling efficiency into hollow-core antiresonant fibres</w:t>
      </w:r>
      <w:r w:rsidR="0097254C">
        <w:rPr>
          <w:rFonts w:ascii="Times New Roman" w:hAnsi="Times New Roman" w:cs="Times New Roman"/>
          <w:sz w:val="21"/>
          <w:szCs w:val="21"/>
        </w:rPr>
        <w:t xml:space="preserve"> </w:t>
      </w:r>
      <w:r w:rsidRPr="00B66E43">
        <w:rPr>
          <w:rFonts w:ascii="Times New Roman" w:hAnsi="Times New Roman" w:cs="Times New Roman"/>
          <w:sz w:val="21"/>
          <w:szCs w:val="21"/>
        </w:rPr>
        <w:t>[J]. Journal of Lightwave Technology, 2023, 41</w:t>
      </w:r>
      <w:r w:rsidRPr="00B66E43">
        <w:rPr>
          <w:rFonts w:ascii="Times New Roman" w:hAnsi="Times New Roman" w:cs="Times New Roman"/>
          <w:sz w:val="21"/>
          <w:szCs w:val="21"/>
        </w:rPr>
        <w:t>（</w:t>
      </w:r>
      <w:r w:rsidRPr="00B66E43">
        <w:rPr>
          <w:rFonts w:ascii="Times New Roman" w:hAnsi="Times New Roman" w:cs="Times New Roman"/>
          <w:sz w:val="21"/>
          <w:szCs w:val="21"/>
        </w:rPr>
        <w:t>19</w:t>
      </w:r>
      <w:r w:rsidRPr="00B66E43">
        <w:rPr>
          <w:rFonts w:ascii="Times New Roman" w:hAnsi="Times New Roman" w:cs="Times New Roman"/>
          <w:sz w:val="21"/>
          <w:szCs w:val="21"/>
        </w:rPr>
        <w:t>）</w:t>
      </w:r>
      <w:r w:rsidRPr="00B66E43">
        <w:rPr>
          <w:rFonts w:ascii="Times New Roman" w:hAnsi="Times New Roman" w:cs="Times New Roman"/>
          <w:sz w:val="21"/>
          <w:szCs w:val="21"/>
        </w:rPr>
        <w:t>: 6374-6382.</w:t>
      </w:r>
    </w:p>
    <w:p w14:paraId="6C0486B7" w14:textId="5DFDAA18" w:rsidR="00B66E43" w:rsidRPr="001B1789" w:rsidRDefault="00B66E43" w:rsidP="006A26A5">
      <w:pPr>
        <w:pStyle w:val="af4"/>
        <w:spacing w:before="0" w:beforeAutospacing="0" w:after="0" w:afterAutospacing="0"/>
        <w:jc w:val="both"/>
        <w:rPr>
          <w:rFonts w:ascii="Times New Roman" w:hAnsi="Times New Roman" w:cs="Times New Roman"/>
          <w:sz w:val="21"/>
          <w:szCs w:val="21"/>
        </w:rPr>
      </w:pPr>
      <w:r w:rsidRPr="00B66E43">
        <w:rPr>
          <w:rFonts w:ascii="Times New Roman" w:hAnsi="Times New Roman" w:cs="Times New Roman"/>
          <w:sz w:val="21"/>
          <w:szCs w:val="21"/>
        </w:rPr>
        <w:t>[10] ZHANG Z, DING W, JIA A, et al. Connector-style hollow-core fiber interconnections</w:t>
      </w:r>
      <w:r w:rsidR="0097254C">
        <w:rPr>
          <w:rFonts w:ascii="Times New Roman" w:hAnsi="Times New Roman" w:cs="Times New Roman"/>
          <w:sz w:val="21"/>
          <w:szCs w:val="21"/>
        </w:rPr>
        <w:t xml:space="preserve"> </w:t>
      </w:r>
      <w:r w:rsidRPr="00B66E43">
        <w:rPr>
          <w:rFonts w:ascii="Times New Roman" w:hAnsi="Times New Roman" w:cs="Times New Roman"/>
          <w:sz w:val="21"/>
          <w:szCs w:val="21"/>
        </w:rPr>
        <w:t>[J]. Optics Express, 2022, 30</w:t>
      </w:r>
      <w:r w:rsidRPr="00B66E43">
        <w:rPr>
          <w:rFonts w:ascii="Times New Roman" w:hAnsi="Times New Roman" w:cs="Times New Roman"/>
          <w:sz w:val="21"/>
          <w:szCs w:val="21"/>
        </w:rPr>
        <w:t>（</w:t>
      </w:r>
      <w:r w:rsidRPr="00B66E43">
        <w:rPr>
          <w:rFonts w:ascii="Times New Roman" w:hAnsi="Times New Roman" w:cs="Times New Roman"/>
          <w:sz w:val="21"/>
          <w:szCs w:val="21"/>
        </w:rPr>
        <w:t>9</w:t>
      </w:r>
      <w:r w:rsidRPr="00B66E43">
        <w:rPr>
          <w:rFonts w:ascii="Times New Roman" w:hAnsi="Times New Roman" w:cs="Times New Roman"/>
          <w:sz w:val="21"/>
          <w:szCs w:val="21"/>
        </w:rPr>
        <w:t>）</w:t>
      </w:r>
      <w:r w:rsidRPr="00B66E43">
        <w:rPr>
          <w:rFonts w:ascii="Times New Roman" w:hAnsi="Times New Roman" w:cs="Times New Roman"/>
          <w:sz w:val="21"/>
          <w:szCs w:val="21"/>
        </w:rPr>
        <w:t>: 15149-15157.</w:t>
      </w:r>
    </w:p>
    <w:p w14:paraId="4A88D60F" w14:textId="67734138" w:rsidR="00CA7675" w:rsidRPr="001B1789" w:rsidRDefault="00CA7675" w:rsidP="006A26A5">
      <w:pPr>
        <w:pStyle w:val="af4"/>
        <w:spacing w:before="0" w:beforeAutospacing="0" w:after="0" w:afterAutospacing="0"/>
        <w:jc w:val="both"/>
        <w:rPr>
          <w:rFonts w:ascii="Times New Roman" w:hAnsi="Times New Roman" w:cs="Times New Roman"/>
          <w:sz w:val="21"/>
          <w:szCs w:val="21"/>
        </w:rPr>
      </w:pPr>
      <w:r w:rsidRPr="00CA7675">
        <w:rPr>
          <w:rFonts w:ascii="Times New Roman" w:hAnsi="Times New Roman" w:cs="Times New Roman"/>
          <w:sz w:val="21"/>
          <w:szCs w:val="21"/>
        </w:rPr>
        <w:t>[11] SAKR H, BRADLEY T D, JASION G T, et al. Hollow Core NANFs with Five Nested Tubes and Record Low Loss at 850, 1060, 1300 and 1625nm</w:t>
      </w:r>
      <w:r w:rsidR="0097254C">
        <w:rPr>
          <w:rFonts w:ascii="Times New Roman" w:hAnsi="Times New Roman" w:cs="Times New Roman"/>
          <w:sz w:val="21"/>
          <w:szCs w:val="21"/>
        </w:rPr>
        <w:t xml:space="preserve"> </w:t>
      </w:r>
      <w:r w:rsidRPr="00CA7675">
        <w:rPr>
          <w:rFonts w:ascii="Times New Roman" w:hAnsi="Times New Roman" w:cs="Times New Roman"/>
          <w:sz w:val="21"/>
          <w:szCs w:val="21"/>
        </w:rPr>
        <w:t>[C]//Optical Fiber Communication Conference</w:t>
      </w:r>
      <w:r w:rsidRPr="00CA7675">
        <w:rPr>
          <w:rFonts w:ascii="Times New Roman" w:hAnsi="Times New Roman" w:cs="Times New Roman"/>
          <w:sz w:val="21"/>
          <w:szCs w:val="21"/>
        </w:rPr>
        <w:t>（</w:t>
      </w:r>
      <w:r w:rsidRPr="00CA7675">
        <w:rPr>
          <w:rFonts w:ascii="Times New Roman" w:hAnsi="Times New Roman" w:cs="Times New Roman"/>
          <w:sz w:val="21"/>
          <w:szCs w:val="21"/>
        </w:rPr>
        <w:t>OFC</w:t>
      </w:r>
      <w:r w:rsidRPr="00CA7675">
        <w:rPr>
          <w:rFonts w:ascii="Times New Roman" w:hAnsi="Times New Roman" w:cs="Times New Roman"/>
          <w:sz w:val="21"/>
          <w:szCs w:val="21"/>
        </w:rPr>
        <w:t>）</w:t>
      </w:r>
      <w:r w:rsidRPr="00CA7675">
        <w:rPr>
          <w:rFonts w:ascii="Times New Roman" w:hAnsi="Times New Roman" w:cs="Times New Roman"/>
          <w:sz w:val="21"/>
          <w:szCs w:val="21"/>
        </w:rPr>
        <w:t>2021, June 6-11, 2021, Online. Washington, DC: Optica Publishing Group, 2021: paper F3A.4.</w:t>
      </w:r>
    </w:p>
    <w:p w14:paraId="0FBDB401" w14:textId="4B99EDC4" w:rsidR="00CA7675" w:rsidRPr="001B1789" w:rsidRDefault="00CA7675" w:rsidP="006A26A5">
      <w:pPr>
        <w:pStyle w:val="af4"/>
        <w:spacing w:before="0" w:beforeAutospacing="0" w:after="0" w:afterAutospacing="0"/>
        <w:jc w:val="both"/>
        <w:rPr>
          <w:rFonts w:ascii="Times New Roman" w:hAnsi="Times New Roman" w:cs="Times New Roman"/>
          <w:sz w:val="21"/>
          <w:szCs w:val="21"/>
        </w:rPr>
      </w:pPr>
      <w:r w:rsidRPr="00CA7675">
        <w:rPr>
          <w:rFonts w:ascii="Times New Roman" w:hAnsi="Times New Roman" w:cs="Times New Roman"/>
          <w:sz w:val="21"/>
          <w:szCs w:val="21"/>
        </w:rPr>
        <w:t>[12] SHERE W, FOKOUA E N, JASION G T, et al. Designing multi-mode anti-resonant hollow-core fibers for industrial laser power delivery</w:t>
      </w:r>
      <w:r w:rsidR="0097254C">
        <w:rPr>
          <w:rFonts w:ascii="Times New Roman" w:hAnsi="Times New Roman" w:cs="Times New Roman"/>
          <w:sz w:val="21"/>
          <w:szCs w:val="21"/>
        </w:rPr>
        <w:t xml:space="preserve"> </w:t>
      </w:r>
      <w:r w:rsidRPr="00CA7675">
        <w:rPr>
          <w:rFonts w:ascii="Times New Roman" w:hAnsi="Times New Roman" w:cs="Times New Roman"/>
          <w:sz w:val="21"/>
          <w:szCs w:val="21"/>
        </w:rPr>
        <w:t>[J]. Optics Express, 2022, 30</w:t>
      </w:r>
      <w:r w:rsidRPr="00CA7675">
        <w:rPr>
          <w:rFonts w:ascii="Times New Roman" w:hAnsi="Times New Roman" w:cs="Times New Roman"/>
          <w:sz w:val="21"/>
          <w:szCs w:val="21"/>
        </w:rPr>
        <w:t>（</w:t>
      </w:r>
      <w:r w:rsidRPr="00CA7675">
        <w:rPr>
          <w:rFonts w:ascii="Times New Roman" w:hAnsi="Times New Roman" w:cs="Times New Roman"/>
          <w:sz w:val="21"/>
          <w:szCs w:val="21"/>
        </w:rPr>
        <w:t>22</w:t>
      </w:r>
      <w:r w:rsidRPr="00CA7675">
        <w:rPr>
          <w:rFonts w:ascii="Times New Roman" w:hAnsi="Times New Roman" w:cs="Times New Roman"/>
          <w:sz w:val="21"/>
          <w:szCs w:val="21"/>
        </w:rPr>
        <w:t>）</w:t>
      </w:r>
      <w:r w:rsidRPr="00CA7675">
        <w:rPr>
          <w:rFonts w:ascii="Times New Roman" w:hAnsi="Times New Roman" w:cs="Times New Roman"/>
          <w:sz w:val="21"/>
          <w:szCs w:val="21"/>
        </w:rPr>
        <w:t>: 40425-40440.</w:t>
      </w:r>
    </w:p>
    <w:p w14:paraId="08BCDA6A" w14:textId="6B434BAC" w:rsidR="00CA7675" w:rsidRPr="001B1789" w:rsidRDefault="00CA7675" w:rsidP="006A26A5">
      <w:pPr>
        <w:pStyle w:val="af4"/>
        <w:spacing w:before="0" w:beforeAutospacing="0" w:after="0" w:afterAutospacing="0"/>
        <w:jc w:val="both"/>
        <w:rPr>
          <w:rFonts w:ascii="Times New Roman" w:hAnsi="Times New Roman" w:cs="Times New Roman"/>
          <w:sz w:val="21"/>
          <w:szCs w:val="21"/>
        </w:rPr>
      </w:pPr>
      <w:r w:rsidRPr="00CA7675">
        <w:rPr>
          <w:rFonts w:ascii="Times New Roman" w:hAnsi="Times New Roman" w:cs="Times New Roman"/>
          <w:sz w:val="21"/>
          <w:szCs w:val="21"/>
        </w:rPr>
        <w:t>[13] WANG Y X, CHANG W. Multi-nested antiresonant hollow-core fiber with ultralow loss and single-mode guidance</w:t>
      </w:r>
      <w:r w:rsidR="0097254C">
        <w:rPr>
          <w:rFonts w:ascii="Times New Roman" w:hAnsi="Times New Roman" w:cs="Times New Roman"/>
          <w:sz w:val="21"/>
          <w:szCs w:val="21"/>
        </w:rPr>
        <w:t xml:space="preserve"> </w:t>
      </w:r>
      <w:r w:rsidRPr="00CA7675">
        <w:rPr>
          <w:rFonts w:ascii="Times New Roman" w:hAnsi="Times New Roman" w:cs="Times New Roman"/>
          <w:sz w:val="21"/>
          <w:szCs w:val="21"/>
        </w:rPr>
        <w:t>[J]. Optics Express, 2023, 31</w:t>
      </w:r>
      <w:r w:rsidRPr="00CA7675">
        <w:rPr>
          <w:rFonts w:ascii="Times New Roman" w:hAnsi="Times New Roman" w:cs="Times New Roman"/>
          <w:sz w:val="21"/>
          <w:szCs w:val="21"/>
        </w:rPr>
        <w:t>（</w:t>
      </w:r>
      <w:r w:rsidRPr="00CA7675">
        <w:rPr>
          <w:rFonts w:ascii="Times New Roman" w:hAnsi="Times New Roman" w:cs="Times New Roman"/>
          <w:sz w:val="21"/>
          <w:szCs w:val="21"/>
        </w:rPr>
        <w:t>11</w:t>
      </w:r>
      <w:r w:rsidRPr="00CA7675">
        <w:rPr>
          <w:rFonts w:ascii="Times New Roman" w:hAnsi="Times New Roman" w:cs="Times New Roman"/>
          <w:sz w:val="21"/>
          <w:szCs w:val="21"/>
        </w:rPr>
        <w:t>）</w:t>
      </w:r>
      <w:r w:rsidRPr="00CA7675">
        <w:rPr>
          <w:rFonts w:ascii="Times New Roman" w:hAnsi="Times New Roman" w:cs="Times New Roman"/>
          <w:sz w:val="21"/>
          <w:szCs w:val="21"/>
        </w:rPr>
        <w:t>: 18250-18264.</w:t>
      </w:r>
    </w:p>
    <w:p w14:paraId="75C535F1" w14:textId="0FBAECAA" w:rsidR="00CA7675" w:rsidRPr="001B1789" w:rsidRDefault="00CA7675" w:rsidP="006A26A5">
      <w:pPr>
        <w:pStyle w:val="af4"/>
        <w:spacing w:before="0" w:beforeAutospacing="0" w:after="0" w:afterAutospacing="0"/>
        <w:jc w:val="both"/>
        <w:rPr>
          <w:rFonts w:ascii="Times New Roman" w:hAnsi="Times New Roman" w:cs="Times New Roman"/>
          <w:sz w:val="21"/>
          <w:szCs w:val="21"/>
        </w:rPr>
      </w:pPr>
      <w:r w:rsidRPr="00CA7675">
        <w:rPr>
          <w:rFonts w:ascii="Times New Roman" w:hAnsi="Times New Roman" w:cs="Times New Roman"/>
          <w:sz w:val="21"/>
          <w:szCs w:val="21"/>
        </w:rPr>
        <w:t>[14] DENG A, CHANG W. Geometrical scaling of antiresonant hollow-core fibers for mid-infrared beam delivery</w:t>
      </w:r>
      <w:r w:rsidR="0097254C">
        <w:rPr>
          <w:rFonts w:ascii="Times New Roman" w:hAnsi="Times New Roman" w:cs="Times New Roman"/>
          <w:sz w:val="21"/>
          <w:szCs w:val="21"/>
        </w:rPr>
        <w:t xml:space="preserve"> </w:t>
      </w:r>
      <w:r w:rsidRPr="00CA7675">
        <w:rPr>
          <w:rFonts w:ascii="Times New Roman" w:hAnsi="Times New Roman" w:cs="Times New Roman"/>
          <w:sz w:val="21"/>
          <w:szCs w:val="21"/>
        </w:rPr>
        <w:t>[J]. Crystals, 2021, 11</w:t>
      </w:r>
      <w:r w:rsidRPr="00CA7675">
        <w:rPr>
          <w:rFonts w:ascii="Times New Roman" w:hAnsi="Times New Roman" w:cs="Times New Roman"/>
          <w:sz w:val="21"/>
          <w:szCs w:val="21"/>
        </w:rPr>
        <w:t>（</w:t>
      </w:r>
      <w:r w:rsidRPr="00CA7675">
        <w:rPr>
          <w:rFonts w:ascii="Times New Roman" w:hAnsi="Times New Roman" w:cs="Times New Roman"/>
          <w:sz w:val="21"/>
          <w:szCs w:val="21"/>
        </w:rPr>
        <w:t>4</w:t>
      </w:r>
      <w:r w:rsidRPr="00CA7675">
        <w:rPr>
          <w:rFonts w:ascii="Times New Roman" w:hAnsi="Times New Roman" w:cs="Times New Roman"/>
          <w:sz w:val="21"/>
          <w:szCs w:val="21"/>
        </w:rPr>
        <w:t>）</w:t>
      </w:r>
      <w:r w:rsidRPr="00CA7675">
        <w:rPr>
          <w:rFonts w:ascii="Times New Roman" w:hAnsi="Times New Roman" w:cs="Times New Roman"/>
          <w:sz w:val="21"/>
          <w:szCs w:val="21"/>
        </w:rPr>
        <w:t>: 420-1~420-1</w:t>
      </w:r>
      <w:r w:rsidR="00F9209D">
        <w:rPr>
          <w:rFonts w:ascii="Times New Roman" w:hAnsi="Times New Roman" w:cs="Times New Roman"/>
          <w:sz w:val="21"/>
          <w:szCs w:val="21"/>
        </w:rPr>
        <w:t>1</w:t>
      </w:r>
      <w:r w:rsidRPr="00CA7675">
        <w:rPr>
          <w:rFonts w:ascii="Times New Roman" w:hAnsi="Times New Roman" w:cs="Times New Roman"/>
          <w:sz w:val="21"/>
          <w:szCs w:val="21"/>
        </w:rPr>
        <w:t>.</w:t>
      </w:r>
    </w:p>
    <w:p w14:paraId="709BB66B" w14:textId="1115EDE2" w:rsidR="00CA7675" w:rsidRPr="001B1789" w:rsidRDefault="00CA7675" w:rsidP="006A26A5">
      <w:pPr>
        <w:pStyle w:val="af4"/>
        <w:spacing w:before="0" w:beforeAutospacing="0" w:after="0" w:afterAutospacing="0"/>
        <w:jc w:val="both"/>
        <w:rPr>
          <w:rFonts w:ascii="Times New Roman" w:hAnsi="Times New Roman" w:cs="Times New Roman"/>
          <w:sz w:val="21"/>
          <w:szCs w:val="21"/>
        </w:rPr>
      </w:pPr>
      <w:r w:rsidRPr="00CA7675">
        <w:rPr>
          <w:rFonts w:ascii="Times New Roman" w:hAnsi="Times New Roman" w:cs="Times New Roman"/>
          <w:sz w:val="21"/>
          <w:szCs w:val="21"/>
        </w:rPr>
        <w:t>[15] ALESHKINA S S, KHUDYAKOV M M, KASHAYKINA T A, et al. High-order modes suppression in all-glass large-mode area rare-earth doped optical fibers with modified cladding</w:t>
      </w:r>
      <w:r w:rsidR="0097254C">
        <w:rPr>
          <w:rFonts w:ascii="Times New Roman" w:hAnsi="Times New Roman" w:cs="Times New Roman"/>
          <w:sz w:val="21"/>
          <w:szCs w:val="21"/>
        </w:rPr>
        <w:t xml:space="preserve"> </w:t>
      </w:r>
      <w:r w:rsidRPr="00CA7675">
        <w:rPr>
          <w:rFonts w:ascii="Times New Roman" w:hAnsi="Times New Roman" w:cs="Times New Roman"/>
          <w:sz w:val="21"/>
          <w:szCs w:val="21"/>
        </w:rPr>
        <w:t>[J]. Photonics, 2022, 9</w:t>
      </w:r>
      <w:r w:rsidRPr="00CA7675">
        <w:rPr>
          <w:rFonts w:ascii="Times New Roman" w:hAnsi="Times New Roman" w:cs="Times New Roman"/>
          <w:sz w:val="21"/>
          <w:szCs w:val="21"/>
        </w:rPr>
        <w:t>（</w:t>
      </w:r>
      <w:r w:rsidRPr="00CA7675">
        <w:rPr>
          <w:rFonts w:ascii="Times New Roman" w:hAnsi="Times New Roman" w:cs="Times New Roman"/>
          <w:sz w:val="21"/>
          <w:szCs w:val="21"/>
        </w:rPr>
        <w:t>9</w:t>
      </w:r>
      <w:r w:rsidRPr="00CA7675">
        <w:rPr>
          <w:rFonts w:ascii="Times New Roman" w:hAnsi="Times New Roman" w:cs="Times New Roman"/>
          <w:sz w:val="21"/>
          <w:szCs w:val="21"/>
        </w:rPr>
        <w:t>）</w:t>
      </w:r>
      <w:r w:rsidRPr="00CA7675">
        <w:rPr>
          <w:rFonts w:ascii="Times New Roman" w:hAnsi="Times New Roman" w:cs="Times New Roman"/>
          <w:sz w:val="21"/>
          <w:szCs w:val="21"/>
        </w:rPr>
        <w:t>: 623-1~623-13.</w:t>
      </w:r>
    </w:p>
    <w:p w14:paraId="4DFF49F6" w14:textId="1153AC74" w:rsidR="00BD6D63" w:rsidRDefault="00BD6D63" w:rsidP="006A26A5">
      <w:pPr>
        <w:rPr>
          <w:rFonts w:ascii="Times New Roman" w:hAnsi="Times New Roman"/>
          <w:szCs w:val="21"/>
        </w:rPr>
      </w:pPr>
      <w:r w:rsidRPr="00BD6D63">
        <w:rPr>
          <w:rFonts w:ascii="Times New Roman" w:hAnsi="Times New Roman"/>
          <w:szCs w:val="21"/>
        </w:rPr>
        <w:t>[16] YAN Y F, LIU Y, ZHANG H, et al. Mismatch analysis of all-fiber coherent beam combiners based on the self-imaging effect</w:t>
      </w:r>
      <w:r w:rsidR="0097254C">
        <w:rPr>
          <w:rFonts w:ascii="Times New Roman" w:hAnsi="Times New Roman"/>
          <w:szCs w:val="21"/>
        </w:rPr>
        <w:t xml:space="preserve"> </w:t>
      </w:r>
      <w:r w:rsidRPr="00BD6D63">
        <w:rPr>
          <w:rFonts w:ascii="Times New Roman" w:hAnsi="Times New Roman"/>
          <w:szCs w:val="21"/>
        </w:rPr>
        <w:t>[J]. High Power Laser Science and Engineering, 2024, 12</w:t>
      </w:r>
      <w:r w:rsidRPr="00BD6D63">
        <w:rPr>
          <w:rFonts w:ascii="Times New Roman" w:hAnsi="Times New Roman"/>
          <w:szCs w:val="21"/>
        </w:rPr>
        <w:t>（</w:t>
      </w:r>
      <w:r w:rsidRPr="00BD6D63">
        <w:rPr>
          <w:rFonts w:ascii="Times New Roman" w:hAnsi="Times New Roman"/>
          <w:szCs w:val="21"/>
        </w:rPr>
        <w:t>2</w:t>
      </w:r>
      <w:r w:rsidRPr="00BD6D63">
        <w:rPr>
          <w:rFonts w:ascii="Times New Roman" w:hAnsi="Times New Roman"/>
          <w:szCs w:val="21"/>
        </w:rPr>
        <w:t>）</w:t>
      </w:r>
      <w:r w:rsidRPr="00BD6D63">
        <w:rPr>
          <w:rFonts w:ascii="Times New Roman" w:hAnsi="Times New Roman"/>
          <w:szCs w:val="21"/>
        </w:rPr>
        <w:t>: e13-1~e13-15.</w:t>
      </w:r>
    </w:p>
    <w:bookmarkEnd w:id="4"/>
    <w:p w14:paraId="6A543BE6" w14:textId="46213DA0" w:rsidR="00930D29" w:rsidRDefault="00930D29" w:rsidP="006A26A5">
      <w:pPr>
        <w:rPr>
          <w:rFonts w:ascii="Times New Roman" w:eastAsia="宋体" w:hAnsi="Times New Roman"/>
          <w:b/>
          <w:bCs/>
          <w:color w:val="4472C4"/>
          <w:kern w:val="0"/>
          <w:szCs w:val="21"/>
        </w:rPr>
      </w:pPr>
    </w:p>
    <w:p w14:paraId="22C11658" w14:textId="6856B024" w:rsidR="0097254C" w:rsidRPr="001E4E7A" w:rsidRDefault="00515DFE" w:rsidP="006A26A5">
      <w:pPr>
        <w:rPr>
          <w:rFonts w:ascii="宋体" w:eastAsia="宋体" w:hAnsi="宋体"/>
          <w:color w:val="FF0000"/>
          <w:sz w:val="32"/>
          <w:szCs w:val="32"/>
        </w:rPr>
      </w:pPr>
      <w:r w:rsidRPr="001E4E7A">
        <w:rPr>
          <w:rFonts w:ascii="宋体" w:eastAsia="宋体" w:hAnsi="宋体"/>
          <w:color w:val="FF0000"/>
          <w:sz w:val="32"/>
          <w:szCs w:val="32"/>
        </w:rPr>
        <w:t>1</w:t>
      </w:r>
      <w:r w:rsidRPr="001E4E7A">
        <w:rPr>
          <w:rFonts w:ascii="宋体" w:eastAsia="宋体" w:hAnsi="宋体" w:hint="eastAsia"/>
          <w:color w:val="FF0000"/>
          <w:sz w:val="32"/>
          <w:szCs w:val="32"/>
        </w:rPr>
        <w:t>、</w:t>
      </w:r>
      <w:r w:rsidR="0097254C" w:rsidRPr="001E4E7A">
        <w:rPr>
          <w:rFonts w:ascii="宋体" w:eastAsia="宋体" w:hAnsi="宋体" w:hint="eastAsia"/>
          <w:color w:val="FF0000"/>
          <w:sz w:val="32"/>
          <w:szCs w:val="32"/>
        </w:rPr>
        <w:t>基金项目</w:t>
      </w:r>
    </w:p>
    <w:p w14:paraId="2BB12C4E" w14:textId="3F91218C" w:rsidR="00515DFE" w:rsidRDefault="0097254C" w:rsidP="006A26A5">
      <w:pPr>
        <w:rPr>
          <w:rFonts w:ascii="Times New Roman" w:eastAsia="宋体" w:hAnsi="Times New Roman"/>
          <w:szCs w:val="21"/>
        </w:rPr>
      </w:pPr>
      <w:r w:rsidRPr="00515DFE">
        <w:rPr>
          <w:rFonts w:ascii="Times New Roman" w:eastAsia="宋体" w:hAnsi="Times New Roman" w:hint="eastAsia"/>
          <w:szCs w:val="21"/>
        </w:rPr>
        <w:t>基金项目：</w:t>
      </w:r>
      <w:r w:rsidR="00515DFE" w:rsidRPr="00515DFE">
        <w:rPr>
          <w:rFonts w:ascii="Times New Roman" w:eastAsia="宋体" w:hAnsi="Times New Roman"/>
          <w:szCs w:val="21"/>
        </w:rPr>
        <w:t>海南省自然科学基金资助（编号：</w:t>
      </w:r>
      <w:r w:rsidR="00515DFE" w:rsidRPr="00515DFE">
        <w:rPr>
          <w:rFonts w:ascii="Times New Roman" w:eastAsia="宋体" w:hAnsi="Times New Roman"/>
          <w:szCs w:val="21"/>
        </w:rPr>
        <w:t>525QN389</w:t>
      </w:r>
      <w:r w:rsidR="00515DFE" w:rsidRPr="00515DFE">
        <w:rPr>
          <w:rFonts w:ascii="Times New Roman" w:eastAsia="宋体" w:hAnsi="Times New Roman"/>
          <w:szCs w:val="21"/>
        </w:rPr>
        <w:t>）</w:t>
      </w:r>
      <w:r w:rsidR="00515DFE">
        <w:rPr>
          <w:rFonts w:ascii="Times New Roman" w:eastAsia="宋体" w:hAnsi="Times New Roman" w:hint="eastAsia"/>
          <w:szCs w:val="21"/>
        </w:rPr>
        <w:t>。</w:t>
      </w:r>
    </w:p>
    <w:p w14:paraId="3DC0D6B8" w14:textId="65D61312" w:rsidR="00515DFE" w:rsidRPr="001E4E7A" w:rsidRDefault="00515DFE" w:rsidP="006A26A5">
      <w:pPr>
        <w:rPr>
          <w:rFonts w:ascii="宋体" w:eastAsia="宋体" w:hAnsi="宋体"/>
          <w:color w:val="FF0000"/>
          <w:sz w:val="32"/>
          <w:szCs w:val="32"/>
        </w:rPr>
      </w:pPr>
      <w:r w:rsidRPr="001E4E7A">
        <w:rPr>
          <w:rFonts w:ascii="宋体" w:eastAsia="宋体" w:hAnsi="宋体" w:hint="eastAsia"/>
          <w:color w:val="FF0000"/>
          <w:sz w:val="32"/>
          <w:szCs w:val="32"/>
        </w:rPr>
        <w:t>2、作者简介</w:t>
      </w:r>
    </w:p>
    <w:p w14:paraId="365924CD" w14:textId="211D57DB" w:rsidR="00A57D9D" w:rsidRDefault="00030833" w:rsidP="006A26A5">
      <w:pPr>
        <w:rPr>
          <w:rFonts w:ascii="Times New Roman" w:eastAsia="宋体" w:hAnsi="Times New Roman"/>
          <w:szCs w:val="21"/>
        </w:rPr>
      </w:pPr>
      <w:r w:rsidRPr="00B56BF5">
        <w:rPr>
          <w:rFonts w:ascii="Times New Roman" w:eastAsia="宋体" w:hAnsi="Times New Roman"/>
          <w:b/>
          <w:szCs w:val="21"/>
        </w:rPr>
        <w:t>作者简介：</w:t>
      </w:r>
      <w:r w:rsidR="001E4E7A" w:rsidRPr="001E4E7A">
        <w:rPr>
          <w:rFonts w:ascii="Times New Roman" w:eastAsia="宋体" w:hAnsi="Times New Roman" w:hint="eastAsia"/>
          <w:szCs w:val="21"/>
        </w:rPr>
        <w:t>童晓玲（</w:t>
      </w:r>
      <w:r w:rsidR="001E4E7A" w:rsidRPr="001E4E7A">
        <w:rPr>
          <w:rFonts w:ascii="Times New Roman" w:eastAsia="宋体" w:hAnsi="Times New Roman"/>
          <w:szCs w:val="21"/>
        </w:rPr>
        <w:t>1979-</w:t>
      </w:r>
      <w:r w:rsidR="001E4E7A" w:rsidRPr="001E4E7A">
        <w:rPr>
          <w:rFonts w:ascii="Times New Roman" w:eastAsia="宋体" w:hAnsi="Times New Roman"/>
          <w:szCs w:val="21"/>
        </w:rPr>
        <w:t>），女，湖北随州人，博士，副教授，武汉理工大学机电工程学院教师。主要研究方向：光纤传感技术、新型光纤传感器及信息处理、光纤智能材料与结构、基于光纤传感的大型装备与结构的安全监测与预警等。</w:t>
      </w:r>
    </w:p>
    <w:p w14:paraId="102FD1A4" w14:textId="214B6326" w:rsidR="001311C9" w:rsidRPr="001311C9" w:rsidRDefault="00F82EE3" w:rsidP="006A26A5">
      <w:pPr>
        <w:rPr>
          <w:rFonts w:ascii="Times New Roman" w:eastAsia="宋体" w:hAnsi="Times New Roman"/>
          <w:szCs w:val="21"/>
        </w:rPr>
      </w:pPr>
      <w:r>
        <w:rPr>
          <w:rFonts w:ascii="Times New Roman" w:eastAsia="宋体" w:hAnsi="Times New Roman"/>
          <w:noProof/>
          <w:szCs w:val="21"/>
        </w:rPr>
        <w:lastRenderedPageBreak/>
        <w:drawing>
          <wp:inline distT="0" distB="0" distL="0" distR="0" wp14:anchorId="2C391A86" wp14:editId="44B650ED">
            <wp:extent cx="723900" cy="108585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23900" cy="1085850"/>
                    </a:xfrm>
                    <a:prstGeom prst="rect">
                      <a:avLst/>
                    </a:prstGeom>
                    <a:noFill/>
                    <a:ln>
                      <a:noFill/>
                    </a:ln>
                  </pic:spPr>
                </pic:pic>
              </a:graphicData>
            </a:graphic>
          </wp:inline>
        </w:drawing>
      </w:r>
    </w:p>
    <w:p w14:paraId="14E592FC" w14:textId="082DD32E" w:rsidR="00B74851" w:rsidRDefault="00A57D9D" w:rsidP="006A26A5">
      <w:pPr>
        <w:rPr>
          <w:rFonts w:ascii="Times New Roman" w:eastAsia="宋体" w:hAnsi="Times New Roman"/>
          <w:szCs w:val="21"/>
        </w:rPr>
      </w:pPr>
      <w:r w:rsidRPr="00A57D9D">
        <w:rPr>
          <w:rFonts w:ascii="Times New Roman" w:eastAsia="宋体" w:hAnsi="Times New Roman"/>
          <w:b/>
          <w:szCs w:val="21"/>
          <w:vertAlign w:val="superscript"/>
        </w:rPr>
        <w:t>*</w:t>
      </w:r>
      <w:r w:rsidR="00CA1586" w:rsidRPr="00CA1586">
        <w:rPr>
          <w:rFonts w:ascii="Times New Roman" w:eastAsia="宋体" w:hAnsi="Times New Roman" w:hint="eastAsia"/>
          <w:b/>
          <w:szCs w:val="21"/>
        </w:rPr>
        <w:t>通信</w:t>
      </w:r>
      <w:r w:rsidR="00CA1586" w:rsidRPr="00CA1586">
        <w:rPr>
          <w:rFonts w:ascii="Times New Roman" w:eastAsia="宋体" w:hAnsi="Times New Roman"/>
          <w:b/>
          <w:szCs w:val="21"/>
        </w:rPr>
        <w:t>作者</w:t>
      </w:r>
      <w:r w:rsidR="00CA1586" w:rsidRPr="00A57D9D">
        <w:rPr>
          <w:rFonts w:ascii="Times New Roman" w:eastAsia="宋体" w:hAnsi="Times New Roman"/>
          <w:b/>
          <w:szCs w:val="21"/>
        </w:rPr>
        <w:t>：</w:t>
      </w:r>
      <w:r w:rsidRPr="00A57D9D">
        <w:rPr>
          <w:rFonts w:ascii="Times New Roman" w:eastAsia="宋体" w:hAnsi="Times New Roman" w:hint="eastAsia"/>
          <w:szCs w:val="21"/>
        </w:rPr>
        <w:t>梁磊（</w:t>
      </w:r>
      <w:r w:rsidRPr="00A57D9D">
        <w:rPr>
          <w:rFonts w:ascii="Times New Roman" w:eastAsia="宋体" w:hAnsi="Times New Roman"/>
          <w:szCs w:val="21"/>
        </w:rPr>
        <w:t>1963—</w:t>
      </w:r>
      <w:r w:rsidRPr="00A57D9D">
        <w:rPr>
          <w:rFonts w:ascii="Times New Roman" w:eastAsia="宋体" w:hAnsi="Times New Roman"/>
          <w:szCs w:val="21"/>
        </w:rPr>
        <w:t>），男，博士，教授，主要从事光纤传感方面的研究。</w:t>
      </w:r>
    </w:p>
    <w:sectPr w:rsidR="00B74851" w:rsidSect="001875FC">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F0DC5" w14:textId="77777777" w:rsidR="001A6A05" w:rsidRDefault="001A6A05" w:rsidP="001875FC">
      <w:r>
        <w:separator/>
      </w:r>
    </w:p>
  </w:endnote>
  <w:endnote w:type="continuationSeparator" w:id="0">
    <w:p w14:paraId="11837A8F" w14:textId="77777777" w:rsidR="001A6A05" w:rsidRDefault="001A6A05"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Math">
    <w:panose1 w:val="00000000000000000000"/>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33F8C" w14:textId="77777777" w:rsidR="001A6A05" w:rsidRDefault="001A6A05" w:rsidP="001875FC">
      <w:r>
        <w:separator/>
      </w:r>
    </w:p>
  </w:footnote>
  <w:footnote w:type="continuationSeparator" w:id="0">
    <w:p w14:paraId="789744E3" w14:textId="77777777" w:rsidR="001A6A05" w:rsidRDefault="001A6A05" w:rsidP="001875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5A692605"/>
    <w:multiLevelType w:val="hybridMultilevel"/>
    <w:tmpl w:val="82D0D64C"/>
    <w:lvl w:ilvl="0" w:tplc="F9049B7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zh-CN" w:vendorID="64" w:dllVersion="131077"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147B8"/>
    <w:rsid w:val="000243AA"/>
    <w:rsid w:val="00030833"/>
    <w:rsid w:val="00037DF2"/>
    <w:rsid w:val="00043569"/>
    <w:rsid w:val="00045035"/>
    <w:rsid w:val="000458A9"/>
    <w:rsid w:val="00046B61"/>
    <w:rsid w:val="00050E93"/>
    <w:rsid w:val="00052D74"/>
    <w:rsid w:val="000625F9"/>
    <w:rsid w:val="000626C9"/>
    <w:rsid w:val="00072CCB"/>
    <w:rsid w:val="00080DF1"/>
    <w:rsid w:val="000904E6"/>
    <w:rsid w:val="000B1DE1"/>
    <w:rsid w:val="000B5C06"/>
    <w:rsid w:val="000B5D8B"/>
    <w:rsid w:val="000D462F"/>
    <w:rsid w:val="000E6AF8"/>
    <w:rsid w:val="000F114B"/>
    <w:rsid w:val="000F27E7"/>
    <w:rsid w:val="000F7C33"/>
    <w:rsid w:val="000F7C7C"/>
    <w:rsid w:val="001015D9"/>
    <w:rsid w:val="001311C9"/>
    <w:rsid w:val="001343E9"/>
    <w:rsid w:val="00135BD7"/>
    <w:rsid w:val="00135F8D"/>
    <w:rsid w:val="00141CCE"/>
    <w:rsid w:val="00146C8E"/>
    <w:rsid w:val="0014790E"/>
    <w:rsid w:val="00153492"/>
    <w:rsid w:val="001562A4"/>
    <w:rsid w:val="00164B90"/>
    <w:rsid w:val="001664A3"/>
    <w:rsid w:val="00177564"/>
    <w:rsid w:val="001775AF"/>
    <w:rsid w:val="00182C48"/>
    <w:rsid w:val="001864E1"/>
    <w:rsid w:val="00186E1C"/>
    <w:rsid w:val="001875FC"/>
    <w:rsid w:val="00197193"/>
    <w:rsid w:val="00197BD7"/>
    <w:rsid w:val="001A2626"/>
    <w:rsid w:val="001A6A05"/>
    <w:rsid w:val="001B174F"/>
    <w:rsid w:val="001B1789"/>
    <w:rsid w:val="001D379F"/>
    <w:rsid w:val="001D429A"/>
    <w:rsid w:val="001E4E7A"/>
    <w:rsid w:val="001E5195"/>
    <w:rsid w:val="001F53CE"/>
    <w:rsid w:val="001F5A3F"/>
    <w:rsid w:val="00202D03"/>
    <w:rsid w:val="0021250A"/>
    <w:rsid w:val="00224A40"/>
    <w:rsid w:val="00232F6E"/>
    <w:rsid w:val="00234CBF"/>
    <w:rsid w:val="002504C4"/>
    <w:rsid w:val="00250BBB"/>
    <w:rsid w:val="00251E18"/>
    <w:rsid w:val="00255698"/>
    <w:rsid w:val="00272FCF"/>
    <w:rsid w:val="00274529"/>
    <w:rsid w:val="00276481"/>
    <w:rsid w:val="00283939"/>
    <w:rsid w:val="00292117"/>
    <w:rsid w:val="00297639"/>
    <w:rsid w:val="002A3E66"/>
    <w:rsid w:val="002B58C5"/>
    <w:rsid w:val="002B675B"/>
    <w:rsid w:val="002C02CE"/>
    <w:rsid w:val="002C40AC"/>
    <w:rsid w:val="002D15C7"/>
    <w:rsid w:val="002E0C53"/>
    <w:rsid w:val="002E73D7"/>
    <w:rsid w:val="002E7F6B"/>
    <w:rsid w:val="00312337"/>
    <w:rsid w:val="00326E2B"/>
    <w:rsid w:val="003278C4"/>
    <w:rsid w:val="0033213E"/>
    <w:rsid w:val="003334AC"/>
    <w:rsid w:val="00333C76"/>
    <w:rsid w:val="0035019C"/>
    <w:rsid w:val="00350D16"/>
    <w:rsid w:val="003540A2"/>
    <w:rsid w:val="00363BC8"/>
    <w:rsid w:val="003710D3"/>
    <w:rsid w:val="00375C88"/>
    <w:rsid w:val="003813F8"/>
    <w:rsid w:val="00385940"/>
    <w:rsid w:val="00386928"/>
    <w:rsid w:val="00386C89"/>
    <w:rsid w:val="003963C0"/>
    <w:rsid w:val="003B0912"/>
    <w:rsid w:val="003B4C6E"/>
    <w:rsid w:val="003B4E2D"/>
    <w:rsid w:val="003B61A3"/>
    <w:rsid w:val="003C04BD"/>
    <w:rsid w:val="003C3C56"/>
    <w:rsid w:val="003C7469"/>
    <w:rsid w:val="003D2DC7"/>
    <w:rsid w:val="003E12B2"/>
    <w:rsid w:val="003E6DB0"/>
    <w:rsid w:val="003F6019"/>
    <w:rsid w:val="00401201"/>
    <w:rsid w:val="00401F62"/>
    <w:rsid w:val="00414FF6"/>
    <w:rsid w:val="00421FE7"/>
    <w:rsid w:val="004333AB"/>
    <w:rsid w:val="00434C59"/>
    <w:rsid w:val="00447727"/>
    <w:rsid w:val="0045082D"/>
    <w:rsid w:val="00460680"/>
    <w:rsid w:val="00475021"/>
    <w:rsid w:val="00476E03"/>
    <w:rsid w:val="0048355A"/>
    <w:rsid w:val="00485A7B"/>
    <w:rsid w:val="0049525D"/>
    <w:rsid w:val="004A01BD"/>
    <w:rsid w:val="004A2781"/>
    <w:rsid w:val="004B2503"/>
    <w:rsid w:val="004B40C0"/>
    <w:rsid w:val="004B77DD"/>
    <w:rsid w:val="004C44F7"/>
    <w:rsid w:val="004E1905"/>
    <w:rsid w:val="004E478B"/>
    <w:rsid w:val="004E6D37"/>
    <w:rsid w:val="004F06E4"/>
    <w:rsid w:val="004F609C"/>
    <w:rsid w:val="00507BB7"/>
    <w:rsid w:val="00514B57"/>
    <w:rsid w:val="00514DAE"/>
    <w:rsid w:val="00515DFE"/>
    <w:rsid w:val="00521AB2"/>
    <w:rsid w:val="00532DFA"/>
    <w:rsid w:val="00540410"/>
    <w:rsid w:val="0055280A"/>
    <w:rsid w:val="00553572"/>
    <w:rsid w:val="0055586C"/>
    <w:rsid w:val="0055734B"/>
    <w:rsid w:val="005618DC"/>
    <w:rsid w:val="005664DB"/>
    <w:rsid w:val="00587AB7"/>
    <w:rsid w:val="00594B22"/>
    <w:rsid w:val="00596717"/>
    <w:rsid w:val="005A5E82"/>
    <w:rsid w:val="005A6024"/>
    <w:rsid w:val="005B03C2"/>
    <w:rsid w:val="005B348C"/>
    <w:rsid w:val="005C2EF1"/>
    <w:rsid w:val="005D0C3A"/>
    <w:rsid w:val="005D2DF1"/>
    <w:rsid w:val="005E21D2"/>
    <w:rsid w:val="0060431E"/>
    <w:rsid w:val="00610C96"/>
    <w:rsid w:val="00621E91"/>
    <w:rsid w:val="006254B9"/>
    <w:rsid w:val="00625537"/>
    <w:rsid w:val="00627825"/>
    <w:rsid w:val="006352F8"/>
    <w:rsid w:val="00641132"/>
    <w:rsid w:val="00645DC4"/>
    <w:rsid w:val="00651F1F"/>
    <w:rsid w:val="00652297"/>
    <w:rsid w:val="006654A6"/>
    <w:rsid w:val="006705BC"/>
    <w:rsid w:val="00673242"/>
    <w:rsid w:val="00675A12"/>
    <w:rsid w:val="00677BB8"/>
    <w:rsid w:val="00693891"/>
    <w:rsid w:val="006A26A5"/>
    <w:rsid w:val="006A36F3"/>
    <w:rsid w:val="006B5D9C"/>
    <w:rsid w:val="006D1577"/>
    <w:rsid w:val="006D2875"/>
    <w:rsid w:val="006D2D90"/>
    <w:rsid w:val="006D4B9D"/>
    <w:rsid w:val="006D5002"/>
    <w:rsid w:val="006D6908"/>
    <w:rsid w:val="006D7A7D"/>
    <w:rsid w:val="006F17F8"/>
    <w:rsid w:val="006F4ABD"/>
    <w:rsid w:val="00701237"/>
    <w:rsid w:val="00705288"/>
    <w:rsid w:val="00713949"/>
    <w:rsid w:val="007269F1"/>
    <w:rsid w:val="007504B4"/>
    <w:rsid w:val="00754F4D"/>
    <w:rsid w:val="00757DFE"/>
    <w:rsid w:val="007674C4"/>
    <w:rsid w:val="0077758E"/>
    <w:rsid w:val="00783E71"/>
    <w:rsid w:val="0078608D"/>
    <w:rsid w:val="00786324"/>
    <w:rsid w:val="00786714"/>
    <w:rsid w:val="00793766"/>
    <w:rsid w:val="007959FF"/>
    <w:rsid w:val="00795F58"/>
    <w:rsid w:val="00796C1B"/>
    <w:rsid w:val="007A1703"/>
    <w:rsid w:val="007A66D7"/>
    <w:rsid w:val="007B0BB3"/>
    <w:rsid w:val="007C6170"/>
    <w:rsid w:val="007D2685"/>
    <w:rsid w:val="007D77E9"/>
    <w:rsid w:val="007E1963"/>
    <w:rsid w:val="007E44F6"/>
    <w:rsid w:val="007F0053"/>
    <w:rsid w:val="007F08C7"/>
    <w:rsid w:val="007F4F22"/>
    <w:rsid w:val="00802A60"/>
    <w:rsid w:val="00804CE2"/>
    <w:rsid w:val="00805B84"/>
    <w:rsid w:val="00815A1A"/>
    <w:rsid w:val="00815E76"/>
    <w:rsid w:val="00822F91"/>
    <w:rsid w:val="00826675"/>
    <w:rsid w:val="00830CB8"/>
    <w:rsid w:val="008457F7"/>
    <w:rsid w:val="0084769A"/>
    <w:rsid w:val="00854038"/>
    <w:rsid w:val="00860B7E"/>
    <w:rsid w:val="0086689F"/>
    <w:rsid w:val="0087215A"/>
    <w:rsid w:val="00872A3F"/>
    <w:rsid w:val="00873566"/>
    <w:rsid w:val="0087479C"/>
    <w:rsid w:val="008872ED"/>
    <w:rsid w:val="008902FC"/>
    <w:rsid w:val="00895637"/>
    <w:rsid w:val="0089702B"/>
    <w:rsid w:val="00897410"/>
    <w:rsid w:val="008B5626"/>
    <w:rsid w:val="008C33AF"/>
    <w:rsid w:val="008D010D"/>
    <w:rsid w:val="008F329A"/>
    <w:rsid w:val="00914328"/>
    <w:rsid w:val="00917577"/>
    <w:rsid w:val="009232CF"/>
    <w:rsid w:val="00924B37"/>
    <w:rsid w:val="00925464"/>
    <w:rsid w:val="00930860"/>
    <w:rsid w:val="00930D29"/>
    <w:rsid w:val="00932B08"/>
    <w:rsid w:val="00933375"/>
    <w:rsid w:val="00935FCA"/>
    <w:rsid w:val="00936DAA"/>
    <w:rsid w:val="009558D8"/>
    <w:rsid w:val="0096363A"/>
    <w:rsid w:val="009720AF"/>
    <w:rsid w:val="009723DD"/>
    <w:rsid w:val="0097254C"/>
    <w:rsid w:val="00990374"/>
    <w:rsid w:val="009A2FA2"/>
    <w:rsid w:val="009A39B9"/>
    <w:rsid w:val="009A3B54"/>
    <w:rsid w:val="009A7DF6"/>
    <w:rsid w:val="009B172C"/>
    <w:rsid w:val="009B33F2"/>
    <w:rsid w:val="009B6F09"/>
    <w:rsid w:val="009B7D79"/>
    <w:rsid w:val="009B7EA7"/>
    <w:rsid w:val="009D1B20"/>
    <w:rsid w:val="009D1C52"/>
    <w:rsid w:val="009E05B4"/>
    <w:rsid w:val="009F6E90"/>
    <w:rsid w:val="00A1130C"/>
    <w:rsid w:val="00A127B7"/>
    <w:rsid w:val="00A14765"/>
    <w:rsid w:val="00A14D5C"/>
    <w:rsid w:val="00A20F65"/>
    <w:rsid w:val="00A236B6"/>
    <w:rsid w:val="00A24185"/>
    <w:rsid w:val="00A264A4"/>
    <w:rsid w:val="00A41BFC"/>
    <w:rsid w:val="00A4260A"/>
    <w:rsid w:val="00A44532"/>
    <w:rsid w:val="00A523C2"/>
    <w:rsid w:val="00A54433"/>
    <w:rsid w:val="00A57D9D"/>
    <w:rsid w:val="00A64739"/>
    <w:rsid w:val="00A85D81"/>
    <w:rsid w:val="00A93022"/>
    <w:rsid w:val="00A9713B"/>
    <w:rsid w:val="00AA442B"/>
    <w:rsid w:val="00AB288D"/>
    <w:rsid w:val="00AC4297"/>
    <w:rsid w:val="00AC4AD1"/>
    <w:rsid w:val="00AC7AED"/>
    <w:rsid w:val="00AD493F"/>
    <w:rsid w:val="00AF0468"/>
    <w:rsid w:val="00B014C3"/>
    <w:rsid w:val="00B03197"/>
    <w:rsid w:val="00B04AB7"/>
    <w:rsid w:val="00B10422"/>
    <w:rsid w:val="00B10FA1"/>
    <w:rsid w:val="00B146BA"/>
    <w:rsid w:val="00B21D8A"/>
    <w:rsid w:val="00B36352"/>
    <w:rsid w:val="00B51DF0"/>
    <w:rsid w:val="00B5307D"/>
    <w:rsid w:val="00B5433B"/>
    <w:rsid w:val="00B56BF5"/>
    <w:rsid w:val="00B6364C"/>
    <w:rsid w:val="00B63EE4"/>
    <w:rsid w:val="00B662FF"/>
    <w:rsid w:val="00B66E43"/>
    <w:rsid w:val="00B71767"/>
    <w:rsid w:val="00B74851"/>
    <w:rsid w:val="00B74A14"/>
    <w:rsid w:val="00B85ADF"/>
    <w:rsid w:val="00B94F90"/>
    <w:rsid w:val="00B97449"/>
    <w:rsid w:val="00BC112D"/>
    <w:rsid w:val="00BC4C25"/>
    <w:rsid w:val="00BC74A1"/>
    <w:rsid w:val="00BD1CAB"/>
    <w:rsid w:val="00BD6D63"/>
    <w:rsid w:val="00BE1E75"/>
    <w:rsid w:val="00BF1078"/>
    <w:rsid w:val="00BF5B72"/>
    <w:rsid w:val="00BF6C37"/>
    <w:rsid w:val="00C0524D"/>
    <w:rsid w:val="00C14AB2"/>
    <w:rsid w:val="00C25AF9"/>
    <w:rsid w:val="00C348A2"/>
    <w:rsid w:val="00C34D90"/>
    <w:rsid w:val="00C35939"/>
    <w:rsid w:val="00C4181C"/>
    <w:rsid w:val="00C47C80"/>
    <w:rsid w:val="00C512F1"/>
    <w:rsid w:val="00C51C58"/>
    <w:rsid w:val="00C555E9"/>
    <w:rsid w:val="00C578F1"/>
    <w:rsid w:val="00C6244D"/>
    <w:rsid w:val="00C6271E"/>
    <w:rsid w:val="00C67AC3"/>
    <w:rsid w:val="00C70D3D"/>
    <w:rsid w:val="00C73F5C"/>
    <w:rsid w:val="00C83F55"/>
    <w:rsid w:val="00CA0A57"/>
    <w:rsid w:val="00CA1586"/>
    <w:rsid w:val="00CA4B9C"/>
    <w:rsid w:val="00CA7675"/>
    <w:rsid w:val="00CA7D5B"/>
    <w:rsid w:val="00CB2489"/>
    <w:rsid w:val="00CB2670"/>
    <w:rsid w:val="00CB43F1"/>
    <w:rsid w:val="00CB62F3"/>
    <w:rsid w:val="00CD6544"/>
    <w:rsid w:val="00CD7976"/>
    <w:rsid w:val="00CE04C8"/>
    <w:rsid w:val="00CE476C"/>
    <w:rsid w:val="00CF5E8E"/>
    <w:rsid w:val="00D03243"/>
    <w:rsid w:val="00D10808"/>
    <w:rsid w:val="00D22B72"/>
    <w:rsid w:val="00D23FFE"/>
    <w:rsid w:val="00D52587"/>
    <w:rsid w:val="00D571CC"/>
    <w:rsid w:val="00D65C0E"/>
    <w:rsid w:val="00D67F02"/>
    <w:rsid w:val="00D739BB"/>
    <w:rsid w:val="00D73AFE"/>
    <w:rsid w:val="00D76987"/>
    <w:rsid w:val="00D837D0"/>
    <w:rsid w:val="00D87119"/>
    <w:rsid w:val="00D93B95"/>
    <w:rsid w:val="00D97BD5"/>
    <w:rsid w:val="00DA2352"/>
    <w:rsid w:val="00DA44EA"/>
    <w:rsid w:val="00DA621B"/>
    <w:rsid w:val="00DA6FA8"/>
    <w:rsid w:val="00DB64BF"/>
    <w:rsid w:val="00DB64E1"/>
    <w:rsid w:val="00DC4518"/>
    <w:rsid w:val="00DC5A1B"/>
    <w:rsid w:val="00DD02C0"/>
    <w:rsid w:val="00DD127B"/>
    <w:rsid w:val="00DD384B"/>
    <w:rsid w:val="00DD3DF6"/>
    <w:rsid w:val="00DD3EF5"/>
    <w:rsid w:val="00DD6C95"/>
    <w:rsid w:val="00DE1FE5"/>
    <w:rsid w:val="00DE2729"/>
    <w:rsid w:val="00DF129F"/>
    <w:rsid w:val="00DF4DF8"/>
    <w:rsid w:val="00E00E86"/>
    <w:rsid w:val="00E03170"/>
    <w:rsid w:val="00E1325E"/>
    <w:rsid w:val="00E13457"/>
    <w:rsid w:val="00E201D4"/>
    <w:rsid w:val="00E32DD0"/>
    <w:rsid w:val="00E37947"/>
    <w:rsid w:val="00E42B25"/>
    <w:rsid w:val="00E522E1"/>
    <w:rsid w:val="00E54020"/>
    <w:rsid w:val="00E65342"/>
    <w:rsid w:val="00E668E9"/>
    <w:rsid w:val="00E72BF1"/>
    <w:rsid w:val="00E73E70"/>
    <w:rsid w:val="00E83002"/>
    <w:rsid w:val="00E84776"/>
    <w:rsid w:val="00E85618"/>
    <w:rsid w:val="00E86066"/>
    <w:rsid w:val="00E90C3C"/>
    <w:rsid w:val="00EC17AD"/>
    <w:rsid w:val="00EC65ED"/>
    <w:rsid w:val="00EE67D1"/>
    <w:rsid w:val="00EE7919"/>
    <w:rsid w:val="00EF0104"/>
    <w:rsid w:val="00F03105"/>
    <w:rsid w:val="00F05844"/>
    <w:rsid w:val="00F21979"/>
    <w:rsid w:val="00F244CB"/>
    <w:rsid w:val="00F31BA5"/>
    <w:rsid w:val="00F466EE"/>
    <w:rsid w:val="00F46A19"/>
    <w:rsid w:val="00F53357"/>
    <w:rsid w:val="00F57CAE"/>
    <w:rsid w:val="00F64E20"/>
    <w:rsid w:val="00F81C0B"/>
    <w:rsid w:val="00F82EE3"/>
    <w:rsid w:val="00F83EE7"/>
    <w:rsid w:val="00F85217"/>
    <w:rsid w:val="00F9209D"/>
    <w:rsid w:val="00F94712"/>
    <w:rsid w:val="00FA3B02"/>
    <w:rsid w:val="00FC1706"/>
    <w:rsid w:val="00FF1397"/>
    <w:rsid w:val="00FF49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E2A5D"/>
  <w15:chartTrackingRefBased/>
  <w15:docId w15:val="{9C1D9DCB-EA45-4C36-9053-6D3218C8A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29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公式样式"/>
    <w:basedOn w:val="a"/>
    <w:link w:val="af3"/>
    <w:qFormat/>
    <w:rsid w:val="00283939"/>
    <w:pPr>
      <w:widowControl/>
      <w:tabs>
        <w:tab w:val="center" w:pos="4536"/>
        <w:tab w:val="right" w:pos="9072"/>
      </w:tabs>
      <w:spacing w:before="100" w:beforeAutospacing="1" w:after="100" w:afterAutospacing="1"/>
      <w:ind w:firstLineChars="200" w:firstLine="420"/>
      <w:jc w:val="left"/>
    </w:pPr>
    <w:rPr>
      <w:rFonts w:ascii="Times New Roman" w:eastAsia="宋体" w:hAnsi="Times New Roman"/>
      <w:sz w:val="24"/>
    </w:rPr>
  </w:style>
  <w:style w:type="character" w:customStyle="1" w:styleId="af3">
    <w:name w:val="公式样式 字符"/>
    <w:link w:val="af2"/>
    <w:qFormat/>
    <w:rsid w:val="00283939"/>
    <w:rPr>
      <w:rFonts w:ascii="Times New Roman" w:eastAsia="宋体" w:hAnsi="Times New Roman"/>
      <w:kern w:val="2"/>
      <w:sz w:val="24"/>
      <w:szCs w:val="22"/>
    </w:rPr>
  </w:style>
  <w:style w:type="paragraph" w:customStyle="1" w:styleId="MTDisplayEquation">
    <w:name w:val="MTDisplayEquation"/>
    <w:basedOn w:val="af2"/>
    <w:next w:val="a"/>
    <w:link w:val="MTDisplayEquation0"/>
    <w:rsid w:val="00283939"/>
    <w:pPr>
      <w:tabs>
        <w:tab w:val="clear" w:pos="4536"/>
        <w:tab w:val="clear" w:pos="9072"/>
        <w:tab w:val="center" w:pos="4153"/>
        <w:tab w:val="center" w:pos="8306"/>
      </w:tabs>
      <w:snapToGrid w:val="0"/>
      <w:spacing w:before="0" w:beforeAutospacing="0" w:after="0" w:afterAutospacing="0"/>
      <w:ind w:firstLineChars="0" w:firstLine="0"/>
      <w:jc w:val="center"/>
    </w:pPr>
    <w:rPr>
      <w:szCs w:val="21"/>
    </w:rPr>
  </w:style>
  <w:style w:type="character" w:customStyle="1" w:styleId="MTDisplayEquation0">
    <w:name w:val="MTDisplayEquation 字符"/>
    <w:link w:val="MTDisplayEquation"/>
    <w:rsid w:val="00283939"/>
    <w:rPr>
      <w:rFonts w:ascii="Times New Roman" w:eastAsia="宋体" w:hAnsi="Times New Roman"/>
      <w:kern w:val="2"/>
      <w:sz w:val="24"/>
      <w:szCs w:val="21"/>
    </w:rPr>
  </w:style>
  <w:style w:type="paragraph" w:styleId="af4">
    <w:name w:val="Normal (Web)"/>
    <w:basedOn w:val="a"/>
    <w:uiPriority w:val="99"/>
    <w:unhideWhenUsed/>
    <w:qFormat/>
    <w:rsid w:val="00283939"/>
    <w:pPr>
      <w:widowControl/>
      <w:spacing w:before="100" w:beforeAutospacing="1" w:after="100" w:afterAutospacing="1"/>
      <w:jc w:val="left"/>
    </w:pPr>
    <w:rPr>
      <w:rFonts w:ascii="宋体" w:eastAsia="宋体" w:hAnsi="宋体" w:cs="宋体"/>
      <w:kern w:val="0"/>
      <w:sz w:val="24"/>
      <w:szCs w:val="24"/>
    </w:rPr>
  </w:style>
  <w:style w:type="character" w:customStyle="1" w:styleId="UnresolvedMention">
    <w:name w:val="Unresolved Mention"/>
    <w:uiPriority w:val="99"/>
    <w:semiHidden/>
    <w:unhideWhenUsed/>
    <w:rsid w:val="001311C9"/>
    <w:rPr>
      <w:color w:val="605E5C"/>
      <w:shd w:val="clear" w:color="auto" w:fill="E1DFDD"/>
    </w:rPr>
  </w:style>
  <w:style w:type="character" w:styleId="af5">
    <w:name w:val="Placeholder Text"/>
    <w:basedOn w:val="a0"/>
    <w:uiPriority w:val="99"/>
    <w:semiHidden/>
    <w:rsid w:val="00F82E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17783">
      <w:bodyDiv w:val="1"/>
      <w:marLeft w:val="0"/>
      <w:marRight w:val="0"/>
      <w:marTop w:val="0"/>
      <w:marBottom w:val="0"/>
      <w:divBdr>
        <w:top w:val="none" w:sz="0" w:space="0" w:color="auto"/>
        <w:left w:val="none" w:sz="0" w:space="0" w:color="auto"/>
        <w:bottom w:val="none" w:sz="0" w:space="0" w:color="auto"/>
        <w:right w:val="none" w:sz="0" w:space="0" w:color="auto"/>
      </w:divBdr>
    </w:div>
    <w:div w:id="102893033">
      <w:bodyDiv w:val="1"/>
      <w:marLeft w:val="0"/>
      <w:marRight w:val="0"/>
      <w:marTop w:val="0"/>
      <w:marBottom w:val="0"/>
      <w:divBdr>
        <w:top w:val="none" w:sz="0" w:space="0" w:color="auto"/>
        <w:left w:val="none" w:sz="0" w:space="0" w:color="auto"/>
        <w:bottom w:val="none" w:sz="0" w:space="0" w:color="auto"/>
        <w:right w:val="none" w:sz="0" w:space="0" w:color="auto"/>
      </w:divBdr>
    </w:div>
    <w:div w:id="175967883">
      <w:bodyDiv w:val="1"/>
      <w:marLeft w:val="0"/>
      <w:marRight w:val="0"/>
      <w:marTop w:val="0"/>
      <w:marBottom w:val="0"/>
      <w:divBdr>
        <w:top w:val="none" w:sz="0" w:space="0" w:color="auto"/>
        <w:left w:val="none" w:sz="0" w:space="0" w:color="auto"/>
        <w:bottom w:val="none" w:sz="0" w:space="0" w:color="auto"/>
        <w:right w:val="none" w:sz="0" w:space="0" w:color="auto"/>
      </w:divBdr>
    </w:div>
    <w:div w:id="75212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2.vs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Visio___6.vsdx"/><Relationship Id="rId34"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package" Target="embeddings/Microsoft_Visio___8.vsdx"/><Relationship Id="rId33" Type="http://schemas.openxmlformats.org/officeDocument/2006/relationships/package" Target="embeddings/Microsoft_Visio___12.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Visio___10.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9.emf"/><Relationship Id="rId32" Type="http://schemas.openxmlformats.org/officeDocument/2006/relationships/image" Target="media/image13.emf"/><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package" Target="embeddings/Microsoft_Visio___7.vsdx"/><Relationship Id="rId28" Type="http://schemas.openxmlformats.org/officeDocument/2006/relationships/image" Target="media/image11.emf"/><Relationship Id="rId36"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package" Target="embeddings/Microsoft_Visio___5.vsdx"/><Relationship Id="rId31" Type="http://schemas.openxmlformats.org/officeDocument/2006/relationships/package" Target="embeddings/Microsoft_Visio___11.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Visio___9.vsdx"/><Relationship Id="rId30" Type="http://schemas.openxmlformats.org/officeDocument/2006/relationships/image" Target="media/image12.emf"/><Relationship Id="rId35" Type="http://schemas.openxmlformats.org/officeDocument/2006/relationships/fontTable" Target="fontTable.xml"/><Relationship Id="rId8"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BFC9A-935C-4463-BFE8-B440F534F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2188</Words>
  <Characters>12477</Characters>
  <Application>Microsoft Office Word</Application>
  <DocSecurity>0</DocSecurity>
  <Lines>103</Lines>
  <Paragraphs>29</Paragraphs>
  <ScaleCrop>false</ScaleCrop>
  <Company/>
  <LinksUpToDate>false</LinksUpToDate>
  <CharactersWithSpaces>14636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admin</cp:lastModifiedBy>
  <cp:revision>5</cp:revision>
  <cp:lastPrinted>2026-01-30T05:58:00Z</cp:lastPrinted>
  <dcterms:created xsi:type="dcterms:W3CDTF">2026-02-09T08:29:00Z</dcterms:created>
  <dcterms:modified xsi:type="dcterms:W3CDTF">2026-07-07T07:10:00Z</dcterms:modified>
</cp:coreProperties>
</file>