
<file path=[Content_Types].xml><?xml version="1.0" encoding="utf-8"?>
<Types xmlns="http://schemas.openxmlformats.org/package/2006/content-types">
  <Default Extension="bin" ContentType="application/vnd.openxmlformats-officedocument.oleObject"/>
  <Default Extension="emf" ContentType="image/x-emf"/>
  <Default Extension="wmf" ContentType="image/x-wmf"/>
  <Default Extension="rels" ContentType="application/vnd.openxmlformats-package.relationships+xml"/>
  <Default Extension="xml" ContentType="application/xml"/>
  <Default Extension="vsdx" ContentType="application/vnd.ms-visio.drawing"/>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Extensible.xml" ContentType="application/vnd.openxmlformats-officedocument.wordprocessingml.commentsExtensible+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584E789" w14:textId="77777777" w:rsidR="00C66954" w:rsidRDefault="00A773EE">
      <w:pPr>
        <w:jc w:val="center"/>
        <w:rPr>
          <w:rFonts w:ascii="黑体" w:eastAsia="黑体" w:hAnsi="黑体"/>
          <w:sz w:val="32"/>
          <w:szCs w:val="32"/>
        </w:rPr>
      </w:pPr>
      <w:r>
        <w:rPr>
          <w:rFonts w:ascii="黑体" w:eastAsia="黑体" w:hAnsi="黑体"/>
          <w:sz w:val="32"/>
          <w:szCs w:val="32"/>
        </w:rPr>
        <w:t>基于二维光子晶体的多波段太赫兹波4×2编码器</w:t>
      </w:r>
    </w:p>
    <w:p w14:paraId="66B36016" w14:textId="43295602" w:rsidR="00C66954" w:rsidRDefault="00A773EE">
      <w:pPr>
        <w:jc w:val="center"/>
        <w:rPr>
          <w:rFonts w:ascii="楷体_GB2312" w:eastAsia="楷体_GB2312" w:hAnsi="楷体"/>
          <w:sz w:val="24"/>
          <w:szCs w:val="24"/>
        </w:rPr>
      </w:pPr>
      <w:r w:rsidRPr="004F1999">
        <w:rPr>
          <w:rFonts w:ascii="楷体_GB2312" w:eastAsia="楷体_GB2312" w:hAnsi="楷体" w:hint="eastAsia"/>
          <w:sz w:val="24"/>
          <w:szCs w:val="24"/>
        </w:rPr>
        <w:t>孟</w:t>
      </w:r>
      <w:r w:rsidR="00FC3BED">
        <w:rPr>
          <w:rFonts w:ascii="楷体_GB2312" w:eastAsia="楷体_GB2312" w:hAnsi="楷体" w:hint="eastAsia"/>
          <w:sz w:val="24"/>
          <w:szCs w:val="24"/>
        </w:rPr>
        <w:t xml:space="preserve"> </w:t>
      </w:r>
      <w:r w:rsidRPr="004F1999">
        <w:rPr>
          <w:rFonts w:ascii="楷体_GB2312" w:eastAsia="楷体_GB2312" w:hAnsi="楷体" w:hint="eastAsia"/>
          <w:sz w:val="24"/>
          <w:szCs w:val="24"/>
        </w:rPr>
        <w:t>旭，李培丽</w:t>
      </w:r>
      <w:r>
        <w:rPr>
          <w:rFonts w:eastAsia="楷体_GB2312"/>
          <w:b/>
          <w:sz w:val="24"/>
          <w:szCs w:val="24"/>
        </w:rPr>
        <w:t>*</w:t>
      </w:r>
    </w:p>
    <w:p w14:paraId="0A7A2CB9" w14:textId="5301DED9" w:rsidR="00C66954" w:rsidRDefault="00A773EE">
      <w:pPr>
        <w:jc w:val="center"/>
        <w:rPr>
          <w:rFonts w:ascii="宋体" w:hAnsi="宋体"/>
          <w:sz w:val="15"/>
          <w:szCs w:val="15"/>
        </w:rPr>
      </w:pPr>
      <w:r>
        <w:rPr>
          <w:rFonts w:ascii="宋体" w:hAnsi="宋体" w:hint="eastAsia"/>
          <w:sz w:val="15"/>
          <w:szCs w:val="15"/>
        </w:rPr>
        <w:t xml:space="preserve">（南京邮电大学电子与光学工程学院、柔性电子（未来技术）学院，南京 </w:t>
      </w:r>
      <w:r>
        <w:rPr>
          <w:rFonts w:eastAsia="楷体_GB2312"/>
          <w:sz w:val="15"/>
          <w:szCs w:val="15"/>
        </w:rPr>
        <w:t>210023</w:t>
      </w:r>
      <w:r>
        <w:rPr>
          <w:rFonts w:ascii="宋体" w:hAnsi="宋体" w:hint="eastAsia"/>
          <w:sz w:val="15"/>
          <w:szCs w:val="15"/>
        </w:rPr>
        <w:t>）</w:t>
      </w:r>
    </w:p>
    <w:p w14:paraId="0C126AEF" w14:textId="77777777" w:rsidR="00C66954" w:rsidRDefault="00C66954">
      <w:pPr>
        <w:jc w:val="center"/>
        <w:rPr>
          <w:rFonts w:ascii="宋体" w:hAnsi="宋体"/>
          <w:sz w:val="18"/>
          <w:szCs w:val="18"/>
        </w:rPr>
      </w:pPr>
    </w:p>
    <w:p w14:paraId="399D0F5E" w14:textId="1848EFB9" w:rsidR="00C66954" w:rsidRDefault="00757BC9">
      <w:pPr>
        <w:rPr>
          <w:rFonts w:ascii="黑体" w:eastAsia="黑体" w:hAnsi="黑体"/>
          <w:b/>
          <w:bCs/>
        </w:rPr>
      </w:pPr>
      <w:r>
        <w:rPr>
          <w:rFonts w:asciiTheme="minorEastAsia" w:eastAsiaTheme="minorEastAsia" w:hAnsiTheme="minorEastAsia"/>
          <w:bCs/>
          <w:noProof/>
          <w:sz w:val="18"/>
          <w:szCs w:val="18"/>
        </w:rPr>
        <w:drawing>
          <wp:anchor distT="0" distB="0" distL="114300" distR="114300" simplePos="0" relativeHeight="251658240" behindDoc="0" locked="0" layoutInCell="1" allowOverlap="1" wp14:anchorId="7DC07E79" wp14:editId="308A7F8B">
            <wp:simplePos x="0" y="0"/>
            <wp:positionH relativeFrom="column">
              <wp:posOffset>4749800</wp:posOffset>
            </wp:positionH>
            <wp:positionV relativeFrom="paragraph">
              <wp:posOffset>1149350</wp:posOffset>
            </wp:positionV>
            <wp:extent cx="539115" cy="53911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孟旭OSID.jpg"/>
                    <pic:cNvPicPr/>
                  </pic:nvPicPr>
                  <pic:blipFill>
                    <a:blip r:embed="rId7">
                      <a:extLst>
                        <a:ext uri="{28A0092B-C50C-407E-A947-70E740481C1C}">
                          <a14:useLocalDpi xmlns:a14="http://schemas.microsoft.com/office/drawing/2010/main" val="0"/>
                        </a:ext>
                      </a:extLst>
                    </a:blip>
                    <a:stretch>
                      <a:fillRect/>
                    </a:stretch>
                  </pic:blipFill>
                  <pic:spPr>
                    <a:xfrm>
                      <a:off x="0" y="0"/>
                      <a:ext cx="539115" cy="539115"/>
                    </a:xfrm>
                    <a:prstGeom prst="rect">
                      <a:avLst/>
                    </a:prstGeom>
                  </pic:spPr>
                </pic:pic>
              </a:graphicData>
            </a:graphic>
            <wp14:sizeRelH relativeFrom="page">
              <wp14:pctWidth>0</wp14:pctWidth>
            </wp14:sizeRelH>
            <wp14:sizeRelV relativeFrom="page">
              <wp14:pctHeight>0</wp14:pctHeight>
            </wp14:sizeRelV>
          </wp:anchor>
        </w:drawing>
      </w:r>
      <w:r w:rsidR="00A773EE">
        <w:rPr>
          <w:rFonts w:ascii="宋体" w:hAnsi="宋体"/>
          <w:b/>
          <w:bCs/>
          <w:sz w:val="18"/>
          <w:szCs w:val="18"/>
        </w:rPr>
        <w:t>摘要</w:t>
      </w:r>
      <w:r w:rsidR="00A773EE">
        <w:rPr>
          <w:rFonts w:ascii="宋体" w:hAnsi="宋体" w:hint="eastAsia"/>
          <w:b/>
          <w:bCs/>
          <w:sz w:val="18"/>
          <w:szCs w:val="18"/>
        </w:rPr>
        <w:t>：</w:t>
      </w:r>
      <w:r w:rsidR="001512B1" w:rsidRPr="00207D34">
        <w:rPr>
          <w:rFonts w:ascii="楷体" w:eastAsia="楷体" w:hAnsi="楷体" w:hint="eastAsia"/>
          <w:sz w:val="18"/>
          <w:szCs w:val="18"/>
        </w:rPr>
        <w:t>为</w:t>
      </w:r>
      <w:r w:rsidR="00020525" w:rsidRPr="00207D34">
        <w:rPr>
          <w:rFonts w:ascii="楷体" w:eastAsia="楷体" w:hAnsi="楷体" w:hint="eastAsia"/>
          <w:sz w:val="18"/>
          <w:szCs w:val="18"/>
        </w:rPr>
        <w:t>了扩大</w:t>
      </w:r>
      <w:r w:rsidR="001512B1" w:rsidRPr="00207D34">
        <w:rPr>
          <w:rFonts w:ascii="楷体" w:eastAsia="楷体" w:hAnsi="楷体" w:hint="eastAsia"/>
          <w:sz w:val="18"/>
          <w:szCs w:val="18"/>
        </w:rPr>
        <w:t>编码器的适用</w:t>
      </w:r>
      <w:r w:rsidR="00AB0863" w:rsidRPr="00207D34">
        <w:rPr>
          <w:rFonts w:ascii="楷体" w:eastAsia="楷体" w:hAnsi="楷体" w:hint="eastAsia"/>
          <w:sz w:val="18"/>
          <w:szCs w:val="18"/>
        </w:rPr>
        <w:t>波段</w:t>
      </w:r>
      <w:r w:rsidR="001512B1" w:rsidRPr="00207D34">
        <w:rPr>
          <w:rFonts w:ascii="楷体" w:eastAsia="楷体" w:hAnsi="楷体" w:hint="eastAsia"/>
          <w:sz w:val="18"/>
          <w:szCs w:val="18"/>
        </w:rPr>
        <w:t>范围，</w:t>
      </w:r>
      <w:r w:rsidR="00A773EE" w:rsidRPr="0019692B">
        <w:rPr>
          <w:rFonts w:ascii="楷体" w:eastAsia="楷体" w:hAnsi="楷体" w:hint="eastAsia"/>
          <w:sz w:val="18"/>
          <w:szCs w:val="18"/>
        </w:rPr>
        <w:t>提出了一种基于二维正方晶格方形介质柱的新型光子晶体4×2编码器，该编码器能够在多个太赫兹波段实现4</w:t>
      </w:r>
      <w:r w:rsidR="00A773EE" w:rsidRPr="0019692B">
        <w:rPr>
          <w:rFonts w:ascii="楷体" w:eastAsia="楷体" w:hAnsi="楷体" w:hint="eastAsia"/>
          <w:color w:val="auto"/>
          <w:sz w:val="18"/>
          <w:szCs w:val="18"/>
        </w:rPr>
        <w:t>×</w:t>
      </w:r>
      <w:r w:rsidR="00A773EE" w:rsidRPr="0019692B">
        <w:rPr>
          <w:rFonts w:ascii="楷体" w:eastAsia="楷体" w:hAnsi="楷体" w:hint="eastAsia"/>
          <w:sz w:val="18"/>
          <w:szCs w:val="18"/>
        </w:rPr>
        <w:t>2编码功能。利用Rsoft软件结合平面波展开法（PWE）和时域有限差分（FDTD）</w:t>
      </w:r>
      <w:r w:rsidR="002C4180" w:rsidRPr="0019692B">
        <w:rPr>
          <w:rFonts w:ascii="楷体" w:eastAsia="楷体" w:hAnsi="楷体" w:hint="eastAsia"/>
          <w:sz w:val="18"/>
          <w:szCs w:val="18"/>
        </w:rPr>
        <w:t>法</w:t>
      </w:r>
      <w:r w:rsidR="002C4180">
        <w:rPr>
          <w:rFonts w:ascii="楷体" w:eastAsia="楷体" w:hAnsi="楷体" w:hint="eastAsia"/>
          <w:sz w:val="18"/>
          <w:szCs w:val="18"/>
        </w:rPr>
        <w:t>对</w:t>
      </w:r>
      <w:r w:rsidR="002C4180" w:rsidRPr="0019692B">
        <w:rPr>
          <w:rFonts w:ascii="楷体" w:eastAsia="楷体" w:hAnsi="楷体" w:hint="eastAsia"/>
          <w:sz w:val="18"/>
          <w:szCs w:val="18"/>
        </w:rPr>
        <w:t>编码器的性能</w:t>
      </w:r>
      <w:r w:rsidR="002C4180">
        <w:rPr>
          <w:rFonts w:ascii="楷体" w:eastAsia="楷体" w:hAnsi="楷体" w:hint="eastAsia"/>
          <w:sz w:val="18"/>
          <w:szCs w:val="18"/>
        </w:rPr>
        <w:t>进行</w:t>
      </w:r>
      <w:r w:rsidR="002C4180">
        <w:rPr>
          <w:rFonts w:ascii="楷体" w:eastAsia="楷体" w:hAnsi="楷体"/>
          <w:sz w:val="18"/>
          <w:szCs w:val="18"/>
        </w:rPr>
        <w:t>了</w:t>
      </w:r>
      <w:r w:rsidR="002C4180">
        <w:rPr>
          <w:rFonts w:ascii="楷体" w:eastAsia="楷体" w:hAnsi="楷体" w:hint="eastAsia"/>
          <w:sz w:val="18"/>
          <w:szCs w:val="18"/>
        </w:rPr>
        <w:t>深入</w:t>
      </w:r>
      <w:r w:rsidR="004E0C7D">
        <w:rPr>
          <w:rFonts w:ascii="楷体" w:eastAsia="楷体" w:hAnsi="楷体" w:hint="eastAsia"/>
          <w:sz w:val="18"/>
          <w:szCs w:val="18"/>
        </w:rPr>
        <w:t>的</w:t>
      </w:r>
      <w:r w:rsidR="00A773EE" w:rsidRPr="0019692B">
        <w:rPr>
          <w:rFonts w:ascii="楷体" w:eastAsia="楷体" w:hAnsi="楷体" w:hint="eastAsia"/>
          <w:sz w:val="18"/>
          <w:szCs w:val="18"/>
        </w:rPr>
        <w:t>研究</w:t>
      </w:r>
      <w:r w:rsidR="004E0C7D">
        <w:rPr>
          <w:rFonts w:ascii="楷体" w:eastAsia="楷体" w:hAnsi="楷体" w:hint="eastAsia"/>
          <w:sz w:val="18"/>
          <w:szCs w:val="18"/>
        </w:rPr>
        <w:t>和</w:t>
      </w:r>
      <w:r w:rsidR="004E0C7D">
        <w:rPr>
          <w:rFonts w:ascii="楷体" w:eastAsia="楷体" w:hAnsi="楷体"/>
          <w:sz w:val="18"/>
          <w:szCs w:val="18"/>
        </w:rPr>
        <w:t>分析</w:t>
      </w:r>
      <w:r w:rsidR="00A773EE" w:rsidRPr="0019692B">
        <w:rPr>
          <w:rFonts w:ascii="楷体" w:eastAsia="楷体" w:hAnsi="楷体" w:hint="eastAsia"/>
          <w:sz w:val="18"/>
          <w:szCs w:val="18"/>
        </w:rPr>
        <w:t>。研究结果表明：编码器的输出透过率会随着波导分支处介质柱的横向偏移量的变化而变化。经过优化设计后的太赫兹波4×2编码器能够在103.80～108.57 μm、109.19～111.12 μm以及111.94～114.08 μm这</w:t>
      </w:r>
      <w:r w:rsidR="001512B1">
        <w:rPr>
          <w:rFonts w:ascii="楷体" w:eastAsia="楷体" w:hAnsi="楷体" w:hint="eastAsia"/>
          <w:sz w:val="18"/>
          <w:szCs w:val="18"/>
        </w:rPr>
        <w:t>3</w:t>
      </w:r>
      <w:r w:rsidR="00A773EE" w:rsidRPr="0019692B">
        <w:rPr>
          <w:rFonts w:ascii="楷体" w:eastAsia="楷体" w:hAnsi="楷体" w:hint="eastAsia"/>
          <w:sz w:val="18"/>
          <w:szCs w:val="18"/>
        </w:rPr>
        <w:t>个波段内实现高对比度的4×2编码逻辑功能，且对比度不低于9.30 dB，最高可达到29.47 dB，响应时间不超过16.04 ps。</w:t>
      </w:r>
    </w:p>
    <w:p w14:paraId="596359FF" w14:textId="3BEF2A35" w:rsidR="00C66954" w:rsidRDefault="00A773EE">
      <w:r>
        <w:rPr>
          <w:rFonts w:asciiTheme="minorHAnsi" w:eastAsiaTheme="minorHAnsi" w:hAnsiTheme="minorHAnsi" w:hint="eastAsia"/>
          <w:b/>
          <w:bCs/>
          <w:sz w:val="18"/>
          <w:szCs w:val="18"/>
        </w:rPr>
        <w:t>关键词：</w:t>
      </w:r>
      <w:r w:rsidRPr="0019692B">
        <w:rPr>
          <w:rFonts w:ascii="楷体" w:eastAsia="楷体" w:hAnsi="楷体" w:hint="eastAsia"/>
          <w:sz w:val="18"/>
          <w:szCs w:val="18"/>
        </w:rPr>
        <w:t>太赫兹技术；编码器；光子晶体；逻辑门</w:t>
      </w:r>
    </w:p>
    <w:p w14:paraId="5380651A" w14:textId="4096DEF1" w:rsidR="00C66954" w:rsidRDefault="00A773EE">
      <w:pPr>
        <w:widowControl/>
        <w:rPr>
          <w:rFonts w:asciiTheme="minorEastAsia" w:eastAsiaTheme="minorEastAsia" w:hAnsiTheme="minorEastAsia"/>
          <w:bCs/>
          <w:sz w:val="18"/>
          <w:szCs w:val="18"/>
        </w:rPr>
      </w:pPr>
      <w:r>
        <w:rPr>
          <w:rFonts w:asciiTheme="minorEastAsia" w:eastAsiaTheme="minorEastAsia" w:hAnsiTheme="minorEastAsia" w:cs="宋体"/>
          <w:b/>
          <w:bCs/>
          <w:sz w:val="18"/>
          <w:szCs w:val="18"/>
        </w:rPr>
        <w:t>中图分类号</w:t>
      </w:r>
      <w:r>
        <w:rPr>
          <w:rFonts w:asciiTheme="minorEastAsia" w:eastAsiaTheme="minorEastAsia" w:hAnsiTheme="minorEastAsia" w:cs="宋体" w:hint="eastAsia"/>
          <w:b/>
          <w:bCs/>
          <w:sz w:val="18"/>
          <w:szCs w:val="18"/>
        </w:rPr>
        <w:t>：</w:t>
      </w:r>
      <w:r>
        <w:rPr>
          <w:rFonts w:asciiTheme="minorEastAsia" w:eastAsiaTheme="minorEastAsia" w:hAnsiTheme="minorEastAsia"/>
          <w:sz w:val="18"/>
          <w:szCs w:val="18"/>
        </w:rPr>
        <w:t>TN256</w:t>
      </w:r>
      <w:r>
        <w:rPr>
          <w:rFonts w:asciiTheme="minorEastAsia" w:eastAsiaTheme="minorEastAsia" w:hAnsiTheme="minorEastAsia" w:cs="宋体"/>
          <w:b/>
          <w:bCs/>
          <w:sz w:val="18"/>
          <w:szCs w:val="18"/>
        </w:rPr>
        <w:t xml:space="preserve">   </w:t>
      </w:r>
      <w:r w:rsidR="00757BC9">
        <w:rPr>
          <w:rFonts w:asciiTheme="minorEastAsia" w:eastAsiaTheme="minorEastAsia" w:hAnsiTheme="minorEastAsia" w:cs="宋体"/>
          <w:b/>
          <w:bCs/>
          <w:sz w:val="18"/>
          <w:szCs w:val="18"/>
        </w:rPr>
        <w:t xml:space="preserve">    </w:t>
      </w:r>
      <w:r>
        <w:rPr>
          <w:rFonts w:asciiTheme="minorEastAsia" w:eastAsiaTheme="minorEastAsia" w:hAnsiTheme="minorEastAsia" w:cs="宋体"/>
          <w:b/>
          <w:bCs/>
          <w:sz w:val="18"/>
          <w:szCs w:val="18"/>
        </w:rPr>
        <w:t xml:space="preserve"> 文献标</w:t>
      </w:r>
      <w:r>
        <w:rPr>
          <w:rFonts w:asciiTheme="minorEastAsia" w:eastAsiaTheme="minorEastAsia" w:hAnsiTheme="minorEastAsia" w:cs="宋体" w:hint="eastAsia"/>
          <w:b/>
          <w:bCs/>
          <w:sz w:val="18"/>
          <w:szCs w:val="18"/>
        </w:rPr>
        <w:t>志</w:t>
      </w:r>
      <w:r>
        <w:rPr>
          <w:rFonts w:asciiTheme="minorEastAsia" w:eastAsiaTheme="minorEastAsia" w:hAnsiTheme="minorEastAsia" w:cs="宋体"/>
          <w:b/>
          <w:bCs/>
          <w:sz w:val="18"/>
          <w:szCs w:val="18"/>
        </w:rPr>
        <w:t>码</w:t>
      </w:r>
      <w:r>
        <w:rPr>
          <w:rFonts w:asciiTheme="minorEastAsia" w:eastAsiaTheme="minorEastAsia" w:hAnsiTheme="minorEastAsia" w:cs="宋体" w:hint="eastAsia"/>
          <w:b/>
          <w:bCs/>
          <w:sz w:val="18"/>
          <w:szCs w:val="18"/>
        </w:rPr>
        <w:t>：</w:t>
      </w:r>
      <w:r>
        <w:rPr>
          <w:rFonts w:asciiTheme="minorEastAsia" w:eastAsiaTheme="minorEastAsia" w:hAnsiTheme="minorEastAsia"/>
          <w:bCs/>
          <w:sz w:val="18"/>
          <w:szCs w:val="18"/>
        </w:rPr>
        <w:t>A</w:t>
      </w:r>
      <w:r w:rsidR="00757BC9">
        <w:rPr>
          <w:rFonts w:asciiTheme="minorEastAsia" w:eastAsiaTheme="minorEastAsia" w:hAnsiTheme="minorEastAsia"/>
          <w:bCs/>
          <w:sz w:val="18"/>
          <w:szCs w:val="18"/>
        </w:rPr>
        <w:t xml:space="preserve">       </w:t>
      </w:r>
      <w:r w:rsidR="00757BC9" w:rsidRPr="00797567">
        <w:rPr>
          <w:b/>
          <w:color w:val="000000"/>
          <w:sz w:val="18"/>
          <w:szCs w:val="18"/>
        </w:rPr>
        <w:t>开放科学（资源服务）标识码（</w:t>
      </w:r>
      <w:r w:rsidR="00757BC9" w:rsidRPr="00797567">
        <w:rPr>
          <w:b/>
          <w:color w:val="000000"/>
          <w:sz w:val="18"/>
          <w:szCs w:val="18"/>
        </w:rPr>
        <w:t>OSID</w:t>
      </w:r>
      <w:r w:rsidR="00757BC9" w:rsidRPr="00797567">
        <w:rPr>
          <w:b/>
          <w:color w:val="000000"/>
          <w:sz w:val="18"/>
          <w:szCs w:val="18"/>
        </w:rPr>
        <w:t>）：</w:t>
      </w:r>
    </w:p>
    <w:p w14:paraId="7FB36BA3" w14:textId="77777777" w:rsidR="00C66954" w:rsidRDefault="00C66954">
      <w:pPr>
        <w:widowControl/>
        <w:rPr>
          <w:rFonts w:asciiTheme="minorEastAsia" w:eastAsiaTheme="minorEastAsia" w:hAnsiTheme="minorEastAsia"/>
          <w:bCs/>
          <w:sz w:val="18"/>
          <w:szCs w:val="18"/>
        </w:rPr>
      </w:pPr>
    </w:p>
    <w:p w14:paraId="21353A36" w14:textId="77777777" w:rsidR="00C66954" w:rsidRDefault="00A773EE">
      <w:pPr>
        <w:jc w:val="center"/>
        <w:rPr>
          <w:rFonts w:ascii="黑体" w:eastAsia="黑体" w:hAnsi="黑体"/>
          <w:b/>
          <w:bCs/>
          <w:sz w:val="32"/>
          <w:szCs w:val="32"/>
        </w:rPr>
      </w:pPr>
      <w:r>
        <w:rPr>
          <w:rFonts w:ascii="黑体" w:eastAsia="黑体" w:hAnsi="黑体"/>
          <w:b/>
          <w:bCs/>
          <w:sz w:val="32"/>
          <w:szCs w:val="32"/>
        </w:rPr>
        <w:t>Multi-band Terahertz 4×2 Encoder Based on Two-dimensional Photonic Crystal</w:t>
      </w:r>
    </w:p>
    <w:p w14:paraId="1206F5F9" w14:textId="77777777" w:rsidR="00C66954" w:rsidRDefault="00A773EE">
      <w:pPr>
        <w:jc w:val="center"/>
        <w:rPr>
          <w:rFonts w:ascii="黑体" w:eastAsia="黑体" w:hAnsi="黑体"/>
          <w:b/>
          <w:bCs/>
        </w:rPr>
      </w:pPr>
      <w:r>
        <w:rPr>
          <w:rFonts w:ascii="黑体" w:eastAsia="黑体" w:hAnsi="黑体"/>
          <w:b/>
          <w:bCs/>
        </w:rPr>
        <w:t>MENG Xu, LI Peili*</w:t>
      </w:r>
    </w:p>
    <w:p w14:paraId="30170875" w14:textId="6E95C92F" w:rsidR="00C66954" w:rsidRDefault="00A773EE">
      <w:pPr>
        <w:jc w:val="center"/>
        <w:rPr>
          <w:sz w:val="15"/>
          <w:szCs w:val="15"/>
        </w:rPr>
      </w:pPr>
      <w:r>
        <w:rPr>
          <w:sz w:val="15"/>
          <w:szCs w:val="15"/>
        </w:rPr>
        <w:t xml:space="preserve">(College of Electronic and Optical Engineering &amp; College of Flexible Electronics(Future Technology, </w:t>
      </w:r>
    </w:p>
    <w:p w14:paraId="7EAC306A" w14:textId="0353F90E" w:rsidR="00C66954" w:rsidRDefault="00A773EE">
      <w:pPr>
        <w:jc w:val="center"/>
        <w:rPr>
          <w:sz w:val="15"/>
          <w:szCs w:val="15"/>
        </w:rPr>
      </w:pPr>
      <w:r>
        <w:rPr>
          <w:sz w:val="15"/>
          <w:szCs w:val="15"/>
        </w:rPr>
        <w:t>Nanjing University of Posts &amp; Telecommunications, Nanjing 210023, China</w:t>
      </w:r>
      <w:r>
        <w:rPr>
          <w:rFonts w:hint="eastAsia"/>
          <w:sz w:val="15"/>
          <w:szCs w:val="15"/>
        </w:rPr>
        <w:t>)</w:t>
      </w:r>
    </w:p>
    <w:p w14:paraId="2ECA5064" w14:textId="77777777" w:rsidR="00C66954" w:rsidRDefault="00C66954">
      <w:pPr>
        <w:jc w:val="center"/>
        <w:rPr>
          <w:sz w:val="15"/>
          <w:szCs w:val="15"/>
        </w:rPr>
      </w:pPr>
    </w:p>
    <w:p w14:paraId="227AC5CD" w14:textId="7BBA90A1" w:rsidR="00C66954" w:rsidRDefault="00A773EE">
      <w:pPr>
        <w:rPr>
          <w:color w:val="FF0000"/>
        </w:rPr>
      </w:pPr>
      <w:r>
        <w:rPr>
          <w:b/>
          <w:bCs/>
          <w:sz w:val="18"/>
          <w:szCs w:val="18"/>
        </w:rPr>
        <w:t>Abstract:</w:t>
      </w:r>
      <w:r>
        <w:rPr>
          <w:b/>
          <w:bCs/>
        </w:rPr>
        <w:t xml:space="preserve"> </w:t>
      </w:r>
      <w:r w:rsidR="001F555C">
        <w:rPr>
          <w:sz w:val="18"/>
          <w:szCs w:val="18"/>
        </w:rPr>
        <w:t>I</w:t>
      </w:r>
      <w:r w:rsidR="001F555C" w:rsidRPr="001F555C">
        <w:rPr>
          <w:sz w:val="18"/>
          <w:szCs w:val="18"/>
        </w:rPr>
        <w:t>n order to expand the applicable band range of the encoder</w:t>
      </w:r>
      <w:r w:rsidR="001F555C">
        <w:rPr>
          <w:rFonts w:hint="eastAsia"/>
          <w:sz w:val="18"/>
          <w:szCs w:val="18"/>
        </w:rPr>
        <w:t>,</w:t>
      </w:r>
      <w:r w:rsidR="001F555C">
        <w:rPr>
          <w:sz w:val="18"/>
          <w:szCs w:val="18"/>
        </w:rPr>
        <w:t xml:space="preserve"> a</w:t>
      </w:r>
      <w:r w:rsidRPr="007C4893">
        <w:rPr>
          <w:sz w:val="18"/>
          <w:szCs w:val="18"/>
        </w:rPr>
        <w:t xml:space="preserve"> novel photonic crystal 4×2 encoder based on two-dimensional square lattice </w:t>
      </w:r>
      <w:r w:rsidRPr="007C4893">
        <w:rPr>
          <w:rFonts w:hint="eastAsia"/>
          <w:sz w:val="18"/>
          <w:szCs w:val="18"/>
        </w:rPr>
        <w:t>with</w:t>
      </w:r>
      <w:r w:rsidRPr="007C4893">
        <w:rPr>
          <w:sz w:val="18"/>
          <w:szCs w:val="18"/>
        </w:rPr>
        <w:t xml:space="preserve"> square dielectric column is proposed, which can realize 4×2 encoding function in multiple terahertz bands. The performance of the encoder is studied by using Rsoft, plane wave expansion method (PWE) and finite-difference time-domain method (FDTD). The results show that the output transmittance of the encoder changes with the transverse offset of the dielectric column at the waveguide branch. After optimized design, the terahertz wave 4×2 encoder can achieve high contrast 4×2 coding logic function in the three bands of 103.80 ~ 108.57 μm, 109.19 ~ 111.12 μm and 111.94 ~ 114.08 μm, and the contrast is not less than 9.30 dB, up to 29.47 dB, response time is not more than 16.04 ps.</w:t>
      </w:r>
    </w:p>
    <w:p w14:paraId="5B030929" w14:textId="05EDBAC9" w:rsidR="00C66954" w:rsidRDefault="00A773EE">
      <w:pPr>
        <w:rPr>
          <w:sz w:val="18"/>
          <w:szCs w:val="18"/>
        </w:rPr>
      </w:pPr>
      <w:r>
        <w:rPr>
          <w:rFonts w:eastAsia="黑体"/>
          <w:b/>
          <w:bCs/>
          <w:sz w:val="18"/>
          <w:szCs w:val="18"/>
        </w:rPr>
        <w:t xml:space="preserve">Key words: </w:t>
      </w:r>
      <w:r>
        <w:rPr>
          <w:sz w:val="18"/>
          <w:szCs w:val="18"/>
        </w:rPr>
        <w:t>terahertz technology</w:t>
      </w:r>
      <w:r w:rsidR="003D3966">
        <w:rPr>
          <w:sz w:val="18"/>
          <w:szCs w:val="18"/>
        </w:rPr>
        <w:t>,</w:t>
      </w:r>
      <w:r>
        <w:rPr>
          <w:sz w:val="18"/>
          <w:szCs w:val="18"/>
        </w:rPr>
        <w:t xml:space="preserve"> encoder</w:t>
      </w:r>
      <w:r w:rsidR="003D3966">
        <w:rPr>
          <w:sz w:val="18"/>
          <w:szCs w:val="18"/>
        </w:rPr>
        <w:t>,</w:t>
      </w:r>
      <w:r>
        <w:rPr>
          <w:sz w:val="18"/>
          <w:szCs w:val="18"/>
        </w:rPr>
        <w:t xml:space="preserve"> photonic crystal</w:t>
      </w:r>
      <w:r w:rsidR="003D3966">
        <w:rPr>
          <w:sz w:val="18"/>
          <w:szCs w:val="18"/>
        </w:rPr>
        <w:t xml:space="preserve">, </w:t>
      </w:r>
      <w:r>
        <w:rPr>
          <w:rFonts w:hint="eastAsia"/>
          <w:sz w:val="18"/>
          <w:szCs w:val="18"/>
        </w:rPr>
        <w:t>logi</w:t>
      </w:r>
      <w:r>
        <w:rPr>
          <w:sz w:val="18"/>
          <w:szCs w:val="18"/>
        </w:rPr>
        <w:t>c</w:t>
      </w:r>
      <w:r>
        <w:rPr>
          <w:rFonts w:hint="eastAsia"/>
          <w:sz w:val="18"/>
          <w:szCs w:val="18"/>
        </w:rPr>
        <w:t>al</w:t>
      </w:r>
      <w:r>
        <w:rPr>
          <w:sz w:val="18"/>
          <w:szCs w:val="18"/>
        </w:rPr>
        <w:t xml:space="preserve"> gate</w:t>
      </w:r>
    </w:p>
    <w:p w14:paraId="1E8352DF" w14:textId="77777777" w:rsidR="00C66954" w:rsidRDefault="00C66954">
      <w:pPr>
        <w:widowControl/>
        <w:rPr>
          <w:rFonts w:asciiTheme="minorEastAsia" w:eastAsiaTheme="minorEastAsia" w:hAnsiTheme="minorEastAsia" w:cs="宋体"/>
          <w:color w:val="auto"/>
          <w:sz w:val="18"/>
          <w:szCs w:val="18"/>
        </w:rPr>
      </w:pPr>
    </w:p>
    <w:p w14:paraId="2F0EFAD9" w14:textId="77777777" w:rsidR="00C66954" w:rsidRPr="004247EE" w:rsidRDefault="00A773EE">
      <w:pPr>
        <w:rPr>
          <w:rFonts w:ascii="宋体" w:hAnsi="宋体"/>
          <w:b/>
          <w:sz w:val="24"/>
          <w:szCs w:val="24"/>
        </w:rPr>
      </w:pPr>
      <w:r w:rsidRPr="004247EE">
        <w:rPr>
          <w:rFonts w:ascii="宋体" w:hAnsi="宋体"/>
          <w:b/>
          <w:bCs/>
          <w:sz w:val="24"/>
          <w:szCs w:val="24"/>
        </w:rPr>
        <w:t>0</w:t>
      </w:r>
      <w:r w:rsidRPr="004247EE">
        <w:rPr>
          <w:rFonts w:ascii="宋体" w:hAnsi="宋体"/>
          <w:b/>
          <w:sz w:val="24"/>
          <w:szCs w:val="24"/>
        </w:rPr>
        <w:t xml:space="preserve"> </w:t>
      </w:r>
      <w:r w:rsidRPr="004247EE">
        <w:rPr>
          <w:rFonts w:ascii="宋体" w:hAnsi="宋体" w:hint="eastAsia"/>
          <w:b/>
          <w:sz w:val="24"/>
          <w:szCs w:val="24"/>
        </w:rPr>
        <w:t>引言</w:t>
      </w:r>
    </w:p>
    <w:p w14:paraId="6CBA1565" w14:textId="35F9C1B8" w:rsidR="00C66954" w:rsidRDefault="00A773EE">
      <w:pPr>
        <w:ind w:firstLineChars="200" w:firstLine="420"/>
      </w:pPr>
      <w:r>
        <w:t>太赫兹</w:t>
      </w:r>
      <w:r>
        <w:t xml:space="preserve"> (THz) </w:t>
      </w:r>
      <w:r>
        <w:t>波是指频率处于</w:t>
      </w:r>
      <w:r>
        <w:t>0.1</w:t>
      </w:r>
      <w:r>
        <w:t>～</w:t>
      </w:r>
      <w:r>
        <w:t>10 THz</w:t>
      </w:r>
      <w:r>
        <w:t>（波长在</w:t>
      </w:r>
      <w:r>
        <w:t>30</w:t>
      </w:r>
      <w:r>
        <w:rPr>
          <w:rFonts w:hint="eastAsia"/>
        </w:rPr>
        <w:t>～</w:t>
      </w:r>
      <w:r>
        <w:t>3000 μm</w:t>
      </w:r>
      <w:r>
        <w:rPr>
          <w:rFonts w:hint="eastAsia"/>
        </w:rPr>
        <w:t>）</w:t>
      </w:r>
      <w:r>
        <w:t>的电磁波</w:t>
      </w:r>
      <w:r>
        <w:fldChar w:fldCharType="begin"/>
      </w:r>
      <w:r>
        <w:instrText xml:space="preserve"> ADDIN EN.CITE &lt;EndNote&gt;&lt;Cite&gt;&lt;Year&gt;2007&lt;/Year&gt;&lt;RecNum&gt;5&lt;/RecNum&gt;&lt;DisplayText&gt;&lt;style face="superscript"&gt;[1]&lt;/style&gt;&lt;/DisplayText&gt;&lt;record&gt;&lt;rec-number&gt;5&lt;/rec-number&gt;&lt;foreign-keys&gt;&lt;key app="EN" db-id="0ssv2xspr9xve1eaddtpfp9fdx9wp2dxp09t" timestamp="1663467938"&gt;5&lt;/key&gt;&lt;/foreign-keys&gt;&lt;ref-type name="Journal Article"&gt;17&lt;/ref-type&gt;&lt;contributors&gt;&lt;authors&gt;&lt;author&gt;Piesiewicz, R&lt;/author&gt;&lt;author&gt;Kleine-Ostmann, T&lt;/author&gt;&lt;author&gt;Krumbholz, N&lt;/author&gt;&lt;author&gt;Mittleman, D&lt;/author&gt;&lt;author&gt;Koch, M&lt;/author&gt;&lt;author&gt;Schoebel, J&lt;/author&gt;&lt;author&gt;Kurner, T&lt;/author&gt;&lt;/authors&gt;&lt;secondary-authors&gt;&lt;author&gt;PIESIEWICZ, R&lt;/author&gt;&lt;author&gt;KLEINE-OSTMANN, T&lt;/author&gt;&lt;author&gt;KRUMBHOLZ, N&lt;/author&gt;&lt;author&gt;MITTLEMAN, D&lt;/author&gt;&lt;author&gt;KOCH, M&lt;/author&gt;&lt;author&gt;SCHOEBEL, J&lt;/author&gt;&lt;author&gt;KURNER, T&lt;/author&gt;&lt;/secondary-authors&gt;&lt;/contributors&gt;&lt;titles&gt;&lt;title&gt;Short-Range Ultra-Broadband Terahertz Communications: Concepts and Perspectives&lt;/title&gt;&lt;secondary-title&gt;IEEE ANTENNAS AND PROPAGATION MAGAZINE&lt;/secondary-title&gt;&lt;/titles&gt;&lt;periodical&gt;&lt;full-title&gt;IEEE ANTENNAS AND PROPAGATION MAGAZINE&lt;/full-title&gt;&lt;/periodical&gt;&lt;pages&gt;24-39&lt;/pages&gt;&lt;volume&gt;49&lt;/volume&gt;&lt;number&gt;6&lt;/number&gt;&lt;dates&gt;&lt;year&gt;2007&lt;/year&gt;&lt;/dates&gt;&lt;urls&gt;&lt;/urls&gt;&lt;/record&gt;&lt;/Cite&gt;&lt;/EndNote&gt;</w:instrText>
      </w:r>
      <w:r>
        <w:fldChar w:fldCharType="separate"/>
      </w:r>
      <w:r>
        <w:rPr>
          <w:vertAlign w:val="superscript"/>
        </w:rPr>
        <w:t>[1]</w:t>
      </w:r>
      <w:r>
        <w:fldChar w:fldCharType="end"/>
      </w:r>
      <w:r>
        <w:t>，</w:t>
      </w:r>
      <w:r w:rsidR="004E0C7D">
        <w:rPr>
          <w:rFonts w:ascii="Segoe UI" w:hAnsi="Segoe UI" w:cs="Segoe UI"/>
          <w:color w:val="1E1F24"/>
          <w:shd w:val="clear" w:color="auto" w:fill="FFFFFF"/>
        </w:rPr>
        <w:t>其波</w:t>
      </w:r>
      <w:r w:rsidR="00AB0863">
        <w:rPr>
          <w:rFonts w:ascii="Segoe UI" w:hAnsi="Segoe UI" w:cs="Segoe UI" w:hint="eastAsia"/>
          <w:color w:val="1E1F24"/>
          <w:shd w:val="clear" w:color="auto" w:fill="FFFFFF"/>
        </w:rPr>
        <w:t>长</w:t>
      </w:r>
      <w:r w:rsidR="004E0C7D">
        <w:rPr>
          <w:rFonts w:ascii="Segoe UI" w:hAnsi="Segoe UI" w:cs="Segoe UI"/>
          <w:color w:val="1E1F24"/>
          <w:shd w:val="clear" w:color="auto" w:fill="FFFFFF"/>
        </w:rPr>
        <w:t>位于微波与红外光之间，具有强穿透性、低光子能量、高安全性以及丰富的频谱资源等优点，因此在雷达通信</w:t>
      </w:r>
      <w:r w:rsidR="004E0C7D" w:rsidRPr="00F50CC9">
        <w:rPr>
          <w:rFonts w:ascii="Segoe UI" w:hAnsi="Segoe UI" w:cs="Segoe UI" w:hint="eastAsia"/>
          <w:color w:val="1E1F24"/>
          <w:shd w:val="clear" w:color="auto" w:fill="FFFFFF"/>
          <w:vertAlign w:val="superscript"/>
        </w:rPr>
        <w:t>[2]</w:t>
      </w:r>
      <w:r w:rsidR="004E0C7D">
        <w:rPr>
          <w:rFonts w:ascii="Segoe UI" w:hAnsi="Segoe UI" w:cs="Segoe UI"/>
          <w:color w:val="1E1F24"/>
          <w:shd w:val="clear" w:color="auto" w:fill="FFFFFF"/>
        </w:rPr>
        <w:t>、安全检查</w:t>
      </w:r>
      <w:r w:rsidR="004E0C7D" w:rsidRPr="00F50CC9">
        <w:rPr>
          <w:rFonts w:ascii="Segoe UI" w:hAnsi="Segoe UI" w:cs="Segoe UI" w:hint="eastAsia"/>
          <w:color w:val="1E1F24"/>
          <w:shd w:val="clear" w:color="auto" w:fill="FFFFFF"/>
          <w:vertAlign w:val="superscript"/>
        </w:rPr>
        <w:t>[3]</w:t>
      </w:r>
      <w:r w:rsidR="004E0C7D">
        <w:rPr>
          <w:rFonts w:ascii="Segoe UI" w:hAnsi="Segoe UI" w:cs="Segoe UI"/>
          <w:color w:val="1E1F24"/>
          <w:shd w:val="clear" w:color="auto" w:fill="FFFFFF"/>
        </w:rPr>
        <w:t>、生物医学</w:t>
      </w:r>
      <w:r w:rsidR="004E0C7D" w:rsidRPr="00F50CC9">
        <w:rPr>
          <w:rFonts w:ascii="Segoe UI" w:hAnsi="Segoe UI" w:cs="Segoe UI" w:hint="eastAsia"/>
          <w:color w:val="1E1F24"/>
          <w:shd w:val="clear" w:color="auto" w:fill="FFFFFF"/>
          <w:vertAlign w:val="superscript"/>
        </w:rPr>
        <w:t>[4-5]</w:t>
      </w:r>
      <w:r w:rsidR="004E0C7D">
        <w:rPr>
          <w:rFonts w:ascii="Segoe UI" w:hAnsi="Segoe UI" w:cs="Segoe UI"/>
          <w:color w:val="1E1F24"/>
          <w:shd w:val="clear" w:color="auto" w:fill="FFFFFF"/>
        </w:rPr>
        <w:t>、环境监测以及国防军事等领域</w:t>
      </w:r>
      <w:r w:rsidR="004E0C7D" w:rsidRPr="00F50CC9">
        <w:rPr>
          <w:rFonts w:ascii="Segoe UI" w:hAnsi="Segoe UI" w:cs="Segoe UI" w:hint="eastAsia"/>
          <w:color w:val="1E1F24"/>
          <w:shd w:val="clear" w:color="auto" w:fill="FFFFFF"/>
          <w:vertAlign w:val="superscript"/>
        </w:rPr>
        <w:t>[6]</w:t>
      </w:r>
      <w:r w:rsidR="004E0C7D">
        <w:rPr>
          <w:rFonts w:ascii="Segoe UI" w:hAnsi="Segoe UI" w:cs="Segoe UI"/>
          <w:color w:val="1E1F24"/>
          <w:shd w:val="clear" w:color="auto" w:fill="FFFFFF"/>
        </w:rPr>
        <w:t>都有广泛的应用。太赫兹波段的全光器件研究备受关注，其中，全光</w:t>
      </w:r>
      <w:r w:rsidR="004E0C7D">
        <w:rPr>
          <w:rFonts w:ascii="Segoe UI" w:hAnsi="Segoe UI" w:cs="Segoe UI"/>
          <w:color w:val="1E1F24"/>
          <w:shd w:val="clear" w:color="auto" w:fill="FFFFFF"/>
        </w:rPr>
        <w:t>4×2</w:t>
      </w:r>
      <w:r w:rsidR="004E0C7D">
        <w:rPr>
          <w:rFonts w:ascii="Segoe UI" w:hAnsi="Segoe UI" w:cs="Segoe UI"/>
          <w:color w:val="1E1F24"/>
          <w:shd w:val="clear" w:color="auto" w:fill="FFFFFF"/>
        </w:rPr>
        <w:t>编码器被应用于光学鼠标、高速计数模块、可编程逻辑控制器（</w:t>
      </w:r>
      <w:r w:rsidR="004E0C7D">
        <w:rPr>
          <w:rFonts w:ascii="Segoe UI" w:hAnsi="Segoe UI" w:cs="Segoe UI"/>
          <w:color w:val="1E1F24"/>
          <w:shd w:val="clear" w:color="auto" w:fill="FFFFFF"/>
        </w:rPr>
        <w:t>PLC</w:t>
      </w:r>
      <w:r w:rsidR="004E0C7D">
        <w:rPr>
          <w:rFonts w:ascii="Segoe UI" w:hAnsi="Segoe UI" w:cs="Segoe UI"/>
          <w:color w:val="1E1F24"/>
          <w:shd w:val="clear" w:color="auto" w:fill="FFFFFF"/>
        </w:rPr>
        <w:t>）等设备中，还可以与其他逻辑门结合形成先进的信号处理光路</w:t>
      </w:r>
      <w:r w:rsidR="004E0C7D" w:rsidRPr="00F50CC9">
        <w:rPr>
          <w:rFonts w:ascii="Segoe UI" w:hAnsi="Segoe UI" w:cs="Segoe UI" w:hint="eastAsia"/>
          <w:color w:val="1E1F24"/>
          <w:shd w:val="clear" w:color="auto" w:fill="FFFFFF"/>
          <w:vertAlign w:val="superscript"/>
        </w:rPr>
        <w:t>[7]</w:t>
      </w:r>
      <w:r w:rsidR="004E0C7D">
        <w:rPr>
          <w:rFonts w:ascii="Segoe UI" w:hAnsi="Segoe UI" w:cs="Segoe UI"/>
          <w:color w:val="1E1F24"/>
          <w:shd w:val="clear" w:color="auto" w:fill="FFFFFF"/>
        </w:rPr>
        <w:t>，在太赫兹波信号处理系统中发挥着重要的作用。光子晶体因其独特的光子禁带和光子局域</w:t>
      </w:r>
      <w:r w:rsidR="00F50CC9" w:rsidRPr="00F50CC9">
        <w:rPr>
          <w:rFonts w:ascii="Segoe UI" w:hAnsi="Segoe UI" w:cs="Segoe UI" w:hint="eastAsia"/>
          <w:color w:val="1E1F24"/>
          <w:shd w:val="clear" w:color="auto" w:fill="FFFFFF"/>
          <w:vertAlign w:val="superscript"/>
        </w:rPr>
        <w:t>[8]</w:t>
      </w:r>
      <w:r w:rsidR="004E0C7D">
        <w:rPr>
          <w:rFonts w:ascii="Segoe UI" w:hAnsi="Segoe UI" w:cs="Segoe UI"/>
          <w:color w:val="1E1F24"/>
          <w:shd w:val="clear" w:color="auto" w:fill="FFFFFF"/>
        </w:rPr>
        <w:t>特性，能够更好地控制光的传播。在太赫兹波段，光子晶体也展现出良好的传输特性</w:t>
      </w:r>
      <w:r w:rsidR="00F50CC9" w:rsidRPr="00F50CC9">
        <w:rPr>
          <w:rFonts w:ascii="Segoe UI" w:hAnsi="Segoe UI" w:cs="Segoe UI" w:hint="eastAsia"/>
          <w:color w:val="1E1F24"/>
          <w:shd w:val="clear" w:color="auto" w:fill="FFFFFF"/>
          <w:vertAlign w:val="superscript"/>
        </w:rPr>
        <w:t>[9]</w:t>
      </w:r>
      <w:r w:rsidR="004E0C7D">
        <w:rPr>
          <w:rFonts w:ascii="Segoe UI" w:hAnsi="Segoe UI" w:cs="Segoe UI"/>
          <w:color w:val="1E1F24"/>
          <w:shd w:val="clear" w:color="auto" w:fill="FFFFFF"/>
        </w:rPr>
        <w:t>，并且体积小易于集成，因此利用光子晶体设计的太赫兹波</w:t>
      </w:r>
      <w:r w:rsidR="004E0C7D">
        <w:rPr>
          <w:rFonts w:ascii="Segoe UI" w:hAnsi="Segoe UI" w:cs="Segoe UI"/>
          <w:color w:val="1E1F24"/>
          <w:shd w:val="clear" w:color="auto" w:fill="FFFFFF"/>
        </w:rPr>
        <w:t>4×2</w:t>
      </w:r>
      <w:r w:rsidR="004E0C7D">
        <w:rPr>
          <w:rFonts w:ascii="Segoe UI" w:hAnsi="Segoe UI" w:cs="Segoe UI"/>
          <w:color w:val="1E1F24"/>
          <w:shd w:val="clear" w:color="auto" w:fill="FFFFFF"/>
        </w:rPr>
        <w:t>编码器具有损耗低、尺寸小、易集成等优点。</w:t>
      </w:r>
      <w:r>
        <w:t>。</w:t>
      </w:r>
    </w:p>
    <w:p w14:paraId="2EC86678" w14:textId="77777777" w:rsidR="00AB0863" w:rsidRDefault="00AB0863">
      <w:pPr>
        <w:ind w:firstLineChars="200" w:firstLine="420"/>
        <w:rPr>
          <w:rFonts w:ascii="Segoe UI" w:hAnsi="Segoe UI" w:cs="Segoe UI"/>
          <w:color w:val="1E1F24"/>
          <w:shd w:val="clear" w:color="auto" w:fill="FFFFFF"/>
        </w:rPr>
      </w:pPr>
      <w:r>
        <w:rPr>
          <w:rFonts w:ascii="Segoe UI" w:hAnsi="Segoe UI" w:cs="Segoe UI"/>
          <w:color w:val="1E1F24"/>
          <w:shd w:val="clear" w:color="auto" w:fill="FFFFFF"/>
        </w:rPr>
        <w:t>目前，对于光子晶体</w:t>
      </w:r>
      <w:r>
        <w:rPr>
          <w:rFonts w:ascii="Segoe UI" w:hAnsi="Segoe UI" w:cs="Segoe UI"/>
          <w:color w:val="1E1F24"/>
          <w:shd w:val="clear" w:color="auto" w:fill="FFFFFF"/>
        </w:rPr>
        <w:t>4×2</w:t>
      </w:r>
      <w:r>
        <w:rPr>
          <w:rFonts w:ascii="Segoe UI" w:hAnsi="Segoe UI" w:cs="Segoe UI"/>
          <w:color w:val="1E1F24"/>
          <w:shd w:val="clear" w:color="auto" w:fill="FFFFFF"/>
        </w:rPr>
        <w:t>编码器的设计研究主要集中于光学波段，而对于太赫兹波段的光子晶体</w:t>
      </w:r>
      <w:r>
        <w:rPr>
          <w:rFonts w:ascii="Segoe UI" w:hAnsi="Segoe UI" w:cs="Segoe UI"/>
          <w:color w:val="1E1F24"/>
          <w:shd w:val="clear" w:color="auto" w:fill="FFFFFF"/>
        </w:rPr>
        <w:t>4×2</w:t>
      </w:r>
      <w:r>
        <w:rPr>
          <w:rFonts w:ascii="Segoe UI" w:hAnsi="Segoe UI" w:cs="Segoe UI"/>
          <w:color w:val="1E1F24"/>
          <w:shd w:val="clear" w:color="auto" w:fill="FFFFFF"/>
        </w:rPr>
        <w:t>编码器研究较少。光子晶体</w:t>
      </w:r>
      <w:r>
        <w:rPr>
          <w:rFonts w:ascii="Segoe UI" w:hAnsi="Segoe UI" w:cs="Segoe UI"/>
          <w:color w:val="1E1F24"/>
          <w:shd w:val="clear" w:color="auto" w:fill="FFFFFF"/>
        </w:rPr>
        <w:t>4×2</w:t>
      </w:r>
      <w:r>
        <w:rPr>
          <w:rFonts w:ascii="Segoe UI" w:hAnsi="Segoe UI" w:cs="Segoe UI"/>
          <w:color w:val="1E1F24"/>
          <w:shd w:val="clear" w:color="auto" w:fill="FFFFFF"/>
        </w:rPr>
        <w:t>编码器的设计主要利用缺陷模耦合、自准</w:t>
      </w:r>
      <w:r>
        <w:rPr>
          <w:rFonts w:ascii="Segoe UI" w:hAnsi="Segoe UI" w:cs="Segoe UI"/>
          <w:color w:val="1E1F24"/>
          <w:shd w:val="clear" w:color="auto" w:fill="FFFFFF"/>
        </w:rPr>
        <w:lastRenderedPageBreak/>
        <w:t>直效应以及非线性效应等原理。基于缺陷模耦合</w:t>
      </w:r>
      <w:r w:rsidRPr="00AB0863">
        <w:rPr>
          <w:rFonts w:ascii="Segoe UI" w:hAnsi="Segoe UI" w:cs="Segoe UI" w:hint="eastAsia"/>
          <w:color w:val="1E1F24"/>
          <w:shd w:val="clear" w:color="auto" w:fill="FFFFFF"/>
          <w:vertAlign w:val="superscript"/>
        </w:rPr>
        <w:t>[10-14]</w:t>
      </w:r>
      <w:r>
        <w:rPr>
          <w:rFonts w:ascii="Segoe UI" w:hAnsi="Segoe UI" w:cs="Segoe UI"/>
          <w:color w:val="1E1F24"/>
          <w:shd w:val="clear" w:color="auto" w:fill="FFFFFF"/>
        </w:rPr>
        <w:t>设计的编码器一般具有较高的透射率，但适用波段范围较窄，甚至仅在特定的波长处才有良好的编码效果，无法实现宽带编码功能，并且为了实现耦合效果，结构相对复杂。基于自准直效应实现的编码器</w:t>
      </w:r>
      <w:r w:rsidRPr="00AB0863">
        <w:rPr>
          <w:rFonts w:ascii="Segoe UI" w:hAnsi="Segoe UI" w:cs="Segoe UI" w:hint="eastAsia"/>
          <w:color w:val="1E1F24"/>
          <w:shd w:val="clear" w:color="auto" w:fill="FFFFFF"/>
          <w:vertAlign w:val="superscript"/>
        </w:rPr>
        <w:t>[15]</w:t>
      </w:r>
      <w:r>
        <w:rPr>
          <w:rFonts w:ascii="Segoe UI" w:hAnsi="Segoe UI" w:cs="Segoe UI"/>
          <w:color w:val="1E1F24"/>
          <w:shd w:val="clear" w:color="auto" w:fill="FFFFFF"/>
        </w:rPr>
        <w:t>需要引入移相器来对相位进行调制，增加了编码器的结构复杂度和设计成本。而基于非线性效应的编码器</w:t>
      </w:r>
      <w:r w:rsidRPr="00AB0863">
        <w:rPr>
          <w:rFonts w:ascii="Segoe UI" w:hAnsi="Segoe UI" w:cs="Segoe UI" w:hint="eastAsia"/>
          <w:color w:val="1E1F24"/>
          <w:shd w:val="clear" w:color="auto" w:fill="FFFFFF"/>
          <w:vertAlign w:val="superscript"/>
        </w:rPr>
        <w:t>[16-17]</w:t>
      </w:r>
      <w:r>
        <w:rPr>
          <w:rFonts w:ascii="Segoe UI" w:hAnsi="Segoe UI" w:cs="Segoe UI"/>
          <w:color w:val="1E1F24"/>
          <w:shd w:val="clear" w:color="auto" w:fill="FFFFFF"/>
        </w:rPr>
        <w:t>是通过改变光功率来激发非线性材料的特性，实现非线性介质柱折射率的改变。而非线性材料的阈值功率一般要达到</w:t>
      </w:r>
      <w:r>
        <w:rPr>
          <w:rFonts w:ascii="Segoe UI" w:hAnsi="Segoe UI" w:cs="Segoe UI"/>
          <w:color w:val="1E1F24"/>
          <w:shd w:val="clear" w:color="auto" w:fill="FFFFFF"/>
        </w:rPr>
        <w:t>1 kW/μm²</w:t>
      </w:r>
      <w:r>
        <w:rPr>
          <w:rFonts w:ascii="Segoe UI" w:hAnsi="Segoe UI" w:cs="Segoe UI"/>
          <w:color w:val="1E1F24"/>
          <w:shd w:val="clear" w:color="auto" w:fill="FFFFFF"/>
        </w:rPr>
        <w:t>左右，这对输入光功率的要求较高。在太赫兹波段，余佳培等人</w:t>
      </w:r>
      <w:r w:rsidRPr="00AB0863">
        <w:rPr>
          <w:rFonts w:ascii="Segoe UI" w:hAnsi="Segoe UI" w:cs="Segoe UI" w:hint="eastAsia"/>
          <w:color w:val="1E1F24"/>
          <w:shd w:val="clear" w:color="auto" w:fill="FFFFFF"/>
          <w:vertAlign w:val="superscript"/>
        </w:rPr>
        <w:t>[18]</w:t>
      </w:r>
      <w:r>
        <w:rPr>
          <w:rFonts w:ascii="Segoe UI" w:hAnsi="Segoe UI" w:cs="Segoe UI"/>
          <w:color w:val="1E1F24"/>
          <w:shd w:val="clear" w:color="auto" w:fill="FFFFFF"/>
        </w:rPr>
        <w:t>利用非线性材料的谐振腔原理设计了一种二维光子晶体太赫兹波</w:t>
      </w:r>
      <w:r>
        <w:rPr>
          <w:rFonts w:ascii="Segoe UI" w:hAnsi="Segoe UI" w:cs="Segoe UI"/>
          <w:color w:val="1E1F24"/>
          <w:shd w:val="clear" w:color="auto" w:fill="FFFFFF"/>
        </w:rPr>
        <w:t>4×2</w:t>
      </w:r>
      <w:r>
        <w:rPr>
          <w:rFonts w:ascii="Segoe UI" w:hAnsi="Segoe UI" w:cs="Segoe UI"/>
          <w:color w:val="1E1F24"/>
          <w:shd w:val="clear" w:color="auto" w:fill="FFFFFF"/>
        </w:rPr>
        <w:t>编码器，实现了频率为</w:t>
      </w:r>
      <w:r>
        <w:rPr>
          <w:rFonts w:ascii="Segoe UI" w:hAnsi="Segoe UI" w:cs="Segoe UI"/>
          <w:color w:val="1E1F24"/>
          <w:shd w:val="clear" w:color="auto" w:fill="FFFFFF"/>
        </w:rPr>
        <w:t>1.05 THz</w:t>
      </w:r>
      <w:r>
        <w:rPr>
          <w:rFonts w:ascii="Segoe UI" w:hAnsi="Segoe UI" w:cs="Segoe UI"/>
          <w:color w:val="1E1F24"/>
          <w:shd w:val="clear" w:color="auto" w:fill="FFFFFF"/>
        </w:rPr>
        <w:t>的</w:t>
      </w:r>
      <w:r>
        <w:rPr>
          <w:rFonts w:ascii="Segoe UI" w:hAnsi="Segoe UI" w:cs="Segoe UI"/>
          <w:color w:val="1E1F24"/>
          <w:shd w:val="clear" w:color="auto" w:fill="FFFFFF"/>
        </w:rPr>
        <w:t>4×2</w:t>
      </w:r>
      <w:r>
        <w:rPr>
          <w:rFonts w:ascii="Segoe UI" w:hAnsi="Segoe UI" w:cs="Segoe UI"/>
          <w:color w:val="1E1F24"/>
          <w:shd w:val="clear" w:color="auto" w:fill="FFFFFF"/>
        </w:rPr>
        <w:t>编码功能，但同样需要改变输入光功率来实现非线性效应，且结构复杂，对比度不高。姜宗丹等人</w:t>
      </w:r>
      <w:r w:rsidRPr="00AB0863">
        <w:rPr>
          <w:rFonts w:ascii="Segoe UI" w:hAnsi="Segoe UI" w:cs="Segoe UI" w:hint="eastAsia"/>
          <w:color w:val="1E1F24"/>
          <w:shd w:val="clear" w:color="auto" w:fill="FFFFFF"/>
          <w:vertAlign w:val="superscript"/>
        </w:rPr>
        <w:t>[7]</w:t>
      </w:r>
      <w:r>
        <w:rPr>
          <w:rFonts w:ascii="Segoe UI" w:hAnsi="Segoe UI" w:cs="Segoe UI"/>
          <w:color w:val="1E1F24"/>
          <w:shd w:val="clear" w:color="auto" w:fill="FFFFFF"/>
        </w:rPr>
        <w:t>利用完整的二维正方晶格硅光子晶体中引入线缺陷波导，设计了一种基于二维光子晶体的太赫兹波</w:t>
      </w:r>
      <w:r>
        <w:rPr>
          <w:rFonts w:ascii="Segoe UI" w:hAnsi="Segoe UI" w:cs="Segoe UI"/>
          <w:color w:val="1E1F24"/>
          <w:shd w:val="clear" w:color="auto" w:fill="FFFFFF"/>
        </w:rPr>
        <w:t>4×2</w:t>
      </w:r>
      <w:r>
        <w:rPr>
          <w:rFonts w:ascii="Segoe UI" w:hAnsi="Segoe UI" w:cs="Segoe UI"/>
          <w:color w:val="1E1F24"/>
          <w:shd w:val="clear" w:color="auto" w:fill="FFFFFF"/>
        </w:rPr>
        <w:t>编码器，实现了太赫兹波</w:t>
      </w:r>
      <w:r>
        <w:rPr>
          <w:rFonts w:ascii="Segoe UI" w:hAnsi="Segoe UI" w:cs="Segoe UI"/>
          <w:color w:val="1E1F24"/>
          <w:shd w:val="clear" w:color="auto" w:fill="FFFFFF"/>
        </w:rPr>
        <w:t>4×2</w:t>
      </w:r>
      <w:r>
        <w:rPr>
          <w:rFonts w:ascii="Segoe UI" w:hAnsi="Segoe UI" w:cs="Segoe UI"/>
          <w:color w:val="1E1F24"/>
          <w:shd w:val="clear" w:color="auto" w:fill="FFFFFF"/>
        </w:rPr>
        <w:t>编码逻辑功能，且具有结构简单、损耗低、易于集成等优点，但适用波段较小，仅在</w:t>
      </w:r>
      <w:r>
        <w:rPr>
          <w:rFonts w:ascii="Segoe UI" w:hAnsi="Segoe UI" w:cs="Segoe UI"/>
          <w:color w:val="1E1F24"/>
          <w:shd w:val="clear" w:color="auto" w:fill="FFFFFF"/>
        </w:rPr>
        <w:t>251</w:t>
      </w:r>
      <w:r>
        <w:rPr>
          <w:rFonts w:ascii="Segoe UI" w:hAnsi="Segoe UI" w:cs="Segoe UI"/>
          <w:color w:val="1E1F24"/>
          <w:shd w:val="clear" w:color="auto" w:fill="FFFFFF"/>
        </w:rPr>
        <w:t>～</w:t>
      </w:r>
      <w:r>
        <w:rPr>
          <w:rFonts w:ascii="Segoe UI" w:hAnsi="Segoe UI" w:cs="Segoe UI"/>
          <w:color w:val="1E1F24"/>
          <w:shd w:val="clear" w:color="auto" w:fill="FFFFFF"/>
        </w:rPr>
        <w:t>252 μm</w:t>
      </w:r>
      <w:r>
        <w:rPr>
          <w:rFonts w:ascii="Segoe UI" w:hAnsi="Segoe UI" w:cs="Segoe UI"/>
          <w:color w:val="1E1F24"/>
          <w:shd w:val="clear" w:color="auto" w:fill="FFFFFF"/>
        </w:rPr>
        <w:t>波长范围内。</w:t>
      </w:r>
    </w:p>
    <w:p w14:paraId="0A292FDF" w14:textId="0CC1A2FC" w:rsidR="00C66954" w:rsidRPr="0056106E" w:rsidRDefault="003D097E">
      <w:pPr>
        <w:ind w:firstLineChars="200" w:firstLine="420"/>
      </w:pPr>
      <w:r>
        <w:rPr>
          <w:rFonts w:ascii="Segoe UI" w:hAnsi="Segoe UI" w:cs="Segoe UI"/>
          <w:color w:val="1E1F24"/>
          <w:shd w:val="clear" w:color="auto" w:fill="FFFFFF"/>
        </w:rPr>
        <w:t>本文为了扩大编码器的适用波段范围，通过引入线缺陷波导，提出一种基于方形高阻碲介质柱的新型太赫兹波光子晶体</w:t>
      </w:r>
      <w:r>
        <w:rPr>
          <w:rFonts w:ascii="Segoe UI" w:hAnsi="Segoe UI" w:cs="Segoe UI"/>
          <w:color w:val="1E1F24"/>
          <w:shd w:val="clear" w:color="auto" w:fill="FFFFFF"/>
        </w:rPr>
        <w:t>4×2</w:t>
      </w:r>
      <w:r>
        <w:rPr>
          <w:rFonts w:ascii="Segoe UI" w:hAnsi="Segoe UI" w:cs="Segoe UI"/>
          <w:color w:val="1E1F24"/>
          <w:shd w:val="clear" w:color="auto" w:fill="FFFFFF"/>
        </w:rPr>
        <w:t>编码器，实现在多个太赫兹波段的高对比度</w:t>
      </w:r>
      <w:r>
        <w:rPr>
          <w:rFonts w:ascii="Segoe UI" w:hAnsi="Segoe UI" w:cs="Segoe UI"/>
          <w:color w:val="1E1F24"/>
          <w:shd w:val="clear" w:color="auto" w:fill="FFFFFF"/>
        </w:rPr>
        <w:t>4×2</w:t>
      </w:r>
      <w:r>
        <w:rPr>
          <w:rFonts w:ascii="Segoe UI" w:hAnsi="Segoe UI" w:cs="Segoe UI"/>
          <w:color w:val="1E1F24"/>
          <w:shd w:val="clear" w:color="auto" w:fill="FFFFFF"/>
        </w:rPr>
        <w:t>编码逻辑功能。</w:t>
      </w:r>
    </w:p>
    <w:p w14:paraId="691E44E4" w14:textId="77777777" w:rsidR="00C66954" w:rsidRPr="003D097E" w:rsidRDefault="00C66954">
      <w:pPr>
        <w:ind w:firstLineChars="200" w:firstLine="420"/>
        <w:rPr>
          <w:rFonts w:ascii="宋体" w:hAnsi="宋体"/>
        </w:rPr>
      </w:pPr>
    </w:p>
    <w:p w14:paraId="4945D896" w14:textId="77777777" w:rsidR="00C66954" w:rsidRPr="004247EE" w:rsidRDefault="00A773EE">
      <w:pPr>
        <w:rPr>
          <w:rFonts w:ascii="宋体" w:hAnsi="宋体"/>
          <w:b/>
          <w:sz w:val="24"/>
          <w:szCs w:val="24"/>
        </w:rPr>
      </w:pPr>
      <w:r w:rsidRPr="004247EE">
        <w:rPr>
          <w:rFonts w:ascii="宋体" w:hAnsi="宋体"/>
          <w:b/>
          <w:sz w:val="24"/>
          <w:szCs w:val="24"/>
        </w:rPr>
        <w:t>1 结构设计及原理</w:t>
      </w:r>
    </w:p>
    <w:p w14:paraId="1792D2B4" w14:textId="2A8FE438" w:rsidR="00C66954" w:rsidRDefault="00A773EE">
      <w:pPr>
        <w:ind w:firstLineChars="200" w:firstLine="420"/>
        <w:rPr>
          <w:rFonts w:ascii="黑体" w:eastAsia="黑体" w:hAnsi="黑体"/>
        </w:rPr>
      </w:pPr>
      <w:r>
        <w:t>基于</w:t>
      </w:r>
      <w:r>
        <w:rPr>
          <w:rFonts w:hint="eastAsia"/>
        </w:rPr>
        <w:t>正方晶格结构</w:t>
      </w:r>
      <w:r>
        <w:t>的太赫兹波光子晶体</w:t>
      </w:r>
      <w:r>
        <w:t>4</w:t>
      </w:r>
      <w:r>
        <w:rPr>
          <w:rFonts w:ascii="宋体" w:hAnsi="宋体"/>
          <w:sz w:val="20"/>
          <w:szCs w:val="20"/>
        </w:rPr>
        <w:t>×</w:t>
      </w:r>
      <w:r>
        <w:t>2</w:t>
      </w:r>
      <w:r>
        <w:t>编码器结构如图</w:t>
      </w:r>
      <w:r>
        <w:t>1</w:t>
      </w:r>
      <w:r>
        <w:t>所示</w:t>
      </w:r>
      <w:r>
        <w:rPr>
          <w:rFonts w:hint="eastAsia"/>
        </w:rPr>
        <w:t>。</w:t>
      </w:r>
      <w:r>
        <w:t>在空气中排列</w:t>
      </w:r>
      <w:r>
        <w:t>27</w:t>
      </w:r>
      <w:r>
        <w:rPr>
          <w:rFonts w:ascii="宋体" w:hAnsi="宋体"/>
          <w:sz w:val="20"/>
          <w:szCs w:val="20"/>
        </w:rPr>
        <w:t>×</w:t>
      </w:r>
      <w:r>
        <w:t>26</w:t>
      </w:r>
      <w:r>
        <w:t>个正方形碲（</w:t>
      </w:r>
      <w:r>
        <w:t>n</w:t>
      </w:r>
      <w:r>
        <w:rPr>
          <w:rFonts w:hint="eastAsia"/>
        </w:rPr>
        <w:t>＝</w:t>
      </w:r>
      <w:r>
        <w:t>4.8</w:t>
      </w:r>
      <w:r>
        <w:t>）介质柱</w:t>
      </w:r>
      <w:r>
        <w:rPr>
          <w:rFonts w:hint="eastAsia"/>
        </w:rPr>
        <w:t>形成完整晶格结构，</w:t>
      </w:r>
      <w:r w:rsidR="00513894">
        <w:rPr>
          <w:rFonts w:hint="eastAsia"/>
        </w:rPr>
        <w:t>四</w:t>
      </w:r>
      <w:r>
        <w:t>周设有完美匹配层</w:t>
      </w:r>
      <w:r>
        <w:rPr>
          <w:rFonts w:hint="eastAsia"/>
        </w:rPr>
        <w:t>，</w:t>
      </w:r>
      <w:r>
        <w:t>整体尺寸为</w:t>
      </w:r>
      <w:r>
        <w:t>1.08 mm</w:t>
      </w:r>
      <w:r>
        <w:rPr>
          <w:rFonts w:ascii="宋体" w:hAnsi="宋体"/>
          <w:sz w:val="20"/>
          <w:szCs w:val="20"/>
        </w:rPr>
        <w:t>×</w:t>
      </w:r>
      <w:r>
        <w:t>1.04 mm</w:t>
      </w:r>
      <w:r>
        <w:t>。晶格常数</w:t>
      </w:r>
      <w:r>
        <w:rPr>
          <w:i/>
          <w:iCs/>
        </w:rPr>
        <w:t>a</w:t>
      </w:r>
      <w:r>
        <w:rPr>
          <w:rFonts w:hint="eastAsia"/>
        </w:rPr>
        <w:t>＝</w:t>
      </w:r>
      <w:r>
        <w:t>40 μm</w:t>
      </w:r>
      <w:r>
        <w:t>，方形介质柱边长</w:t>
      </w:r>
      <w:r>
        <w:rPr>
          <w:i/>
          <w:iCs/>
        </w:rPr>
        <w:t>w</w:t>
      </w:r>
      <w:r>
        <w:rPr>
          <w:rFonts w:hint="eastAsia"/>
        </w:rPr>
        <w:t>＝</w:t>
      </w:r>
      <w:r>
        <w:t>0.22</w:t>
      </w:r>
      <w:r>
        <w:rPr>
          <w:i/>
          <w:iCs/>
        </w:rPr>
        <w:t>a</w:t>
      </w:r>
      <w:r>
        <w:rPr>
          <w:rFonts w:hint="eastAsia"/>
        </w:rPr>
        <w:t>。</w:t>
      </w:r>
      <w:r>
        <w:t>4</w:t>
      </w:r>
      <w:r>
        <w:rPr>
          <w:rFonts w:ascii="宋体" w:hAnsi="宋体"/>
          <w:sz w:val="20"/>
          <w:szCs w:val="20"/>
        </w:rPr>
        <w:t>×</w:t>
      </w:r>
      <w:r>
        <w:t>2</w:t>
      </w:r>
      <w:r>
        <w:t>编码器</w:t>
      </w:r>
      <w:r>
        <w:rPr>
          <w:rFonts w:hint="eastAsia"/>
        </w:rPr>
        <w:t>的基本结构</w:t>
      </w:r>
      <w:r>
        <w:t>由</w:t>
      </w:r>
      <w:r w:rsidR="004630DB">
        <w:t>4</w:t>
      </w:r>
      <w:r>
        <w:t>个输入端口（</w:t>
      </w:r>
      <w:r>
        <w:rPr>
          <w:i/>
          <w:iCs/>
        </w:rPr>
        <w:t>I</w:t>
      </w:r>
      <w:r>
        <w:rPr>
          <w:vertAlign w:val="subscript"/>
        </w:rPr>
        <w:t>0</w:t>
      </w:r>
      <w:r>
        <w:t>、</w:t>
      </w:r>
      <w:r>
        <w:rPr>
          <w:i/>
          <w:iCs/>
        </w:rPr>
        <w:t>I</w:t>
      </w:r>
      <w:r>
        <w:rPr>
          <w:vertAlign w:val="subscript"/>
        </w:rPr>
        <w:t>1</w:t>
      </w:r>
      <w:r>
        <w:t>、</w:t>
      </w:r>
      <w:r>
        <w:rPr>
          <w:i/>
          <w:iCs/>
        </w:rPr>
        <w:t>I</w:t>
      </w:r>
      <w:r>
        <w:rPr>
          <w:vertAlign w:val="subscript"/>
        </w:rPr>
        <w:t>2</w:t>
      </w:r>
      <w:r>
        <w:t>、</w:t>
      </w:r>
      <w:r>
        <w:rPr>
          <w:i/>
          <w:iCs/>
        </w:rPr>
        <w:t>I</w:t>
      </w:r>
      <w:r>
        <w:rPr>
          <w:vertAlign w:val="subscript"/>
        </w:rPr>
        <w:t>3</w:t>
      </w:r>
      <w:r>
        <w:t>）和</w:t>
      </w:r>
      <w:r w:rsidR="004630DB">
        <w:t>2</w:t>
      </w:r>
      <w:r>
        <w:t>个输出端口（</w:t>
      </w:r>
      <w:r>
        <w:rPr>
          <w:i/>
          <w:iCs/>
        </w:rPr>
        <w:t>O</w:t>
      </w:r>
      <w:r>
        <w:rPr>
          <w:vertAlign w:val="subscript"/>
        </w:rPr>
        <w:t>0</w:t>
      </w:r>
      <w:r>
        <w:t>和</w:t>
      </w:r>
      <w:r>
        <w:rPr>
          <w:i/>
          <w:iCs/>
        </w:rPr>
        <w:t>O</w:t>
      </w:r>
      <w:r>
        <w:rPr>
          <w:vertAlign w:val="subscript"/>
        </w:rPr>
        <w:t>1</w:t>
      </w:r>
      <w:r>
        <w:t>）组成</w:t>
      </w:r>
      <w:r>
        <w:rPr>
          <w:rFonts w:hint="eastAsia"/>
        </w:rPr>
        <w:t>，</w:t>
      </w:r>
      <w:r w:rsidR="008E4778">
        <w:rPr>
          <w:rFonts w:ascii="Segoe UI" w:hAnsi="Segoe UI" w:cs="Segoe UI"/>
          <w:color w:val="1E1F24"/>
          <w:shd w:val="clear" w:color="auto" w:fill="FFFFFF"/>
        </w:rPr>
        <w:t>通过移除若干个介质柱在完整的正方晶格中形成了</w:t>
      </w:r>
      <w:r w:rsidR="008E4778">
        <w:rPr>
          <w:rFonts w:ascii="Segoe UI" w:hAnsi="Segoe UI" w:cs="Segoe UI"/>
          <w:color w:val="1E1F24"/>
          <w:shd w:val="clear" w:color="auto" w:fill="FFFFFF"/>
        </w:rPr>
        <w:t>3</w:t>
      </w:r>
      <w:r w:rsidR="008E4778">
        <w:rPr>
          <w:rFonts w:ascii="Segoe UI" w:hAnsi="Segoe UI" w:cs="Segoe UI"/>
          <w:color w:val="1E1F24"/>
          <w:shd w:val="clear" w:color="auto" w:fill="FFFFFF"/>
        </w:rPr>
        <w:t>个直波导</w:t>
      </w:r>
      <w:r>
        <w:t>（</w:t>
      </w:r>
      <w:r>
        <w:rPr>
          <w:i/>
          <w:iCs/>
        </w:rPr>
        <w:t>W</w:t>
      </w:r>
      <w:r>
        <w:rPr>
          <w:vertAlign w:val="subscript"/>
        </w:rPr>
        <w:t>0</w:t>
      </w:r>
      <w:r>
        <w:t>、</w:t>
      </w:r>
      <w:r>
        <w:rPr>
          <w:i/>
          <w:iCs/>
        </w:rPr>
        <w:t>W</w:t>
      </w:r>
      <w:r>
        <w:rPr>
          <w:vertAlign w:val="subscript"/>
        </w:rPr>
        <w:t>4</w:t>
      </w:r>
      <w:r>
        <w:t>、</w:t>
      </w:r>
      <w:r>
        <w:rPr>
          <w:i/>
          <w:iCs/>
        </w:rPr>
        <w:t>W</w:t>
      </w:r>
      <w:r>
        <w:rPr>
          <w:vertAlign w:val="subscript"/>
        </w:rPr>
        <w:t>5</w:t>
      </w:r>
      <w:r>
        <w:t>）、</w:t>
      </w:r>
      <w:r w:rsidR="004630DB">
        <w:rPr>
          <w:rFonts w:hint="eastAsia"/>
        </w:rPr>
        <w:t>1</w:t>
      </w:r>
      <w:r>
        <w:t>个</w:t>
      </w:r>
      <w:r>
        <w:t>Y</w:t>
      </w:r>
      <w:r>
        <w:t>型波导（</w:t>
      </w:r>
      <w:r>
        <w:rPr>
          <w:i/>
          <w:iCs/>
        </w:rPr>
        <w:t>W</w:t>
      </w:r>
      <w:r>
        <w:rPr>
          <w:vertAlign w:val="subscript"/>
        </w:rPr>
        <w:t>2</w:t>
      </w:r>
      <w:r>
        <w:t>）和</w:t>
      </w:r>
      <w:r w:rsidR="004630DB">
        <w:t>2</w:t>
      </w:r>
      <w:r>
        <w:t>个弯曲波导（</w:t>
      </w:r>
      <w:r>
        <w:rPr>
          <w:i/>
          <w:iCs/>
        </w:rPr>
        <w:t>W</w:t>
      </w:r>
      <w:r>
        <w:rPr>
          <w:vertAlign w:val="subscript"/>
        </w:rPr>
        <w:t>1</w:t>
      </w:r>
      <w:r>
        <w:t>、</w:t>
      </w:r>
      <w:r>
        <w:rPr>
          <w:i/>
          <w:iCs/>
        </w:rPr>
        <w:t>W</w:t>
      </w:r>
      <w:r>
        <w:rPr>
          <w:vertAlign w:val="subscript"/>
        </w:rPr>
        <w:t>3</w:t>
      </w:r>
      <w:r>
        <w:t>）。</w:t>
      </w:r>
      <w:r>
        <w:rPr>
          <w:rFonts w:hint="eastAsia"/>
        </w:rPr>
        <w:t>复用</w:t>
      </w:r>
      <w:r>
        <w:t>直波导</w:t>
      </w:r>
      <w:r>
        <w:rPr>
          <w:i/>
          <w:iCs/>
        </w:rPr>
        <w:t>W</w:t>
      </w:r>
      <w:r>
        <w:rPr>
          <w:vertAlign w:val="subscript"/>
        </w:rPr>
        <w:t>0</w:t>
      </w:r>
      <w:r>
        <w:t>位</w:t>
      </w:r>
      <w:r>
        <w:rPr>
          <w:rStyle w:val="af1"/>
        </w:rPr>
        <w:t>于输出波导</w:t>
      </w:r>
      <w:r>
        <w:rPr>
          <w:rStyle w:val="af1"/>
          <w:i/>
          <w:iCs/>
        </w:rPr>
        <w:t>W</w:t>
      </w:r>
      <w:r>
        <w:rPr>
          <w:rStyle w:val="af1"/>
          <w:vertAlign w:val="subscript"/>
        </w:rPr>
        <w:t>4</w:t>
      </w:r>
      <w:r>
        <w:rPr>
          <w:rStyle w:val="af1"/>
        </w:rPr>
        <w:t>和</w:t>
      </w:r>
      <w:r>
        <w:rPr>
          <w:rStyle w:val="af1"/>
          <w:i/>
          <w:iCs/>
        </w:rPr>
        <w:t>W</w:t>
      </w:r>
      <w:r>
        <w:rPr>
          <w:rStyle w:val="af1"/>
          <w:vertAlign w:val="subscript"/>
        </w:rPr>
        <w:t>5</w:t>
      </w:r>
      <w:r>
        <w:rPr>
          <w:rStyle w:val="af1"/>
        </w:rPr>
        <w:t>之间，</w:t>
      </w:r>
      <w:r>
        <w:t>是端口</w:t>
      </w:r>
      <w:r>
        <w:rPr>
          <w:i/>
          <w:iCs/>
        </w:rPr>
        <w:t>I</w:t>
      </w:r>
      <w:r>
        <w:rPr>
          <w:vertAlign w:val="subscript"/>
        </w:rPr>
        <w:t>0</w:t>
      </w:r>
      <w:r>
        <w:t>的输入波导，同时也作为逻辑缓冲区</w:t>
      </w:r>
      <w:r>
        <w:rPr>
          <w:i/>
          <w:iCs/>
        </w:rPr>
        <w:t>V</w:t>
      </w:r>
      <w:r>
        <w:t>的输出波导</w:t>
      </w:r>
      <w:r>
        <w:rPr>
          <w:rStyle w:val="af1"/>
        </w:rPr>
        <w:t>。当将</w:t>
      </w:r>
      <w:r>
        <w:rPr>
          <w:rStyle w:val="af1"/>
          <w:i/>
          <w:iCs/>
        </w:rPr>
        <w:t>W</w:t>
      </w:r>
      <w:r>
        <w:rPr>
          <w:rStyle w:val="af1"/>
          <w:vertAlign w:val="subscript"/>
        </w:rPr>
        <w:t>0</w:t>
      </w:r>
      <w:r>
        <w:rPr>
          <w:rStyle w:val="af1"/>
        </w:rPr>
        <w:t>置于波导</w:t>
      </w:r>
      <w:r>
        <w:rPr>
          <w:rStyle w:val="af1"/>
          <w:i/>
          <w:iCs/>
        </w:rPr>
        <w:t>W</w:t>
      </w:r>
      <w:r>
        <w:rPr>
          <w:rStyle w:val="af1"/>
          <w:vertAlign w:val="subscript"/>
        </w:rPr>
        <w:t>1</w:t>
      </w:r>
      <w:r>
        <w:rPr>
          <w:rStyle w:val="af1"/>
        </w:rPr>
        <w:t>上方或波导</w:t>
      </w:r>
      <w:r>
        <w:rPr>
          <w:rStyle w:val="af1"/>
          <w:i/>
          <w:iCs/>
        </w:rPr>
        <w:t>W</w:t>
      </w:r>
      <w:r>
        <w:rPr>
          <w:rStyle w:val="af1"/>
          <w:vertAlign w:val="subscript"/>
        </w:rPr>
        <w:t>3</w:t>
      </w:r>
      <w:r>
        <w:rPr>
          <w:rStyle w:val="af1"/>
        </w:rPr>
        <w:t>下方时，若间隔过小，则可能引起波导间耦合损耗，降低透过率，而增大间隔则会增加器件的纵向尺寸，不易于集成。因此</w:t>
      </w:r>
      <w:r w:rsidR="00E04C89">
        <w:rPr>
          <w:rStyle w:val="af1"/>
          <w:rFonts w:hint="eastAsia"/>
        </w:rPr>
        <w:t>，</w:t>
      </w:r>
      <w:r>
        <w:rPr>
          <w:rStyle w:val="af1"/>
        </w:rPr>
        <w:t>本文将波导</w:t>
      </w:r>
      <w:r>
        <w:rPr>
          <w:rStyle w:val="af1"/>
          <w:i/>
          <w:iCs/>
        </w:rPr>
        <w:t>W</w:t>
      </w:r>
      <w:r>
        <w:rPr>
          <w:rStyle w:val="af1"/>
          <w:vertAlign w:val="subscript"/>
        </w:rPr>
        <w:t>0</w:t>
      </w:r>
      <w:r>
        <w:rPr>
          <w:rStyle w:val="af1"/>
        </w:rPr>
        <w:t>置于输出波导</w:t>
      </w:r>
      <w:r>
        <w:rPr>
          <w:rStyle w:val="af1"/>
          <w:i/>
          <w:iCs/>
        </w:rPr>
        <w:t>W</w:t>
      </w:r>
      <w:r>
        <w:rPr>
          <w:rStyle w:val="af1"/>
          <w:vertAlign w:val="subscript"/>
        </w:rPr>
        <w:t>4</w:t>
      </w:r>
      <w:r>
        <w:rPr>
          <w:rStyle w:val="af1"/>
        </w:rPr>
        <w:t>和</w:t>
      </w:r>
      <w:r>
        <w:rPr>
          <w:rStyle w:val="af1"/>
          <w:i/>
          <w:iCs/>
        </w:rPr>
        <w:t>W</w:t>
      </w:r>
      <w:r>
        <w:rPr>
          <w:rStyle w:val="af1"/>
          <w:vertAlign w:val="subscript"/>
        </w:rPr>
        <w:t>5</w:t>
      </w:r>
      <w:r>
        <w:rPr>
          <w:rStyle w:val="af1"/>
        </w:rPr>
        <w:t>之间，既可以</w:t>
      </w:r>
      <w:r>
        <w:t>避免上述损耗，又能够减小器件的纵向长度，使得整体结构更加紧凑。介质柱</w:t>
      </w:r>
      <w:r>
        <w:t>A</w:t>
      </w:r>
      <w:r>
        <w:t>是位于</w:t>
      </w:r>
      <w:r>
        <w:t>Y</w:t>
      </w:r>
      <w:r>
        <w:t>型分束结构处的一个调控介质柱，其横向偏移量记为</w:t>
      </w:r>
      <w:r w:rsidR="004247EE">
        <w:rPr>
          <w:rFonts w:hint="eastAsia"/>
          <w:i/>
          <w:iCs/>
        </w:rPr>
        <w:t>S</w:t>
      </w:r>
      <w:r>
        <w:rPr>
          <w:vertAlign w:val="subscript"/>
        </w:rPr>
        <w:t>1</w:t>
      </w:r>
      <w:r>
        <w:t>，用于调控入射光在</w:t>
      </w:r>
      <w:r>
        <w:t>Y</w:t>
      </w:r>
      <w:r>
        <w:t>型波导中的分光比；介质柱</w:t>
      </w:r>
      <w:r>
        <w:t>B</w:t>
      </w:r>
      <w:r>
        <w:t>和介质柱</w:t>
      </w:r>
      <w:r>
        <w:t>C</w:t>
      </w:r>
      <w:r>
        <w:t>分别是波导</w:t>
      </w:r>
      <w:r>
        <w:rPr>
          <w:i/>
          <w:iCs/>
        </w:rPr>
        <w:t>W</w:t>
      </w:r>
      <w:r>
        <w:rPr>
          <w:vertAlign w:val="subscript"/>
        </w:rPr>
        <w:t>1</w:t>
      </w:r>
      <w:r>
        <w:t>和</w:t>
      </w:r>
      <w:r>
        <w:rPr>
          <w:i/>
          <w:iCs/>
        </w:rPr>
        <w:t>W</w:t>
      </w:r>
      <w:r>
        <w:rPr>
          <w:vertAlign w:val="subscript"/>
        </w:rPr>
        <w:t>4</w:t>
      </w:r>
      <w:r>
        <w:t>、</w:t>
      </w:r>
      <w:r>
        <w:rPr>
          <w:i/>
          <w:iCs/>
        </w:rPr>
        <w:t>W</w:t>
      </w:r>
      <w:r>
        <w:rPr>
          <w:vertAlign w:val="subscript"/>
        </w:rPr>
        <w:t>3</w:t>
      </w:r>
      <w:r>
        <w:t>和</w:t>
      </w:r>
      <w:r>
        <w:rPr>
          <w:i/>
          <w:iCs/>
        </w:rPr>
        <w:t>W</w:t>
      </w:r>
      <w:r>
        <w:rPr>
          <w:vertAlign w:val="subscript"/>
        </w:rPr>
        <w:t>5</w:t>
      </w:r>
      <w:r>
        <w:t>相交处的介质柱，因为</w:t>
      </w:r>
      <w:r w:rsidR="004630DB">
        <w:t>2</w:t>
      </w:r>
      <w:r>
        <w:t>个介质柱上下对称分布，所以其横向偏移量均记为</w:t>
      </w:r>
      <w:r w:rsidR="004247EE">
        <w:rPr>
          <w:rFonts w:hint="eastAsia"/>
          <w:i/>
          <w:iCs/>
        </w:rPr>
        <w:t>S</w:t>
      </w:r>
      <w:r>
        <w:rPr>
          <w:vertAlign w:val="subscript"/>
        </w:rPr>
        <w:t>2</w:t>
      </w:r>
      <w:r>
        <w:t>，用于调控光从输入波导进入到</w:t>
      </w:r>
      <w:r>
        <w:rPr>
          <w:i/>
          <w:iCs/>
        </w:rPr>
        <w:t>W</w:t>
      </w:r>
      <w:r>
        <w:rPr>
          <w:vertAlign w:val="subscript"/>
        </w:rPr>
        <w:t>4</w:t>
      </w:r>
      <w:r>
        <w:t>和</w:t>
      </w:r>
      <w:r>
        <w:rPr>
          <w:i/>
          <w:iCs/>
        </w:rPr>
        <w:t>W</w:t>
      </w:r>
      <w:r>
        <w:rPr>
          <w:vertAlign w:val="subscript"/>
        </w:rPr>
        <w:t>5</w:t>
      </w:r>
      <w:r>
        <w:t>的输出</w:t>
      </w:r>
      <w:r>
        <w:rPr>
          <w:rFonts w:hint="eastAsia"/>
        </w:rPr>
        <w:t>。</w:t>
      </w:r>
    </w:p>
    <w:p w14:paraId="76A9FF8E" w14:textId="16E2D9BE" w:rsidR="00C66954" w:rsidRDefault="0062538A">
      <w:pPr>
        <w:jc w:val="center"/>
        <w:rPr>
          <w:sz w:val="24"/>
          <w:szCs w:val="24"/>
        </w:rPr>
      </w:pPr>
      <w:r>
        <w:object w:dxaOrig="4306" w:dyaOrig="3840" w14:anchorId="77CD37C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15.5pt;height:192pt" o:ole="">
            <v:imagedata r:id="rId8" o:title=""/>
          </v:shape>
          <o:OLEObject Type="Embed" ProgID="Visio.Drawing.15" ShapeID="_x0000_i1025" DrawAspect="Content" ObjectID="_1756703745" r:id="rId9"/>
        </w:object>
      </w:r>
    </w:p>
    <w:p w14:paraId="72BDE551" w14:textId="77777777" w:rsidR="00C66954" w:rsidRDefault="00A773EE">
      <w:pPr>
        <w:autoSpaceDE w:val="0"/>
        <w:autoSpaceDN w:val="0"/>
        <w:jc w:val="center"/>
        <w:rPr>
          <w:rFonts w:ascii="黑体" w:eastAsia="黑体" w:hAnsi="黑体"/>
          <w:sz w:val="15"/>
          <w:szCs w:val="15"/>
        </w:rPr>
      </w:pPr>
      <w:r>
        <w:rPr>
          <w:rFonts w:ascii="黑体" w:eastAsia="黑体" w:hAnsi="黑体"/>
          <w:sz w:val="15"/>
          <w:szCs w:val="15"/>
        </w:rPr>
        <w:t>图1 基于光子晶体的新型太赫兹波4×2编码器结构</w:t>
      </w:r>
    </w:p>
    <w:p w14:paraId="7A1342A4" w14:textId="77777777" w:rsidR="00C66954" w:rsidRDefault="00C66954">
      <w:pPr>
        <w:jc w:val="center"/>
        <w:rPr>
          <w:rFonts w:ascii="宋体" w:hAnsi="宋体"/>
          <w:sz w:val="18"/>
          <w:szCs w:val="18"/>
        </w:rPr>
      </w:pPr>
    </w:p>
    <w:p w14:paraId="4FF09546" w14:textId="77777777" w:rsidR="00C66954" w:rsidRDefault="00A773EE">
      <w:pPr>
        <w:ind w:firstLineChars="200" w:firstLine="420"/>
      </w:pPr>
      <w:r>
        <w:rPr>
          <w:rFonts w:hint="eastAsia"/>
        </w:rPr>
        <w:t>4</w:t>
      </w:r>
      <w:r>
        <w:rPr>
          <w:rFonts w:hint="eastAsia"/>
        </w:rPr>
        <w:t>×</w:t>
      </w:r>
      <w:r>
        <w:rPr>
          <w:rFonts w:hint="eastAsia"/>
        </w:rPr>
        <w:t>2</w:t>
      </w:r>
      <w:r>
        <w:rPr>
          <w:rFonts w:hint="eastAsia"/>
        </w:rPr>
        <w:t>编码器的真值表如表</w:t>
      </w:r>
      <w:r>
        <w:t>1</w:t>
      </w:r>
      <w:r>
        <w:rPr>
          <w:rFonts w:hint="eastAsia"/>
        </w:rPr>
        <w:t>所示。当信号光从输入端口</w:t>
      </w:r>
      <w:r>
        <w:rPr>
          <w:rFonts w:hint="eastAsia"/>
          <w:i/>
          <w:iCs/>
        </w:rPr>
        <w:t>I</w:t>
      </w:r>
      <w:r>
        <w:rPr>
          <w:vertAlign w:val="subscript"/>
        </w:rPr>
        <w:t>0</w:t>
      </w:r>
      <w:r>
        <w:rPr>
          <w:rFonts w:hint="eastAsia"/>
        </w:rPr>
        <w:t>入射时，被波导</w:t>
      </w:r>
      <w:r>
        <w:rPr>
          <w:rFonts w:hint="eastAsia"/>
          <w:i/>
          <w:iCs/>
        </w:rPr>
        <w:t>W</w:t>
      </w:r>
      <w:r>
        <w:rPr>
          <w:vertAlign w:val="subscript"/>
        </w:rPr>
        <w:t>0</w:t>
      </w:r>
      <w:r>
        <w:rPr>
          <w:rFonts w:hint="eastAsia"/>
        </w:rPr>
        <w:t>左侧介质柱阻挡后会从端口</w:t>
      </w:r>
      <w:r>
        <w:rPr>
          <w:rFonts w:hint="eastAsia"/>
          <w:i/>
          <w:iCs/>
        </w:rPr>
        <w:t>V</w:t>
      </w:r>
      <w:r>
        <w:rPr>
          <w:rFonts w:hint="eastAsia"/>
        </w:rPr>
        <w:t>输出，而输出端口</w:t>
      </w:r>
      <w:r>
        <w:rPr>
          <w:rFonts w:hint="eastAsia"/>
          <w:i/>
          <w:iCs/>
        </w:rPr>
        <w:t>O</w:t>
      </w:r>
      <w:r>
        <w:rPr>
          <w:vertAlign w:val="subscript"/>
        </w:rPr>
        <w:t>1</w:t>
      </w:r>
      <w:r>
        <w:rPr>
          <w:rFonts w:hint="eastAsia"/>
        </w:rPr>
        <w:t>和</w:t>
      </w:r>
      <w:r>
        <w:rPr>
          <w:rFonts w:hint="eastAsia"/>
          <w:i/>
          <w:iCs/>
        </w:rPr>
        <w:t>O</w:t>
      </w:r>
      <w:r>
        <w:rPr>
          <w:vertAlign w:val="subscript"/>
        </w:rPr>
        <w:t>0</w:t>
      </w:r>
      <w:r>
        <w:rPr>
          <w:rFonts w:hint="eastAsia"/>
        </w:rPr>
        <w:t>无输出，此时</w:t>
      </w:r>
      <w:r>
        <w:rPr>
          <w:rFonts w:hint="eastAsia"/>
          <w:i/>
          <w:iCs/>
        </w:rPr>
        <w:t>O</w:t>
      </w:r>
      <w:r>
        <w:rPr>
          <w:vertAlign w:val="subscript"/>
        </w:rPr>
        <w:t>1</w:t>
      </w:r>
      <w:r>
        <w:rPr>
          <w:rFonts w:hint="eastAsia"/>
        </w:rPr>
        <w:t>和</w:t>
      </w:r>
      <w:r>
        <w:rPr>
          <w:rFonts w:hint="eastAsia"/>
          <w:i/>
          <w:iCs/>
        </w:rPr>
        <w:t>O</w:t>
      </w:r>
      <w:r>
        <w:rPr>
          <w:vertAlign w:val="subscript"/>
        </w:rPr>
        <w:t>0</w:t>
      </w:r>
      <w:r>
        <w:rPr>
          <w:rFonts w:hint="eastAsia"/>
        </w:rPr>
        <w:t>的逻辑状态为</w:t>
      </w:r>
      <w:r>
        <w:rPr>
          <w:rFonts w:hint="eastAsia"/>
        </w:rPr>
        <w:t>0</w:t>
      </w:r>
      <w:r>
        <w:t>0</w:t>
      </w:r>
      <w:r>
        <w:rPr>
          <w:rFonts w:hint="eastAsia"/>
        </w:rPr>
        <w:t>；当信号光从输入端口</w:t>
      </w:r>
      <w:r>
        <w:rPr>
          <w:rFonts w:hint="eastAsia"/>
          <w:i/>
          <w:iCs/>
        </w:rPr>
        <w:t>I</w:t>
      </w:r>
      <w:r>
        <w:rPr>
          <w:vertAlign w:val="subscript"/>
        </w:rPr>
        <w:t>1</w:t>
      </w:r>
      <w:r>
        <w:rPr>
          <w:rFonts w:hint="eastAsia"/>
        </w:rPr>
        <w:t>入射时，绝大部分的光会经过弯曲波导</w:t>
      </w:r>
      <w:r>
        <w:rPr>
          <w:rFonts w:hint="eastAsia"/>
          <w:i/>
          <w:iCs/>
        </w:rPr>
        <w:t>W</w:t>
      </w:r>
      <w:r>
        <w:rPr>
          <w:vertAlign w:val="subscript"/>
        </w:rPr>
        <w:t>1</w:t>
      </w:r>
      <w:r>
        <w:rPr>
          <w:rFonts w:hint="eastAsia"/>
        </w:rPr>
        <w:t>进入到</w:t>
      </w:r>
      <w:r>
        <w:rPr>
          <w:rFonts w:hint="eastAsia"/>
          <w:i/>
          <w:iCs/>
        </w:rPr>
        <w:t>W</w:t>
      </w:r>
      <w:r>
        <w:rPr>
          <w:vertAlign w:val="subscript"/>
        </w:rPr>
        <w:t>4</w:t>
      </w:r>
      <w:r>
        <w:rPr>
          <w:rFonts w:hint="eastAsia"/>
        </w:rPr>
        <w:t>并从输出端口</w:t>
      </w:r>
      <w:r>
        <w:rPr>
          <w:rFonts w:hint="eastAsia"/>
          <w:i/>
          <w:iCs/>
        </w:rPr>
        <w:t>O</w:t>
      </w:r>
      <w:r>
        <w:rPr>
          <w:vertAlign w:val="subscript"/>
        </w:rPr>
        <w:t>0</w:t>
      </w:r>
      <w:r>
        <w:rPr>
          <w:rFonts w:hint="eastAsia"/>
        </w:rPr>
        <w:t>输出，此时</w:t>
      </w:r>
      <w:r>
        <w:rPr>
          <w:i/>
          <w:iCs/>
        </w:rPr>
        <w:t>O</w:t>
      </w:r>
      <w:r>
        <w:rPr>
          <w:vertAlign w:val="subscript"/>
        </w:rPr>
        <w:t>1</w:t>
      </w:r>
      <w:r>
        <w:rPr>
          <w:rFonts w:hint="eastAsia"/>
        </w:rPr>
        <w:t>和</w:t>
      </w:r>
      <w:r>
        <w:rPr>
          <w:rFonts w:hint="eastAsia"/>
          <w:i/>
          <w:iCs/>
        </w:rPr>
        <w:t>O</w:t>
      </w:r>
      <w:r>
        <w:rPr>
          <w:vertAlign w:val="subscript"/>
        </w:rPr>
        <w:t>0</w:t>
      </w:r>
      <w:r>
        <w:rPr>
          <w:rFonts w:hint="eastAsia"/>
        </w:rPr>
        <w:t>的逻辑状态为</w:t>
      </w:r>
      <w:r>
        <w:rPr>
          <w:rFonts w:hint="eastAsia"/>
        </w:rPr>
        <w:t>0</w:t>
      </w:r>
      <w:r>
        <w:t>1</w:t>
      </w:r>
      <w:r>
        <w:rPr>
          <w:rFonts w:hint="eastAsia"/>
        </w:rPr>
        <w:t>；当信号光从输入端口</w:t>
      </w:r>
      <w:r>
        <w:rPr>
          <w:rFonts w:hint="eastAsia"/>
          <w:i/>
          <w:iCs/>
        </w:rPr>
        <w:t>I</w:t>
      </w:r>
      <w:r>
        <w:rPr>
          <w:vertAlign w:val="subscript"/>
        </w:rPr>
        <w:t>2</w:t>
      </w:r>
      <w:r>
        <w:rPr>
          <w:rFonts w:hint="eastAsia"/>
        </w:rPr>
        <w:t>入射时，绝大部分光会经过弯曲波导</w:t>
      </w:r>
      <w:r>
        <w:rPr>
          <w:rFonts w:hint="eastAsia"/>
          <w:i/>
          <w:iCs/>
        </w:rPr>
        <w:t>W</w:t>
      </w:r>
      <w:r>
        <w:rPr>
          <w:vertAlign w:val="subscript"/>
        </w:rPr>
        <w:t>3</w:t>
      </w:r>
      <w:r>
        <w:rPr>
          <w:rFonts w:hint="eastAsia"/>
        </w:rPr>
        <w:t>进入到</w:t>
      </w:r>
      <w:r>
        <w:rPr>
          <w:rFonts w:hint="eastAsia"/>
          <w:i/>
          <w:iCs/>
        </w:rPr>
        <w:t>W</w:t>
      </w:r>
      <w:r>
        <w:rPr>
          <w:vertAlign w:val="subscript"/>
        </w:rPr>
        <w:t>5</w:t>
      </w:r>
      <w:r>
        <w:rPr>
          <w:rFonts w:hint="eastAsia"/>
        </w:rPr>
        <w:t>并从输出端口</w:t>
      </w:r>
      <w:r>
        <w:rPr>
          <w:rFonts w:hint="eastAsia"/>
          <w:i/>
          <w:iCs/>
        </w:rPr>
        <w:t>O</w:t>
      </w:r>
      <w:r>
        <w:rPr>
          <w:vertAlign w:val="subscript"/>
        </w:rPr>
        <w:t>1</w:t>
      </w:r>
      <w:r>
        <w:rPr>
          <w:rFonts w:hint="eastAsia"/>
        </w:rPr>
        <w:t>输出，此时</w:t>
      </w:r>
      <w:r>
        <w:rPr>
          <w:i/>
          <w:iCs/>
        </w:rPr>
        <w:t>O</w:t>
      </w:r>
      <w:r>
        <w:rPr>
          <w:vertAlign w:val="subscript"/>
        </w:rPr>
        <w:t>1</w:t>
      </w:r>
      <w:r>
        <w:rPr>
          <w:rFonts w:hint="eastAsia"/>
        </w:rPr>
        <w:t>和</w:t>
      </w:r>
      <w:r>
        <w:rPr>
          <w:rFonts w:hint="eastAsia"/>
          <w:i/>
          <w:iCs/>
        </w:rPr>
        <w:t>O</w:t>
      </w:r>
      <w:r>
        <w:rPr>
          <w:vertAlign w:val="subscript"/>
        </w:rPr>
        <w:t>0</w:t>
      </w:r>
      <w:r>
        <w:rPr>
          <w:rFonts w:hint="eastAsia"/>
        </w:rPr>
        <w:t>的逻辑状态为</w:t>
      </w:r>
      <w:r>
        <w:t>10</w:t>
      </w:r>
      <w:r>
        <w:rPr>
          <w:rFonts w:hint="eastAsia"/>
        </w:rPr>
        <w:t>；当信号光从输入端口</w:t>
      </w:r>
      <w:r>
        <w:rPr>
          <w:rFonts w:hint="eastAsia"/>
          <w:i/>
          <w:iCs/>
        </w:rPr>
        <w:t>I</w:t>
      </w:r>
      <w:r>
        <w:rPr>
          <w:vertAlign w:val="subscript"/>
        </w:rPr>
        <w:t>3</w:t>
      </w:r>
      <w:r>
        <w:rPr>
          <w:rFonts w:hint="eastAsia"/>
        </w:rPr>
        <w:t>入射时，将经过波导</w:t>
      </w:r>
      <w:r>
        <w:rPr>
          <w:rFonts w:hint="eastAsia"/>
          <w:i/>
          <w:iCs/>
        </w:rPr>
        <w:t>W</w:t>
      </w:r>
      <w:r>
        <w:rPr>
          <w:vertAlign w:val="subscript"/>
        </w:rPr>
        <w:t>2</w:t>
      </w:r>
      <w:r>
        <w:rPr>
          <w:rFonts w:hint="eastAsia"/>
        </w:rPr>
        <w:t>和</w:t>
      </w:r>
      <w:r>
        <w:rPr>
          <w:rFonts w:hint="eastAsia"/>
          <w:i/>
          <w:iCs/>
        </w:rPr>
        <w:t>W</w:t>
      </w:r>
      <w:r>
        <w:rPr>
          <w:vertAlign w:val="subscript"/>
        </w:rPr>
        <w:t>4</w:t>
      </w:r>
      <w:r>
        <w:rPr>
          <w:rFonts w:hint="eastAsia"/>
        </w:rPr>
        <w:t>、</w:t>
      </w:r>
      <w:r>
        <w:rPr>
          <w:rFonts w:hint="eastAsia"/>
          <w:i/>
          <w:iCs/>
        </w:rPr>
        <w:t>W</w:t>
      </w:r>
      <w:r>
        <w:rPr>
          <w:vertAlign w:val="subscript"/>
        </w:rPr>
        <w:t>5</w:t>
      </w:r>
      <w:r>
        <w:rPr>
          <w:rFonts w:hint="eastAsia"/>
        </w:rPr>
        <w:t>组成的等比分束器，从输出端口</w:t>
      </w:r>
      <w:r>
        <w:rPr>
          <w:rFonts w:hint="eastAsia"/>
          <w:i/>
          <w:iCs/>
        </w:rPr>
        <w:t>O</w:t>
      </w:r>
      <w:r>
        <w:rPr>
          <w:vertAlign w:val="subscript"/>
        </w:rPr>
        <w:t>1</w:t>
      </w:r>
      <w:r>
        <w:rPr>
          <w:rFonts w:hint="eastAsia"/>
        </w:rPr>
        <w:t>和</w:t>
      </w:r>
      <w:r>
        <w:rPr>
          <w:rFonts w:hint="eastAsia"/>
          <w:i/>
          <w:iCs/>
        </w:rPr>
        <w:t>O</w:t>
      </w:r>
      <w:r>
        <w:rPr>
          <w:vertAlign w:val="subscript"/>
        </w:rPr>
        <w:t>0</w:t>
      </w:r>
      <w:r>
        <w:rPr>
          <w:rFonts w:hint="eastAsia"/>
        </w:rPr>
        <w:t>输出，此时，</w:t>
      </w:r>
      <w:r>
        <w:rPr>
          <w:rFonts w:hint="eastAsia"/>
          <w:i/>
          <w:iCs/>
        </w:rPr>
        <w:t>O</w:t>
      </w:r>
      <w:r>
        <w:rPr>
          <w:vertAlign w:val="subscript"/>
        </w:rPr>
        <w:t>1</w:t>
      </w:r>
      <w:r>
        <w:rPr>
          <w:rFonts w:hint="eastAsia"/>
        </w:rPr>
        <w:t>和</w:t>
      </w:r>
      <w:r>
        <w:rPr>
          <w:rFonts w:hint="eastAsia"/>
          <w:i/>
          <w:iCs/>
        </w:rPr>
        <w:t>O</w:t>
      </w:r>
      <w:r>
        <w:rPr>
          <w:vertAlign w:val="subscript"/>
        </w:rPr>
        <w:t>0</w:t>
      </w:r>
      <w:r>
        <w:rPr>
          <w:rFonts w:hint="eastAsia"/>
        </w:rPr>
        <w:t>的逻辑状态为</w:t>
      </w:r>
      <w:r>
        <w:rPr>
          <w:rFonts w:hint="eastAsia"/>
        </w:rPr>
        <w:t>1</w:t>
      </w:r>
      <w:r>
        <w:t>1</w:t>
      </w:r>
      <w:r>
        <w:rPr>
          <w:rFonts w:hint="eastAsia"/>
        </w:rPr>
        <w:t>。因此，利用本结构可以实现基于光子晶体的太赫兹波</w:t>
      </w:r>
      <w:r>
        <w:rPr>
          <w:rFonts w:hint="eastAsia"/>
        </w:rPr>
        <w:t>4</w:t>
      </w:r>
      <w:r>
        <w:rPr>
          <w:rFonts w:hint="eastAsia"/>
        </w:rPr>
        <w:t>×</w:t>
      </w:r>
      <w:r>
        <w:rPr>
          <w:rFonts w:hint="eastAsia"/>
        </w:rPr>
        <w:t>2</w:t>
      </w:r>
      <w:r>
        <w:rPr>
          <w:rFonts w:hint="eastAsia"/>
        </w:rPr>
        <w:t>编码逻辑功能。</w:t>
      </w:r>
    </w:p>
    <w:p w14:paraId="5B9B7678" w14:textId="77777777" w:rsidR="00C66954" w:rsidRDefault="00A773EE">
      <w:pPr>
        <w:jc w:val="center"/>
        <w:rPr>
          <w:rFonts w:ascii="黑体" w:eastAsia="黑体" w:hAnsi="黑体"/>
          <w:sz w:val="18"/>
          <w:szCs w:val="18"/>
        </w:rPr>
      </w:pPr>
      <w:r>
        <w:rPr>
          <w:rFonts w:ascii="黑体" w:eastAsia="黑体" w:hAnsi="黑体"/>
          <w:sz w:val="18"/>
          <w:szCs w:val="18"/>
        </w:rPr>
        <w:t>表 1  4×2编码器真值表</w:t>
      </w:r>
    </w:p>
    <w:tbl>
      <w:tblPr>
        <w:tblStyle w:val="af"/>
        <w:tblW w:w="5000" w:type="pct"/>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02"/>
        <w:gridCol w:w="1101"/>
        <w:gridCol w:w="1101"/>
        <w:gridCol w:w="1103"/>
        <w:gridCol w:w="1949"/>
        <w:gridCol w:w="1950"/>
      </w:tblGrid>
      <w:tr w:rsidR="00C66954" w14:paraId="23E3F829" w14:textId="77777777">
        <w:trPr>
          <w:jc w:val="center"/>
        </w:trPr>
        <w:tc>
          <w:tcPr>
            <w:tcW w:w="2653" w:type="pct"/>
            <w:gridSpan w:val="4"/>
            <w:tcBorders>
              <w:top w:val="single" w:sz="8" w:space="0" w:color="auto"/>
              <w:bottom w:val="single" w:sz="4" w:space="0" w:color="auto"/>
              <w:right w:val="single" w:sz="48" w:space="0" w:color="FFFFFF" w:themeColor="background1"/>
            </w:tcBorders>
            <w:vAlign w:val="center"/>
          </w:tcPr>
          <w:p w14:paraId="761CC3D7" w14:textId="77777777" w:rsidR="00C66954" w:rsidRPr="00E04C89" w:rsidRDefault="00A773EE">
            <w:pPr>
              <w:jc w:val="center"/>
              <w:rPr>
                <w:sz w:val="15"/>
                <w:szCs w:val="15"/>
              </w:rPr>
            </w:pPr>
            <w:r w:rsidRPr="00E04C89">
              <w:rPr>
                <w:rFonts w:hint="eastAsia"/>
                <w:sz w:val="15"/>
                <w:szCs w:val="15"/>
              </w:rPr>
              <w:t>输入端口</w:t>
            </w:r>
          </w:p>
        </w:tc>
        <w:tc>
          <w:tcPr>
            <w:tcW w:w="2347" w:type="pct"/>
            <w:gridSpan w:val="2"/>
            <w:tcBorders>
              <w:top w:val="single" w:sz="8" w:space="0" w:color="auto"/>
              <w:left w:val="single" w:sz="48" w:space="0" w:color="FFFFFF" w:themeColor="background1"/>
              <w:bottom w:val="single" w:sz="4" w:space="0" w:color="auto"/>
            </w:tcBorders>
            <w:vAlign w:val="center"/>
          </w:tcPr>
          <w:p w14:paraId="4891FEAC" w14:textId="77777777" w:rsidR="00C66954" w:rsidRPr="00E04C89" w:rsidRDefault="00A773EE">
            <w:pPr>
              <w:jc w:val="center"/>
              <w:rPr>
                <w:sz w:val="15"/>
                <w:szCs w:val="15"/>
              </w:rPr>
            </w:pPr>
            <w:r w:rsidRPr="00E04C89">
              <w:rPr>
                <w:rFonts w:hint="eastAsia"/>
                <w:sz w:val="15"/>
                <w:szCs w:val="15"/>
              </w:rPr>
              <w:t>输出端口</w:t>
            </w:r>
          </w:p>
        </w:tc>
      </w:tr>
      <w:tr w:rsidR="00C66954" w14:paraId="63694A48" w14:textId="77777777">
        <w:trPr>
          <w:jc w:val="center"/>
        </w:trPr>
        <w:tc>
          <w:tcPr>
            <w:tcW w:w="663" w:type="pct"/>
            <w:tcBorders>
              <w:top w:val="single" w:sz="4" w:space="0" w:color="auto"/>
              <w:bottom w:val="single" w:sz="4" w:space="0" w:color="auto"/>
            </w:tcBorders>
            <w:vAlign w:val="center"/>
          </w:tcPr>
          <w:p w14:paraId="7BB3F10B" w14:textId="77777777" w:rsidR="00C66954" w:rsidRPr="00E04C89" w:rsidRDefault="00A773EE">
            <w:pPr>
              <w:jc w:val="center"/>
              <w:rPr>
                <w:sz w:val="15"/>
                <w:szCs w:val="15"/>
              </w:rPr>
            </w:pPr>
            <w:r w:rsidRPr="00E04C89">
              <w:rPr>
                <w:rFonts w:hint="eastAsia"/>
                <w:i/>
                <w:iCs/>
                <w:sz w:val="15"/>
                <w:szCs w:val="15"/>
              </w:rPr>
              <w:t>I</w:t>
            </w:r>
            <w:r w:rsidRPr="00E04C89">
              <w:rPr>
                <w:sz w:val="15"/>
                <w:szCs w:val="15"/>
                <w:vertAlign w:val="subscript"/>
              </w:rPr>
              <w:t>0</w:t>
            </w:r>
          </w:p>
        </w:tc>
        <w:tc>
          <w:tcPr>
            <w:tcW w:w="663" w:type="pct"/>
            <w:tcBorders>
              <w:top w:val="single" w:sz="4" w:space="0" w:color="auto"/>
              <w:bottom w:val="single" w:sz="4" w:space="0" w:color="auto"/>
            </w:tcBorders>
            <w:vAlign w:val="center"/>
          </w:tcPr>
          <w:p w14:paraId="41331D05" w14:textId="77777777" w:rsidR="00C66954" w:rsidRPr="00E04C89" w:rsidRDefault="00A773EE">
            <w:pPr>
              <w:jc w:val="center"/>
              <w:rPr>
                <w:sz w:val="15"/>
                <w:szCs w:val="15"/>
              </w:rPr>
            </w:pPr>
            <w:r w:rsidRPr="00E04C89">
              <w:rPr>
                <w:rFonts w:hint="eastAsia"/>
                <w:i/>
                <w:iCs/>
                <w:sz w:val="15"/>
                <w:szCs w:val="15"/>
              </w:rPr>
              <w:t>I</w:t>
            </w:r>
            <w:r w:rsidRPr="00E04C89">
              <w:rPr>
                <w:sz w:val="15"/>
                <w:szCs w:val="15"/>
                <w:vertAlign w:val="subscript"/>
              </w:rPr>
              <w:t>1</w:t>
            </w:r>
          </w:p>
        </w:tc>
        <w:tc>
          <w:tcPr>
            <w:tcW w:w="663" w:type="pct"/>
            <w:tcBorders>
              <w:top w:val="single" w:sz="4" w:space="0" w:color="auto"/>
              <w:bottom w:val="single" w:sz="4" w:space="0" w:color="auto"/>
            </w:tcBorders>
            <w:vAlign w:val="center"/>
          </w:tcPr>
          <w:p w14:paraId="60ED238E" w14:textId="77777777" w:rsidR="00C66954" w:rsidRPr="00E04C89" w:rsidRDefault="00A773EE">
            <w:pPr>
              <w:jc w:val="center"/>
              <w:rPr>
                <w:sz w:val="15"/>
                <w:szCs w:val="15"/>
              </w:rPr>
            </w:pPr>
            <w:r w:rsidRPr="00E04C89">
              <w:rPr>
                <w:rFonts w:hint="eastAsia"/>
                <w:i/>
                <w:iCs/>
                <w:sz w:val="15"/>
                <w:szCs w:val="15"/>
              </w:rPr>
              <w:t>I</w:t>
            </w:r>
            <w:r w:rsidRPr="00E04C89">
              <w:rPr>
                <w:sz w:val="15"/>
                <w:szCs w:val="15"/>
                <w:vertAlign w:val="subscript"/>
              </w:rPr>
              <w:t>2</w:t>
            </w:r>
          </w:p>
        </w:tc>
        <w:tc>
          <w:tcPr>
            <w:tcW w:w="663" w:type="pct"/>
            <w:tcBorders>
              <w:top w:val="single" w:sz="4" w:space="0" w:color="auto"/>
              <w:bottom w:val="single" w:sz="4" w:space="0" w:color="auto"/>
              <w:right w:val="single" w:sz="48" w:space="0" w:color="FFFFFF" w:themeColor="background1"/>
            </w:tcBorders>
            <w:vAlign w:val="center"/>
          </w:tcPr>
          <w:p w14:paraId="0479D728" w14:textId="77777777" w:rsidR="00C66954" w:rsidRPr="00E04C89" w:rsidRDefault="00A773EE">
            <w:pPr>
              <w:jc w:val="center"/>
              <w:rPr>
                <w:sz w:val="15"/>
                <w:szCs w:val="15"/>
              </w:rPr>
            </w:pPr>
            <w:r w:rsidRPr="00E04C89">
              <w:rPr>
                <w:rFonts w:hint="eastAsia"/>
                <w:i/>
                <w:iCs/>
                <w:sz w:val="15"/>
                <w:szCs w:val="15"/>
              </w:rPr>
              <w:t>I</w:t>
            </w:r>
            <w:r w:rsidRPr="00E04C89">
              <w:rPr>
                <w:sz w:val="15"/>
                <w:szCs w:val="15"/>
                <w:vertAlign w:val="subscript"/>
              </w:rPr>
              <w:t>3</w:t>
            </w:r>
          </w:p>
        </w:tc>
        <w:tc>
          <w:tcPr>
            <w:tcW w:w="1173" w:type="pct"/>
            <w:tcBorders>
              <w:top w:val="single" w:sz="4" w:space="0" w:color="auto"/>
              <w:left w:val="single" w:sz="48" w:space="0" w:color="FFFFFF" w:themeColor="background1"/>
              <w:bottom w:val="single" w:sz="4" w:space="0" w:color="auto"/>
            </w:tcBorders>
            <w:vAlign w:val="center"/>
          </w:tcPr>
          <w:p w14:paraId="513FC178" w14:textId="77777777" w:rsidR="00C66954" w:rsidRPr="00E04C89" w:rsidRDefault="00A773EE">
            <w:pPr>
              <w:jc w:val="center"/>
              <w:rPr>
                <w:sz w:val="15"/>
                <w:szCs w:val="15"/>
              </w:rPr>
            </w:pPr>
            <w:r w:rsidRPr="00E04C89">
              <w:rPr>
                <w:rFonts w:hint="eastAsia"/>
                <w:i/>
                <w:iCs/>
                <w:sz w:val="15"/>
                <w:szCs w:val="15"/>
              </w:rPr>
              <w:t>O</w:t>
            </w:r>
            <w:r w:rsidRPr="00E04C89">
              <w:rPr>
                <w:sz w:val="15"/>
                <w:szCs w:val="15"/>
                <w:vertAlign w:val="subscript"/>
              </w:rPr>
              <w:t>1</w:t>
            </w:r>
          </w:p>
        </w:tc>
        <w:tc>
          <w:tcPr>
            <w:tcW w:w="1173" w:type="pct"/>
            <w:tcBorders>
              <w:top w:val="single" w:sz="4" w:space="0" w:color="auto"/>
              <w:bottom w:val="single" w:sz="4" w:space="0" w:color="auto"/>
            </w:tcBorders>
            <w:vAlign w:val="center"/>
          </w:tcPr>
          <w:p w14:paraId="15EDEB51" w14:textId="77777777" w:rsidR="00C66954" w:rsidRPr="00E04C89" w:rsidRDefault="00A773EE">
            <w:pPr>
              <w:jc w:val="center"/>
              <w:rPr>
                <w:sz w:val="15"/>
                <w:szCs w:val="15"/>
              </w:rPr>
            </w:pPr>
            <w:r w:rsidRPr="00E04C89">
              <w:rPr>
                <w:rFonts w:hint="eastAsia"/>
                <w:i/>
                <w:iCs/>
                <w:sz w:val="15"/>
                <w:szCs w:val="15"/>
              </w:rPr>
              <w:t>O</w:t>
            </w:r>
            <w:r w:rsidRPr="00E04C89">
              <w:rPr>
                <w:sz w:val="15"/>
                <w:szCs w:val="15"/>
                <w:vertAlign w:val="subscript"/>
              </w:rPr>
              <w:t>0</w:t>
            </w:r>
          </w:p>
        </w:tc>
      </w:tr>
      <w:tr w:rsidR="00C66954" w14:paraId="2C5BA8E8" w14:textId="77777777">
        <w:trPr>
          <w:jc w:val="center"/>
        </w:trPr>
        <w:tc>
          <w:tcPr>
            <w:tcW w:w="663" w:type="pct"/>
            <w:tcBorders>
              <w:top w:val="single" w:sz="4" w:space="0" w:color="auto"/>
            </w:tcBorders>
            <w:vAlign w:val="center"/>
          </w:tcPr>
          <w:p w14:paraId="59538D69" w14:textId="77777777" w:rsidR="00C66954" w:rsidRPr="00E04C89" w:rsidRDefault="00A773EE">
            <w:pPr>
              <w:jc w:val="center"/>
              <w:rPr>
                <w:sz w:val="15"/>
                <w:szCs w:val="15"/>
              </w:rPr>
            </w:pPr>
            <w:r w:rsidRPr="00E04C89">
              <w:rPr>
                <w:rFonts w:hint="eastAsia"/>
                <w:sz w:val="15"/>
                <w:szCs w:val="15"/>
              </w:rPr>
              <w:t>1</w:t>
            </w:r>
          </w:p>
        </w:tc>
        <w:tc>
          <w:tcPr>
            <w:tcW w:w="663" w:type="pct"/>
            <w:tcBorders>
              <w:top w:val="single" w:sz="4" w:space="0" w:color="auto"/>
            </w:tcBorders>
            <w:vAlign w:val="center"/>
          </w:tcPr>
          <w:p w14:paraId="7564EC81" w14:textId="77777777" w:rsidR="00C66954" w:rsidRPr="00E04C89" w:rsidRDefault="00A773EE">
            <w:pPr>
              <w:jc w:val="center"/>
              <w:rPr>
                <w:sz w:val="15"/>
                <w:szCs w:val="15"/>
              </w:rPr>
            </w:pPr>
            <w:r w:rsidRPr="00E04C89">
              <w:rPr>
                <w:rFonts w:hint="eastAsia"/>
                <w:sz w:val="15"/>
                <w:szCs w:val="15"/>
              </w:rPr>
              <w:t>0</w:t>
            </w:r>
          </w:p>
        </w:tc>
        <w:tc>
          <w:tcPr>
            <w:tcW w:w="663" w:type="pct"/>
            <w:tcBorders>
              <w:top w:val="single" w:sz="4" w:space="0" w:color="auto"/>
            </w:tcBorders>
            <w:vAlign w:val="center"/>
          </w:tcPr>
          <w:p w14:paraId="3BD1F844" w14:textId="77777777" w:rsidR="00C66954" w:rsidRPr="00E04C89" w:rsidRDefault="00A773EE">
            <w:pPr>
              <w:jc w:val="center"/>
              <w:rPr>
                <w:sz w:val="15"/>
                <w:szCs w:val="15"/>
              </w:rPr>
            </w:pPr>
            <w:r w:rsidRPr="00E04C89">
              <w:rPr>
                <w:rFonts w:hint="eastAsia"/>
                <w:sz w:val="15"/>
                <w:szCs w:val="15"/>
              </w:rPr>
              <w:t>0</w:t>
            </w:r>
          </w:p>
        </w:tc>
        <w:tc>
          <w:tcPr>
            <w:tcW w:w="663" w:type="pct"/>
            <w:tcBorders>
              <w:top w:val="single" w:sz="4" w:space="0" w:color="auto"/>
            </w:tcBorders>
            <w:vAlign w:val="center"/>
          </w:tcPr>
          <w:p w14:paraId="012E15A9" w14:textId="77777777" w:rsidR="00C66954" w:rsidRPr="00E04C89" w:rsidRDefault="00A773EE">
            <w:pPr>
              <w:jc w:val="center"/>
              <w:rPr>
                <w:sz w:val="15"/>
                <w:szCs w:val="15"/>
              </w:rPr>
            </w:pPr>
            <w:r w:rsidRPr="00E04C89">
              <w:rPr>
                <w:rFonts w:hint="eastAsia"/>
                <w:sz w:val="15"/>
                <w:szCs w:val="15"/>
              </w:rPr>
              <w:t>0</w:t>
            </w:r>
          </w:p>
        </w:tc>
        <w:tc>
          <w:tcPr>
            <w:tcW w:w="1173" w:type="pct"/>
            <w:tcBorders>
              <w:top w:val="single" w:sz="4" w:space="0" w:color="auto"/>
            </w:tcBorders>
            <w:vAlign w:val="center"/>
          </w:tcPr>
          <w:p w14:paraId="60019669" w14:textId="77777777" w:rsidR="00C66954" w:rsidRPr="00E04C89" w:rsidRDefault="00A773EE">
            <w:pPr>
              <w:jc w:val="center"/>
              <w:rPr>
                <w:sz w:val="15"/>
                <w:szCs w:val="15"/>
              </w:rPr>
            </w:pPr>
            <w:r w:rsidRPr="00E04C89">
              <w:rPr>
                <w:rFonts w:hint="eastAsia"/>
                <w:sz w:val="15"/>
                <w:szCs w:val="15"/>
              </w:rPr>
              <w:t>0</w:t>
            </w:r>
          </w:p>
        </w:tc>
        <w:tc>
          <w:tcPr>
            <w:tcW w:w="1173" w:type="pct"/>
            <w:tcBorders>
              <w:top w:val="single" w:sz="4" w:space="0" w:color="auto"/>
            </w:tcBorders>
            <w:vAlign w:val="center"/>
          </w:tcPr>
          <w:p w14:paraId="37F425D2" w14:textId="77777777" w:rsidR="00C66954" w:rsidRPr="00E04C89" w:rsidRDefault="00A773EE">
            <w:pPr>
              <w:jc w:val="center"/>
              <w:rPr>
                <w:sz w:val="15"/>
                <w:szCs w:val="15"/>
              </w:rPr>
            </w:pPr>
            <w:r w:rsidRPr="00E04C89">
              <w:rPr>
                <w:rFonts w:hint="eastAsia"/>
                <w:sz w:val="15"/>
                <w:szCs w:val="15"/>
              </w:rPr>
              <w:t>0</w:t>
            </w:r>
          </w:p>
        </w:tc>
      </w:tr>
      <w:tr w:rsidR="00C66954" w14:paraId="08BFF308" w14:textId="77777777">
        <w:trPr>
          <w:jc w:val="center"/>
        </w:trPr>
        <w:tc>
          <w:tcPr>
            <w:tcW w:w="663" w:type="pct"/>
            <w:vAlign w:val="center"/>
          </w:tcPr>
          <w:p w14:paraId="536B87EC" w14:textId="77777777" w:rsidR="00C66954" w:rsidRPr="00E04C89" w:rsidRDefault="00A773EE">
            <w:pPr>
              <w:jc w:val="center"/>
              <w:rPr>
                <w:sz w:val="15"/>
                <w:szCs w:val="15"/>
              </w:rPr>
            </w:pPr>
            <w:r w:rsidRPr="00E04C89">
              <w:rPr>
                <w:rFonts w:hint="eastAsia"/>
                <w:sz w:val="15"/>
                <w:szCs w:val="15"/>
              </w:rPr>
              <w:t>0</w:t>
            </w:r>
          </w:p>
        </w:tc>
        <w:tc>
          <w:tcPr>
            <w:tcW w:w="663" w:type="pct"/>
            <w:vAlign w:val="center"/>
          </w:tcPr>
          <w:p w14:paraId="5F4A590D" w14:textId="77777777" w:rsidR="00C66954" w:rsidRPr="00E04C89" w:rsidRDefault="00A773EE">
            <w:pPr>
              <w:jc w:val="center"/>
              <w:rPr>
                <w:sz w:val="15"/>
                <w:szCs w:val="15"/>
              </w:rPr>
            </w:pPr>
            <w:r w:rsidRPr="00E04C89">
              <w:rPr>
                <w:rFonts w:hint="eastAsia"/>
                <w:sz w:val="15"/>
                <w:szCs w:val="15"/>
              </w:rPr>
              <w:t>1</w:t>
            </w:r>
          </w:p>
        </w:tc>
        <w:tc>
          <w:tcPr>
            <w:tcW w:w="663" w:type="pct"/>
            <w:vAlign w:val="center"/>
          </w:tcPr>
          <w:p w14:paraId="42472C47" w14:textId="77777777" w:rsidR="00C66954" w:rsidRPr="00E04C89" w:rsidRDefault="00A773EE">
            <w:pPr>
              <w:jc w:val="center"/>
              <w:rPr>
                <w:sz w:val="15"/>
                <w:szCs w:val="15"/>
              </w:rPr>
            </w:pPr>
            <w:r w:rsidRPr="00E04C89">
              <w:rPr>
                <w:rFonts w:hint="eastAsia"/>
                <w:sz w:val="15"/>
                <w:szCs w:val="15"/>
              </w:rPr>
              <w:t>0</w:t>
            </w:r>
          </w:p>
        </w:tc>
        <w:tc>
          <w:tcPr>
            <w:tcW w:w="663" w:type="pct"/>
            <w:vAlign w:val="center"/>
          </w:tcPr>
          <w:p w14:paraId="3F7A707E" w14:textId="77777777" w:rsidR="00C66954" w:rsidRPr="00E04C89" w:rsidRDefault="00A773EE">
            <w:pPr>
              <w:jc w:val="center"/>
              <w:rPr>
                <w:sz w:val="15"/>
                <w:szCs w:val="15"/>
              </w:rPr>
            </w:pPr>
            <w:r w:rsidRPr="00E04C89">
              <w:rPr>
                <w:rFonts w:hint="eastAsia"/>
                <w:sz w:val="15"/>
                <w:szCs w:val="15"/>
              </w:rPr>
              <w:t>0</w:t>
            </w:r>
          </w:p>
        </w:tc>
        <w:tc>
          <w:tcPr>
            <w:tcW w:w="1173" w:type="pct"/>
            <w:vAlign w:val="center"/>
          </w:tcPr>
          <w:p w14:paraId="573A5D4D" w14:textId="77777777" w:rsidR="00C66954" w:rsidRPr="00E04C89" w:rsidRDefault="00A773EE">
            <w:pPr>
              <w:jc w:val="center"/>
              <w:rPr>
                <w:sz w:val="15"/>
                <w:szCs w:val="15"/>
              </w:rPr>
            </w:pPr>
            <w:r w:rsidRPr="00E04C89">
              <w:rPr>
                <w:sz w:val="15"/>
                <w:szCs w:val="15"/>
              </w:rPr>
              <w:t>0</w:t>
            </w:r>
          </w:p>
        </w:tc>
        <w:tc>
          <w:tcPr>
            <w:tcW w:w="1173" w:type="pct"/>
            <w:vAlign w:val="center"/>
          </w:tcPr>
          <w:p w14:paraId="751A3068" w14:textId="77777777" w:rsidR="00C66954" w:rsidRPr="00E04C89" w:rsidRDefault="00A773EE">
            <w:pPr>
              <w:jc w:val="center"/>
              <w:rPr>
                <w:sz w:val="15"/>
                <w:szCs w:val="15"/>
              </w:rPr>
            </w:pPr>
            <w:r w:rsidRPr="00E04C89">
              <w:rPr>
                <w:sz w:val="15"/>
                <w:szCs w:val="15"/>
              </w:rPr>
              <w:t>1</w:t>
            </w:r>
          </w:p>
        </w:tc>
      </w:tr>
      <w:tr w:rsidR="00C66954" w14:paraId="753509D7" w14:textId="77777777">
        <w:trPr>
          <w:jc w:val="center"/>
        </w:trPr>
        <w:tc>
          <w:tcPr>
            <w:tcW w:w="663" w:type="pct"/>
            <w:vAlign w:val="center"/>
          </w:tcPr>
          <w:p w14:paraId="46DB2717" w14:textId="77777777" w:rsidR="00C66954" w:rsidRPr="00E04C89" w:rsidRDefault="00A773EE">
            <w:pPr>
              <w:jc w:val="center"/>
              <w:rPr>
                <w:sz w:val="15"/>
                <w:szCs w:val="15"/>
              </w:rPr>
            </w:pPr>
            <w:r w:rsidRPr="00E04C89">
              <w:rPr>
                <w:rFonts w:hint="eastAsia"/>
                <w:sz w:val="15"/>
                <w:szCs w:val="15"/>
              </w:rPr>
              <w:t>0</w:t>
            </w:r>
          </w:p>
        </w:tc>
        <w:tc>
          <w:tcPr>
            <w:tcW w:w="663" w:type="pct"/>
            <w:vAlign w:val="center"/>
          </w:tcPr>
          <w:p w14:paraId="60776523" w14:textId="77777777" w:rsidR="00C66954" w:rsidRPr="00E04C89" w:rsidRDefault="00A773EE">
            <w:pPr>
              <w:jc w:val="center"/>
              <w:rPr>
                <w:sz w:val="15"/>
                <w:szCs w:val="15"/>
              </w:rPr>
            </w:pPr>
            <w:r w:rsidRPr="00E04C89">
              <w:rPr>
                <w:rFonts w:hint="eastAsia"/>
                <w:sz w:val="15"/>
                <w:szCs w:val="15"/>
              </w:rPr>
              <w:t>0</w:t>
            </w:r>
          </w:p>
        </w:tc>
        <w:tc>
          <w:tcPr>
            <w:tcW w:w="663" w:type="pct"/>
            <w:vAlign w:val="center"/>
          </w:tcPr>
          <w:p w14:paraId="5F6FCA00" w14:textId="77777777" w:rsidR="00C66954" w:rsidRPr="00E04C89" w:rsidRDefault="00A773EE">
            <w:pPr>
              <w:jc w:val="center"/>
              <w:rPr>
                <w:sz w:val="15"/>
                <w:szCs w:val="15"/>
              </w:rPr>
            </w:pPr>
            <w:r w:rsidRPr="00E04C89">
              <w:rPr>
                <w:rFonts w:hint="eastAsia"/>
                <w:sz w:val="15"/>
                <w:szCs w:val="15"/>
              </w:rPr>
              <w:t>1</w:t>
            </w:r>
          </w:p>
        </w:tc>
        <w:tc>
          <w:tcPr>
            <w:tcW w:w="663" w:type="pct"/>
            <w:vAlign w:val="center"/>
          </w:tcPr>
          <w:p w14:paraId="5EA55D7B" w14:textId="77777777" w:rsidR="00C66954" w:rsidRPr="00E04C89" w:rsidRDefault="00A773EE">
            <w:pPr>
              <w:jc w:val="center"/>
              <w:rPr>
                <w:sz w:val="15"/>
                <w:szCs w:val="15"/>
              </w:rPr>
            </w:pPr>
            <w:r w:rsidRPr="00E04C89">
              <w:rPr>
                <w:rFonts w:hint="eastAsia"/>
                <w:sz w:val="15"/>
                <w:szCs w:val="15"/>
              </w:rPr>
              <w:t>0</w:t>
            </w:r>
          </w:p>
        </w:tc>
        <w:tc>
          <w:tcPr>
            <w:tcW w:w="1173" w:type="pct"/>
            <w:vAlign w:val="center"/>
          </w:tcPr>
          <w:p w14:paraId="09001EB7" w14:textId="77777777" w:rsidR="00C66954" w:rsidRPr="00E04C89" w:rsidRDefault="00A773EE">
            <w:pPr>
              <w:jc w:val="center"/>
              <w:rPr>
                <w:sz w:val="15"/>
                <w:szCs w:val="15"/>
              </w:rPr>
            </w:pPr>
            <w:r w:rsidRPr="00E04C89">
              <w:rPr>
                <w:sz w:val="15"/>
                <w:szCs w:val="15"/>
              </w:rPr>
              <w:t>1</w:t>
            </w:r>
          </w:p>
        </w:tc>
        <w:tc>
          <w:tcPr>
            <w:tcW w:w="1173" w:type="pct"/>
            <w:vAlign w:val="center"/>
          </w:tcPr>
          <w:p w14:paraId="64A6FC97" w14:textId="77777777" w:rsidR="00C66954" w:rsidRPr="00E04C89" w:rsidRDefault="00A773EE">
            <w:pPr>
              <w:jc w:val="center"/>
              <w:rPr>
                <w:sz w:val="15"/>
                <w:szCs w:val="15"/>
              </w:rPr>
            </w:pPr>
            <w:r w:rsidRPr="00E04C89">
              <w:rPr>
                <w:sz w:val="15"/>
                <w:szCs w:val="15"/>
              </w:rPr>
              <w:t>0</w:t>
            </w:r>
          </w:p>
        </w:tc>
      </w:tr>
      <w:tr w:rsidR="00C66954" w14:paraId="6E3370AA" w14:textId="77777777">
        <w:trPr>
          <w:jc w:val="center"/>
        </w:trPr>
        <w:tc>
          <w:tcPr>
            <w:tcW w:w="663" w:type="pct"/>
            <w:tcBorders>
              <w:bottom w:val="single" w:sz="8" w:space="0" w:color="auto"/>
            </w:tcBorders>
            <w:vAlign w:val="center"/>
          </w:tcPr>
          <w:p w14:paraId="0EC766E8" w14:textId="77777777" w:rsidR="00C66954" w:rsidRPr="00E04C89" w:rsidRDefault="00A773EE">
            <w:pPr>
              <w:jc w:val="center"/>
              <w:rPr>
                <w:sz w:val="15"/>
                <w:szCs w:val="15"/>
              </w:rPr>
            </w:pPr>
            <w:r w:rsidRPr="00E04C89">
              <w:rPr>
                <w:rFonts w:hint="eastAsia"/>
                <w:sz w:val="15"/>
                <w:szCs w:val="15"/>
              </w:rPr>
              <w:t>0</w:t>
            </w:r>
          </w:p>
        </w:tc>
        <w:tc>
          <w:tcPr>
            <w:tcW w:w="663" w:type="pct"/>
            <w:tcBorders>
              <w:bottom w:val="single" w:sz="8" w:space="0" w:color="auto"/>
            </w:tcBorders>
            <w:vAlign w:val="center"/>
          </w:tcPr>
          <w:p w14:paraId="12C3980B" w14:textId="77777777" w:rsidR="00C66954" w:rsidRPr="00E04C89" w:rsidRDefault="00A773EE">
            <w:pPr>
              <w:jc w:val="center"/>
              <w:rPr>
                <w:sz w:val="15"/>
                <w:szCs w:val="15"/>
              </w:rPr>
            </w:pPr>
            <w:r w:rsidRPr="00E04C89">
              <w:rPr>
                <w:rFonts w:hint="eastAsia"/>
                <w:sz w:val="15"/>
                <w:szCs w:val="15"/>
              </w:rPr>
              <w:t>0</w:t>
            </w:r>
          </w:p>
        </w:tc>
        <w:tc>
          <w:tcPr>
            <w:tcW w:w="663" w:type="pct"/>
            <w:tcBorders>
              <w:bottom w:val="single" w:sz="8" w:space="0" w:color="auto"/>
            </w:tcBorders>
            <w:vAlign w:val="center"/>
          </w:tcPr>
          <w:p w14:paraId="74AC9597" w14:textId="77777777" w:rsidR="00C66954" w:rsidRPr="00E04C89" w:rsidRDefault="00A773EE">
            <w:pPr>
              <w:jc w:val="center"/>
              <w:rPr>
                <w:sz w:val="15"/>
                <w:szCs w:val="15"/>
              </w:rPr>
            </w:pPr>
            <w:r w:rsidRPr="00E04C89">
              <w:rPr>
                <w:rFonts w:hint="eastAsia"/>
                <w:sz w:val="15"/>
                <w:szCs w:val="15"/>
              </w:rPr>
              <w:t>0</w:t>
            </w:r>
          </w:p>
        </w:tc>
        <w:tc>
          <w:tcPr>
            <w:tcW w:w="663" w:type="pct"/>
            <w:tcBorders>
              <w:bottom w:val="single" w:sz="8" w:space="0" w:color="auto"/>
            </w:tcBorders>
            <w:vAlign w:val="center"/>
          </w:tcPr>
          <w:p w14:paraId="1BF3B985" w14:textId="77777777" w:rsidR="00C66954" w:rsidRPr="00E04C89" w:rsidRDefault="00A773EE">
            <w:pPr>
              <w:jc w:val="center"/>
              <w:rPr>
                <w:sz w:val="15"/>
                <w:szCs w:val="15"/>
              </w:rPr>
            </w:pPr>
            <w:r w:rsidRPr="00E04C89">
              <w:rPr>
                <w:rFonts w:hint="eastAsia"/>
                <w:sz w:val="15"/>
                <w:szCs w:val="15"/>
              </w:rPr>
              <w:t>1</w:t>
            </w:r>
          </w:p>
        </w:tc>
        <w:tc>
          <w:tcPr>
            <w:tcW w:w="1173" w:type="pct"/>
            <w:tcBorders>
              <w:bottom w:val="single" w:sz="8" w:space="0" w:color="auto"/>
            </w:tcBorders>
            <w:vAlign w:val="center"/>
          </w:tcPr>
          <w:p w14:paraId="7020D9F0" w14:textId="77777777" w:rsidR="00C66954" w:rsidRPr="00E04C89" w:rsidRDefault="00A773EE">
            <w:pPr>
              <w:jc w:val="center"/>
              <w:rPr>
                <w:sz w:val="15"/>
                <w:szCs w:val="15"/>
              </w:rPr>
            </w:pPr>
            <w:r w:rsidRPr="00E04C89">
              <w:rPr>
                <w:sz w:val="15"/>
                <w:szCs w:val="15"/>
              </w:rPr>
              <w:t>1</w:t>
            </w:r>
          </w:p>
        </w:tc>
        <w:tc>
          <w:tcPr>
            <w:tcW w:w="1173" w:type="pct"/>
            <w:tcBorders>
              <w:bottom w:val="single" w:sz="8" w:space="0" w:color="auto"/>
            </w:tcBorders>
            <w:vAlign w:val="center"/>
          </w:tcPr>
          <w:p w14:paraId="3755B5FD" w14:textId="77777777" w:rsidR="00C66954" w:rsidRPr="00E04C89" w:rsidRDefault="00A773EE">
            <w:pPr>
              <w:jc w:val="center"/>
              <w:rPr>
                <w:sz w:val="15"/>
                <w:szCs w:val="15"/>
              </w:rPr>
            </w:pPr>
            <w:r w:rsidRPr="00E04C89">
              <w:rPr>
                <w:sz w:val="15"/>
                <w:szCs w:val="15"/>
              </w:rPr>
              <w:t>1</w:t>
            </w:r>
          </w:p>
        </w:tc>
      </w:tr>
    </w:tbl>
    <w:p w14:paraId="46762E15" w14:textId="77777777" w:rsidR="00C66954" w:rsidRDefault="00C66954">
      <w:pPr>
        <w:spacing w:beforeLines="50" w:before="156" w:afterLines="50" w:after="156"/>
        <w:rPr>
          <w:rFonts w:eastAsia="黑体"/>
          <w:b/>
          <w:bCs/>
          <w:sz w:val="24"/>
          <w:szCs w:val="24"/>
        </w:rPr>
      </w:pPr>
    </w:p>
    <w:p w14:paraId="3ED2AD14" w14:textId="77777777" w:rsidR="00C66954" w:rsidRPr="00B66303" w:rsidRDefault="00A773EE">
      <w:pPr>
        <w:rPr>
          <w:rFonts w:ascii="宋体" w:hAnsi="宋体"/>
          <w:b/>
          <w:sz w:val="24"/>
          <w:szCs w:val="24"/>
        </w:rPr>
      </w:pPr>
      <w:r w:rsidRPr="00B66303">
        <w:rPr>
          <w:rFonts w:ascii="宋体" w:hAnsi="宋体"/>
          <w:b/>
          <w:sz w:val="24"/>
          <w:szCs w:val="24"/>
        </w:rPr>
        <w:t>2 仿真结果与分析</w:t>
      </w:r>
      <w:r w:rsidRPr="00B66303">
        <w:rPr>
          <w:rFonts w:ascii="宋体" w:hAnsi="宋体" w:hint="eastAsia"/>
          <w:b/>
          <w:sz w:val="24"/>
          <w:szCs w:val="24"/>
        </w:rPr>
        <w:t>优化</w:t>
      </w:r>
    </w:p>
    <w:p w14:paraId="33469CC0" w14:textId="77777777" w:rsidR="00C66954" w:rsidRPr="00B66303" w:rsidRDefault="00A773EE">
      <w:pPr>
        <w:rPr>
          <w:rFonts w:ascii="黑体" w:eastAsia="黑体" w:hAnsi="黑体"/>
          <w:b/>
        </w:rPr>
      </w:pPr>
      <w:r w:rsidRPr="00B66303">
        <w:rPr>
          <w:rFonts w:ascii="宋体" w:hAnsi="宋体"/>
          <w:b/>
        </w:rPr>
        <w:t xml:space="preserve">2.1 </w:t>
      </w:r>
      <w:r w:rsidRPr="00B66303">
        <w:rPr>
          <w:rFonts w:ascii="宋体" w:hAnsi="宋体" w:hint="eastAsia"/>
          <w:b/>
        </w:rPr>
        <w:t>禁带宽度</w:t>
      </w:r>
    </w:p>
    <w:p w14:paraId="36F84C57" w14:textId="4EE3FC05" w:rsidR="00C66954" w:rsidRDefault="00E04C89">
      <w:pPr>
        <w:ind w:firstLineChars="200" w:firstLine="420"/>
        <w:rPr>
          <w:rStyle w:val="cf01"/>
          <w:rFonts w:ascii="宋体" w:eastAsia="宋体" w:hAnsi="宋体" w:cs="Arial" w:hint="default"/>
          <w:sz w:val="21"/>
          <w:szCs w:val="21"/>
        </w:rPr>
      </w:pPr>
      <w:r w:rsidRPr="00E04C89">
        <w:rPr>
          <w:rFonts w:ascii="宋体" w:hAnsi="宋体"/>
        </w:rPr>
        <w:t>完整晶格的二维光子晶体</w:t>
      </w:r>
      <w:r w:rsidRPr="000935CC">
        <w:t>如图</w:t>
      </w:r>
      <w:r w:rsidRPr="000935CC">
        <w:t>2</w:t>
      </w:r>
      <w:r w:rsidRPr="000935CC">
        <w:t>所示</w:t>
      </w:r>
      <w:r>
        <w:rPr>
          <w:rFonts w:hint="eastAsia"/>
        </w:rPr>
        <w:t>。本文</w:t>
      </w:r>
      <w:r w:rsidR="00FE583C" w:rsidRPr="000935CC">
        <w:t>利用</w:t>
      </w:r>
      <w:r>
        <w:rPr>
          <w:rFonts w:hint="eastAsia"/>
        </w:rPr>
        <w:t>平面</w:t>
      </w:r>
      <w:r>
        <w:t>波展开法（</w:t>
      </w:r>
      <w:r w:rsidR="00FE583C" w:rsidRPr="000935CC">
        <w:t>PWM</w:t>
      </w:r>
      <w:r>
        <w:rPr>
          <w:rFonts w:hint="eastAsia"/>
        </w:rPr>
        <w:t>）</w:t>
      </w:r>
      <w:r w:rsidR="00FE583C" w:rsidRPr="000935CC">
        <w:t>计算在</w:t>
      </w:r>
      <w:r>
        <w:rPr>
          <w:rFonts w:hint="eastAsia"/>
        </w:rPr>
        <w:t>未</w:t>
      </w:r>
      <w:r w:rsidR="00FE583C" w:rsidRPr="000935CC">
        <w:t>引入线缺陷波导时的完整光子晶体的横电（</w:t>
      </w:r>
      <w:r w:rsidR="00FE583C" w:rsidRPr="000935CC">
        <w:t>TE</w:t>
      </w:r>
      <w:r w:rsidR="00FE583C" w:rsidRPr="000935CC">
        <w:t>）模和横磁（</w:t>
      </w:r>
      <w:r w:rsidR="00FE583C" w:rsidRPr="000935CC">
        <w:t>TM</w:t>
      </w:r>
      <w:r w:rsidR="00FE583C" w:rsidRPr="000935CC">
        <w:t>）模能带结构</w:t>
      </w:r>
      <w:r>
        <w:rPr>
          <w:rFonts w:hint="eastAsia"/>
        </w:rPr>
        <w:t>。</w:t>
      </w:r>
      <w:r w:rsidR="00AC3CB9" w:rsidRPr="00B73996">
        <w:rPr>
          <w:rFonts w:hint="eastAsia"/>
        </w:rPr>
        <w:t>图中绿色部分是</w:t>
      </w:r>
      <w:r w:rsidR="00AC3CB9" w:rsidRPr="00B73996">
        <w:rPr>
          <w:rFonts w:hint="eastAsia"/>
        </w:rPr>
        <w:t>T</w:t>
      </w:r>
      <w:r w:rsidR="00AC3CB9" w:rsidRPr="00B73996">
        <w:t>E</w:t>
      </w:r>
      <w:r w:rsidR="00AC3CB9" w:rsidRPr="00B73996">
        <w:rPr>
          <w:rFonts w:hint="eastAsia"/>
        </w:rPr>
        <w:t>与</w:t>
      </w:r>
      <w:r w:rsidR="00AC3CB9" w:rsidRPr="00B73996">
        <w:rPr>
          <w:rFonts w:hint="eastAsia"/>
        </w:rPr>
        <w:t>T</w:t>
      </w:r>
      <w:r w:rsidR="00AC3CB9" w:rsidRPr="00B73996">
        <w:t>M</w:t>
      </w:r>
      <w:r w:rsidR="00AC3CB9" w:rsidRPr="00B73996">
        <w:rPr>
          <w:rFonts w:hint="eastAsia"/>
        </w:rPr>
        <w:t>模式禁带的重叠</w:t>
      </w:r>
      <w:r w:rsidR="00D76951" w:rsidRPr="00B73996">
        <w:rPr>
          <w:rFonts w:hint="eastAsia"/>
        </w:rPr>
        <w:t>部分</w:t>
      </w:r>
      <w:r w:rsidR="00AC3CB9" w:rsidRPr="00B73996">
        <w:rPr>
          <w:rFonts w:hint="eastAsia"/>
        </w:rPr>
        <w:t>，</w:t>
      </w:r>
      <w:r w:rsidR="00D76951" w:rsidRPr="00B73996">
        <w:rPr>
          <w:rFonts w:hint="eastAsia"/>
        </w:rPr>
        <w:t>称为</w:t>
      </w:r>
      <w:r w:rsidR="00AC3CB9" w:rsidRPr="00B73996">
        <w:rPr>
          <w:rFonts w:hint="eastAsia"/>
        </w:rPr>
        <w:t>“完全带隙”</w:t>
      </w:r>
      <w:r w:rsidR="00FE583C" w:rsidRPr="00B73996">
        <w:t>。从图</w:t>
      </w:r>
      <w:r w:rsidR="00FE583C" w:rsidRPr="00B73996">
        <w:t>2</w:t>
      </w:r>
      <w:r w:rsidR="00FE583C" w:rsidRPr="00B73996">
        <w:t>（</w:t>
      </w:r>
      <w:r w:rsidR="00FE583C" w:rsidRPr="00B73996">
        <w:t>a</w:t>
      </w:r>
      <w:r w:rsidR="00FE583C" w:rsidRPr="00B73996">
        <w:t>）可以看出，</w:t>
      </w:r>
      <w:r w:rsidR="00FE583C" w:rsidRPr="00B73996">
        <w:t>TE</w:t>
      </w:r>
      <w:r w:rsidR="00FE583C" w:rsidRPr="00B73996">
        <w:t>模式的禁带相比于</w:t>
      </w:r>
      <w:r w:rsidR="00FE583C" w:rsidRPr="00B73996">
        <w:t>TM</w:t>
      </w:r>
      <w:r w:rsidR="00FE583C" w:rsidRPr="00B73996">
        <w:t>模式禁带以及完全禁带</w:t>
      </w:r>
      <w:r w:rsidR="00FE583C" w:rsidRPr="00B73996">
        <w:rPr>
          <w:rFonts w:hint="eastAsia"/>
        </w:rPr>
        <w:t>，占据的频率范围最</w:t>
      </w:r>
      <w:r w:rsidR="00432D37" w:rsidRPr="00B73996">
        <w:rPr>
          <w:rFonts w:hint="eastAsia"/>
        </w:rPr>
        <w:t>大</w:t>
      </w:r>
      <w:r w:rsidR="00FE583C" w:rsidRPr="00B73996">
        <w:t>，</w:t>
      </w:r>
      <w:r w:rsidR="00FE583C" w:rsidRPr="00673513">
        <w:t>随着</w:t>
      </w:r>
      <w:r w:rsidR="00FE583C" w:rsidRPr="00673513">
        <w:rPr>
          <w:i/>
          <w:iCs/>
        </w:rPr>
        <w:t>w</w:t>
      </w:r>
      <w:r w:rsidR="00FE583C" w:rsidRPr="00673513">
        <w:t>的增加，</w:t>
      </w:r>
      <w:r w:rsidR="00FE583C" w:rsidRPr="000935CC">
        <w:t>TE</w:t>
      </w:r>
      <w:r w:rsidR="00FE583C" w:rsidRPr="000935CC">
        <w:t>模式的禁带宽度呈现先增大后减小的趋势，而当</w:t>
      </w:r>
      <w:r w:rsidR="00FE583C" w:rsidRPr="000935CC">
        <w:rPr>
          <w:i/>
          <w:iCs/>
        </w:rPr>
        <w:t>w</w:t>
      </w:r>
      <w:r w:rsidR="00FE583C" w:rsidRPr="000935CC">
        <w:t>＝</w:t>
      </w:r>
      <w:r w:rsidR="00FE583C" w:rsidRPr="000935CC">
        <w:t>8.8 μm</w:t>
      </w:r>
      <w:r w:rsidR="00FE583C" w:rsidRPr="000935CC">
        <w:t>（</w:t>
      </w:r>
      <w:r w:rsidR="00FE583C" w:rsidRPr="000935CC">
        <w:t>0.22</w:t>
      </w:r>
      <w:r w:rsidR="00FE583C" w:rsidRPr="000935CC">
        <w:rPr>
          <w:i/>
          <w:iCs/>
        </w:rPr>
        <w:t>a</w:t>
      </w:r>
      <w:r w:rsidR="00FE583C" w:rsidRPr="000935CC">
        <w:t>）时，</w:t>
      </w:r>
      <w:r w:rsidR="00FE583C" w:rsidRPr="000935CC">
        <w:t>TE</w:t>
      </w:r>
      <w:r w:rsidR="00FE583C" w:rsidRPr="000935CC">
        <w:t>模式的禁带宽度最宽，同时也满足所研究的归一化频率范围，因此将介质柱宽度</w:t>
      </w:r>
      <w:r w:rsidR="00FE583C" w:rsidRPr="000935CC">
        <w:rPr>
          <w:i/>
          <w:iCs/>
        </w:rPr>
        <w:t>w</w:t>
      </w:r>
      <w:r w:rsidR="00FE583C" w:rsidRPr="000935CC">
        <w:t>设置为</w:t>
      </w:r>
      <w:r w:rsidR="00FE583C" w:rsidRPr="000935CC">
        <w:t>0.22</w:t>
      </w:r>
      <w:r w:rsidR="00FE583C" w:rsidRPr="000935CC">
        <w:rPr>
          <w:i/>
          <w:iCs/>
        </w:rPr>
        <w:t>a</w:t>
      </w:r>
      <w:r w:rsidR="00FE583C" w:rsidRPr="000935CC">
        <w:t>。</w:t>
      </w:r>
      <w:r w:rsidR="00FE583C">
        <w:rPr>
          <w:rFonts w:hint="eastAsia"/>
        </w:rPr>
        <w:t>从图</w:t>
      </w:r>
      <w:r w:rsidR="00FE583C">
        <w:rPr>
          <w:rFonts w:hint="eastAsia"/>
        </w:rPr>
        <w:t>2</w:t>
      </w:r>
      <w:r w:rsidR="00FE583C">
        <w:rPr>
          <w:rFonts w:hint="eastAsia"/>
        </w:rPr>
        <w:t>（</w:t>
      </w:r>
      <w:r w:rsidR="00FE583C">
        <w:rPr>
          <w:rFonts w:hint="eastAsia"/>
        </w:rPr>
        <w:t>b</w:t>
      </w:r>
      <w:r w:rsidR="00FE583C">
        <w:rPr>
          <w:rFonts w:hint="eastAsia"/>
        </w:rPr>
        <w:t>）可以看出</w:t>
      </w:r>
      <w:r>
        <w:rPr>
          <w:rFonts w:hint="eastAsia"/>
        </w:rPr>
        <w:t>，</w:t>
      </w:r>
      <w:r w:rsidR="00FE583C">
        <w:t>该结构只存在一条</w:t>
      </w:r>
      <w:r w:rsidR="00FE583C">
        <w:t>TE</w:t>
      </w:r>
      <w:r w:rsidR="00FE583C">
        <w:t>模式禁带</w:t>
      </w:r>
      <w:r w:rsidR="00FE583C">
        <w:rPr>
          <w:rFonts w:hint="eastAsia"/>
        </w:rPr>
        <w:t>，</w:t>
      </w:r>
      <w:r w:rsidR="00FE583C">
        <w:t>归一化频率</w:t>
      </w:r>
      <w:r w:rsidR="00FE583C">
        <w:rPr>
          <w:position w:val="-6"/>
        </w:rPr>
        <w:object w:dxaOrig="441" w:dyaOrig="253" w14:anchorId="7D306E6E">
          <v:shape id="_x0000_i1026" type="#_x0000_t75" style="width:22pt;height:13pt" o:ole="">
            <v:imagedata r:id="rId10" o:title=""/>
          </v:shape>
          <o:OLEObject Type="Embed" ProgID="Equation.DSMT4" ShapeID="_x0000_i1026" DrawAspect="Content" ObjectID="_1756703746" r:id="rId11"/>
        </w:object>
      </w:r>
      <w:r w:rsidR="00FE583C">
        <w:rPr>
          <w:rFonts w:hint="eastAsia"/>
        </w:rPr>
        <w:t>的</w:t>
      </w:r>
      <w:r w:rsidR="00FE583C">
        <w:t>范围为</w:t>
      </w:r>
      <w:r w:rsidR="00FE583C">
        <w:rPr>
          <w:position w:val="-4"/>
        </w:rPr>
        <w:object w:dxaOrig="153" w:dyaOrig="247" w14:anchorId="460973A9">
          <v:shape id="_x0000_i1027" type="#_x0000_t75" style="width:8pt;height:12pt" o:ole="">
            <v:imagedata r:id="rId12" o:title=""/>
          </v:shape>
          <o:OLEObject Type="Embed" ProgID="Equation.DSMT4" ShapeID="_x0000_i1027" DrawAspect="Content" ObjectID="_1756703747" r:id="rId13"/>
        </w:object>
      </w:r>
      <w:r w:rsidR="00FE583C">
        <w:t>0.2765</w:t>
      </w:r>
      <w:r w:rsidR="00FE583C">
        <w:t>～</w:t>
      </w:r>
      <w:r w:rsidR="00FE583C">
        <w:t>0.4634</w:t>
      </w:r>
      <w:r w:rsidR="00FE583C">
        <w:t>，对应波长为</w:t>
      </w:r>
      <w:r w:rsidR="00FE583C">
        <w:t>86.3185</w:t>
      </w:r>
      <w:r w:rsidR="00FE583C">
        <w:rPr>
          <w:rFonts w:hint="eastAsia"/>
          <w:color w:val="auto"/>
        </w:rPr>
        <w:t>～</w:t>
      </w:r>
      <w:r w:rsidR="00FE583C">
        <w:rPr>
          <w:rFonts w:hint="eastAsia"/>
          <w:color w:val="auto"/>
        </w:rPr>
        <w:t>1</w:t>
      </w:r>
      <w:r w:rsidR="00FE583C">
        <w:rPr>
          <w:color w:val="auto"/>
        </w:rPr>
        <w:t xml:space="preserve">44.6655 </w:t>
      </w:r>
      <w:r w:rsidR="00FE583C">
        <w:t>μm</w:t>
      </w:r>
      <w:r w:rsidR="00FE583C">
        <w:rPr>
          <w:rFonts w:hint="eastAsia"/>
        </w:rPr>
        <w:t>，</w:t>
      </w:r>
      <w:r w:rsidR="00FE583C">
        <w:t>不存在</w:t>
      </w:r>
      <w:r w:rsidR="00FE583C">
        <w:t>TM</w:t>
      </w:r>
      <w:r w:rsidR="00FE583C">
        <w:t>模式禁带。</w:t>
      </w:r>
      <w:r w:rsidR="00FE583C">
        <w:rPr>
          <w:rFonts w:hint="eastAsia"/>
        </w:rPr>
        <w:t>由于光子晶体的禁带特性，</w:t>
      </w:r>
      <w:r w:rsidR="00FE583C">
        <w:t>频率</w:t>
      </w:r>
      <w:r w:rsidR="00FE583C">
        <w:rPr>
          <w:rFonts w:hint="eastAsia"/>
        </w:rPr>
        <w:t>（</w:t>
      </w:r>
      <w:r w:rsidR="00FE583C">
        <w:t>波长</w:t>
      </w:r>
      <w:r w:rsidR="00FE583C">
        <w:rPr>
          <w:rFonts w:hint="eastAsia"/>
        </w:rPr>
        <w:t>）</w:t>
      </w:r>
      <w:r w:rsidR="00FE583C">
        <w:t>落在禁带范围内的光在完整的光子晶体中无法传播</w:t>
      </w:r>
      <w:r w:rsidR="00FE583C">
        <w:rPr>
          <w:rFonts w:hint="eastAsia"/>
        </w:rPr>
        <w:t>，通过</w:t>
      </w:r>
      <w:r w:rsidR="00FE583C">
        <w:rPr>
          <w:rStyle w:val="cf01"/>
          <w:rFonts w:ascii="宋体" w:eastAsia="宋体" w:hAnsi="宋体" w:cs="Arial" w:hint="default"/>
          <w:sz w:val="21"/>
          <w:szCs w:val="21"/>
        </w:rPr>
        <w:t>引入线缺陷，使得处于禁带中的缺陷模可以在线缺陷中产生，相应频率的太赫兹波就可以在波导中传输。</w:t>
      </w:r>
    </w:p>
    <w:p w14:paraId="6E95703B" w14:textId="57D171CA" w:rsidR="00C66954" w:rsidRDefault="00692480">
      <w:pPr>
        <w:ind w:firstLineChars="200" w:firstLine="420"/>
        <w:jc w:val="center"/>
      </w:pPr>
      <w:r>
        <w:object w:dxaOrig="4060" w:dyaOrig="2890" w14:anchorId="0E1FA173">
          <v:shape id="_x0000_i1028" type="#_x0000_t75" style="width:182.5pt;height:130pt" o:ole="">
            <v:imagedata r:id="rId14" o:title=""/>
          </v:shape>
          <o:OLEObject Type="Embed" ProgID="Visio.Drawing.15" ShapeID="_x0000_i1028" DrawAspect="Content" ObjectID="_1756703748" r:id="rId15"/>
        </w:object>
      </w:r>
      <w:r w:rsidR="00551585">
        <w:t xml:space="preserve">   </w:t>
      </w:r>
      <w:r w:rsidR="0053597C">
        <w:object w:dxaOrig="4065" w:dyaOrig="3105" w14:anchorId="4F29C294">
          <v:shape id="_x0000_i1045" type="#_x0000_t75" style="width:172pt;height:131.5pt" o:ole="">
            <v:imagedata r:id="rId16" o:title=""/>
          </v:shape>
          <o:OLEObject Type="Embed" ProgID="Visio.Drawing.15" ShapeID="_x0000_i1045" DrawAspect="Content" ObjectID="_1756703749" r:id="rId17"/>
        </w:object>
      </w:r>
    </w:p>
    <w:p w14:paraId="75FF8456" w14:textId="6A7348D1" w:rsidR="00C66954" w:rsidRDefault="00A773EE">
      <w:pPr>
        <w:ind w:firstLineChars="200" w:firstLine="320"/>
        <w:jc w:val="center"/>
        <w:rPr>
          <w:sz w:val="16"/>
          <w:szCs w:val="16"/>
        </w:rPr>
      </w:pPr>
      <w:r>
        <w:rPr>
          <w:sz w:val="16"/>
          <w:szCs w:val="16"/>
        </w:rPr>
        <w:t xml:space="preserve">  </w:t>
      </w:r>
      <w:r>
        <w:rPr>
          <w:rFonts w:hint="cs"/>
          <w:sz w:val="16"/>
          <w:szCs w:val="16"/>
        </w:rPr>
        <w:t>(</w:t>
      </w:r>
      <w:r>
        <w:rPr>
          <w:rFonts w:hint="eastAsia"/>
          <w:sz w:val="16"/>
          <w:szCs w:val="16"/>
        </w:rPr>
        <w:t>a</w:t>
      </w:r>
      <w:r>
        <w:rPr>
          <w:sz w:val="16"/>
          <w:szCs w:val="16"/>
        </w:rPr>
        <w:t xml:space="preserve">) </w:t>
      </w:r>
      <w:r w:rsidR="00E04C89">
        <w:rPr>
          <w:rFonts w:eastAsia="黑体"/>
          <w:sz w:val="15"/>
          <w:szCs w:val="15"/>
        </w:rPr>
        <w:t>带隙随</w:t>
      </w:r>
      <w:r w:rsidR="00E04C89" w:rsidRPr="0049486A">
        <w:rPr>
          <w:rFonts w:eastAsia="黑体" w:hint="eastAsia"/>
          <w:sz w:val="15"/>
          <w:szCs w:val="15"/>
        </w:rPr>
        <w:t>介质柱宽度</w:t>
      </w:r>
      <w:r w:rsidR="00E04C89" w:rsidRPr="00E7109A">
        <w:rPr>
          <w:rFonts w:eastAsia="黑体" w:hint="eastAsia"/>
          <w:i/>
          <w:iCs/>
          <w:sz w:val="15"/>
          <w:szCs w:val="15"/>
        </w:rPr>
        <w:t>w</w:t>
      </w:r>
      <w:r w:rsidR="00E04C89">
        <w:rPr>
          <w:rFonts w:eastAsia="黑体"/>
          <w:sz w:val="15"/>
          <w:szCs w:val="15"/>
        </w:rPr>
        <w:t>变化图</w:t>
      </w:r>
      <w:r>
        <w:rPr>
          <w:sz w:val="16"/>
          <w:szCs w:val="16"/>
        </w:rPr>
        <w:t xml:space="preserve">                          (b)</w:t>
      </w:r>
      <w:r w:rsidR="00E04C89">
        <w:rPr>
          <w:sz w:val="16"/>
          <w:szCs w:val="16"/>
        </w:rPr>
        <w:t xml:space="preserve"> </w:t>
      </w:r>
      <w:r w:rsidR="00E04C89">
        <w:rPr>
          <w:rFonts w:eastAsia="黑体"/>
          <w:i/>
          <w:iCs/>
          <w:sz w:val="15"/>
          <w:szCs w:val="15"/>
        </w:rPr>
        <w:t>w</w:t>
      </w:r>
      <w:r w:rsidR="00E04C89">
        <w:rPr>
          <w:rFonts w:eastAsia="黑体"/>
          <w:sz w:val="15"/>
          <w:szCs w:val="15"/>
        </w:rPr>
        <w:t>＝</w:t>
      </w:r>
      <w:r w:rsidR="00E04C89">
        <w:rPr>
          <w:rFonts w:eastAsia="黑体"/>
          <w:sz w:val="15"/>
          <w:szCs w:val="15"/>
        </w:rPr>
        <w:t>0.22</w:t>
      </w:r>
      <w:r w:rsidR="00E04C89">
        <w:rPr>
          <w:rFonts w:eastAsia="黑体"/>
          <w:i/>
          <w:iCs/>
          <w:sz w:val="15"/>
          <w:szCs w:val="15"/>
        </w:rPr>
        <w:t>a</w:t>
      </w:r>
      <w:r w:rsidR="00E04C89">
        <w:rPr>
          <w:rFonts w:eastAsia="黑体"/>
          <w:sz w:val="15"/>
          <w:szCs w:val="15"/>
        </w:rPr>
        <w:t>时的能带图</w:t>
      </w:r>
    </w:p>
    <w:p w14:paraId="6684CFA6" w14:textId="4B3407E8" w:rsidR="00C66954" w:rsidRDefault="00A773EE">
      <w:pPr>
        <w:autoSpaceDE w:val="0"/>
        <w:autoSpaceDN w:val="0"/>
        <w:jc w:val="center"/>
        <w:rPr>
          <w:rFonts w:eastAsia="黑体"/>
          <w:sz w:val="15"/>
          <w:szCs w:val="15"/>
        </w:rPr>
      </w:pPr>
      <w:r>
        <w:rPr>
          <w:rFonts w:ascii="黑体" w:eastAsia="黑体" w:hAnsi="黑体"/>
          <w:sz w:val="15"/>
          <w:szCs w:val="15"/>
        </w:rPr>
        <w:t>图</w:t>
      </w:r>
      <w:r>
        <w:rPr>
          <w:rFonts w:ascii="黑体" w:eastAsia="黑体" w:hAnsi="黑体" w:hint="eastAsia"/>
          <w:sz w:val="15"/>
          <w:szCs w:val="15"/>
        </w:rPr>
        <w:t xml:space="preserve"> </w:t>
      </w:r>
      <w:r>
        <w:rPr>
          <w:rFonts w:ascii="黑体" w:eastAsia="黑体" w:hAnsi="黑体"/>
          <w:sz w:val="15"/>
          <w:szCs w:val="15"/>
        </w:rPr>
        <w:t>2</w:t>
      </w:r>
      <w:r>
        <w:rPr>
          <w:rFonts w:eastAsia="黑体"/>
          <w:sz w:val="15"/>
          <w:szCs w:val="15"/>
        </w:rPr>
        <w:t xml:space="preserve"> </w:t>
      </w:r>
      <w:r>
        <w:rPr>
          <w:rFonts w:eastAsia="黑体"/>
          <w:sz w:val="15"/>
          <w:szCs w:val="15"/>
        </w:rPr>
        <w:t>完整晶格的二维光子晶体</w:t>
      </w:r>
    </w:p>
    <w:p w14:paraId="12A6BAA0" w14:textId="77777777" w:rsidR="00C66954" w:rsidRPr="00B66303" w:rsidRDefault="00A773EE">
      <w:pPr>
        <w:rPr>
          <w:rFonts w:ascii="宋体" w:hAnsi="宋体"/>
          <w:b/>
        </w:rPr>
      </w:pPr>
      <w:r w:rsidRPr="00B66303">
        <w:rPr>
          <w:rFonts w:ascii="宋体" w:hAnsi="宋体"/>
          <w:b/>
        </w:rPr>
        <w:t>2.2</w:t>
      </w:r>
      <w:r w:rsidRPr="00B66303">
        <w:rPr>
          <w:rFonts w:ascii="宋体" w:hAnsi="宋体" w:hint="eastAsia"/>
          <w:b/>
        </w:rPr>
        <w:t xml:space="preserve"> 性能分析</w:t>
      </w:r>
    </w:p>
    <w:p w14:paraId="215255A2" w14:textId="77777777" w:rsidR="00C66954" w:rsidRDefault="00A773EE">
      <w:pPr>
        <w:ind w:firstLineChars="200" w:firstLine="420"/>
      </w:pPr>
      <w:r>
        <w:t>评价逻辑器件性能好坏的指标主要是对比度和响应时间。对比度</w:t>
      </w:r>
      <w:r>
        <w:fldChar w:fldCharType="begin"/>
      </w:r>
      <w:r>
        <w:instrText xml:space="preserve"> ADDIN EN.CITE &lt;EndNote&gt;&lt;Cite&gt;&lt;Author&gt;Mohebzadeh-Bahabady&lt;/Author&gt;&lt;Year&gt;2018&lt;/Year&gt;&lt;RecNum&gt;27&lt;/RecNum&gt;&lt;DisplayText&gt;&lt;style face="superscript"&gt;[19]&lt;/style&gt;&lt;/DisplayText&gt;&lt;record&gt;&lt;rec-number&gt;27&lt;/rec-number&gt;&lt;foreign-keys&gt;&lt;key app="EN" db-id="0ssv2xspr9xve1eaddtpfp9fdx9wp2dxp09t" timestamp="1665652296"&gt;27&lt;/key&gt;&lt;/foreign-keys&gt;&lt;ref-type name="Journal Article"&gt;17&lt;/ref-type&gt;&lt;contributors&gt;&lt;authors&gt;&lt;author&gt;Mohebzadeh-Bahabady, Ahmad&lt;/author&gt;&lt;author&gt;Olyaee, Saeed&lt;/author&gt;&lt;/authors&gt;&lt;secondary-authors&gt;&lt;author&gt;MOHEBZADEH-BAHABADY, A&lt;/author&gt;&lt;author&gt;OLYAEE, S&lt;/author&gt;&lt;/secondary-authors&gt;&lt;/contributors&gt;&lt;titles&gt;&lt;title&gt;All-optical NOT and XOR logic gates using photonic crystal nano-resonator and based on an interference effect&lt;/title&gt;&lt;secondary-title&gt;IET Optoelectronics&lt;/secondary-title&gt;&lt;/titles&gt;&lt;periodical&gt;&lt;full-title&gt;Iet Optoelectronics&lt;/full-title&gt;&lt;/periodical&gt;&lt;pages&gt;191-195&lt;/pages&gt;&lt;volume&gt;12&lt;/volume&gt;&lt;number&gt;4&lt;/number&gt;&lt;dates&gt;&lt;year&gt;2018&lt;/year&gt;&lt;/dates&gt;&lt;isbn&gt;1751-8768&lt;/isbn&gt;&lt;urls&gt;&lt;related-urls&gt;&lt;url&gt;https://ietresearch.onlinelibrary.wiley.com/doi/abs/10.1049/iet-opt.2017.0174&lt;/url&gt;&lt;/related-urls&gt;&lt;/urls&gt;&lt;electronic-resource-num&gt;https://doi.org/10.1049/iet-opt.2017.0174&lt;/electronic-resource-num&gt;&lt;/record&gt;&lt;/Cite&gt;&lt;/EndNote&gt;</w:instrText>
      </w:r>
      <w:r>
        <w:fldChar w:fldCharType="separate"/>
      </w:r>
      <w:r>
        <w:rPr>
          <w:vertAlign w:val="superscript"/>
        </w:rPr>
        <w:t>[19]</w:t>
      </w:r>
      <w:r>
        <w:fldChar w:fldCharType="end"/>
      </w:r>
      <w:r>
        <w:rPr>
          <w:rFonts w:hint="eastAsia"/>
        </w:rPr>
        <w:t>反映的是</w:t>
      </w:r>
      <w:r>
        <w:t>器件的输出为逻辑</w:t>
      </w:r>
      <w:r>
        <w:rPr>
          <w:rFonts w:hint="eastAsia"/>
        </w:rPr>
        <w:t>“</w:t>
      </w:r>
      <w:r>
        <w:rPr>
          <w:rFonts w:hint="eastAsia"/>
        </w:rPr>
        <w:t>1</w:t>
      </w:r>
      <w:r>
        <w:rPr>
          <w:rFonts w:hint="eastAsia"/>
        </w:rPr>
        <w:t>”</w:t>
      </w:r>
      <w:r>
        <w:t>与输出为逻辑</w:t>
      </w:r>
      <w:r>
        <w:rPr>
          <w:rFonts w:hint="eastAsia"/>
        </w:rPr>
        <w:t>“</w:t>
      </w:r>
      <w:r>
        <w:rPr>
          <w:rFonts w:hint="eastAsia"/>
        </w:rPr>
        <w:t>0</w:t>
      </w:r>
      <w:r>
        <w:rPr>
          <w:rFonts w:hint="eastAsia"/>
        </w:rPr>
        <w:t>”</w:t>
      </w:r>
      <w:r>
        <w:t>时的能量之比，</w:t>
      </w:r>
      <w:r>
        <w:rPr>
          <w:rFonts w:hint="eastAsia"/>
        </w:rPr>
        <w:t>定义</w:t>
      </w:r>
      <w:r>
        <w:t>为</w:t>
      </w:r>
    </w:p>
    <w:tbl>
      <w:tblPr>
        <w:tblStyle w:val="af"/>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9"/>
        <w:gridCol w:w="2768"/>
        <w:gridCol w:w="2769"/>
      </w:tblGrid>
      <w:tr w:rsidR="00C66954" w14:paraId="390B67C8" w14:textId="77777777">
        <w:trPr>
          <w:jc w:val="center"/>
        </w:trPr>
        <w:tc>
          <w:tcPr>
            <w:tcW w:w="1666" w:type="pct"/>
            <w:vAlign w:val="center"/>
          </w:tcPr>
          <w:p w14:paraId="6EABE298" w14:textId="77777777" w:rsidR="00C66954" w:rsidRDefault="00C66954">
            <w:pPr>
              <w:rPr>
                <w:rFonts w:ascii="宋体" w:hAnsi="宋体"/>
              </w:rPr>
            </w:pPr>
          </w:p>
        </w:tc>
        <w:tc>
          <w:tcPr>
            <w:tcW w:w="1666" w:type="pct"/>
            <w:vAlign w:val="center"/>
          </w:tcPr>
          <w:p w14:paraId="5320CAA4" w14:textId="77777777" w:rsidR="00C66954" w:rsidRDefault="00A773EE">
            <w:pPr>
              <w:jc w:val="center"/>
            </w:pPr>
            <w:r>
              <w:rPr>
                <w:position w:val="-26"/>
              </w:rPr>
              <w:object w:dxaOrig="1034" w:dyaOrig="600" w14:anchorId="5667F484">
                <v:shape id="_x0000_i1030" type="#_x0000_t75" style="width:51.5pt;height:29.5pt" o:ole="">
                  <v:imagedata r:id="rId18" o:title=""/>
                </v:shape>
                <o:OLEObject Type="Embed" ProgID="Equation.DSMT4" ShapeID="_x0000_i1030" DrawAspect="Content" ObjectID="_1756703750" r:id="rId19"/>
              </w:object>
            </w:r>
          </w:p>
        </w:tc>
        <w:tc>
          <w:tcPr>
            <w:tcW w:w="1667" w:type="pct"/>
            <w:vAlign w:val="center"/>
          </w:tcPr>
          <w:p w14:paraId="2C0AE54C" w14:textId="77777777" w:rsidR="00C66954" w:rsidRDefault="00A773EE">
            <w:pPr>
              <w:jc w:val="right"/>
            </w:pPr>
            <w:r>
              <w:rPr>
                <w:rFonts w:eastAsia="E-BZ"/>
                <w:sz w:val="19"/>
                <w:szCs w:val="19"/>
              </w:rPr>
              <w:t>(</w:t>
            </w:r>
            <w:r>
              <w:rPr>
                <w:rFonts w:eastAsia="E-BZ" w:hint="eastAsia"/>
                <w:sz w:val="19"/>
                <w:szCs w:val="19"/>
              </w:rPr>
              <w:t>1</w:t>
            </w:r>
            <w:r>
              <w:rPr>
                <w:rFonts w:eastAsia="E-BZ"/>
                <w:sz w:val="19"/>
                <w:szCs w:val="19"/>
              </w:rPr>
              <w:t>)</w:t>
            </w:r>
          </w:p>
        </w:tc>
      </w:tr>
    </w:tbl>
    <w:p w14:paraId="05992EF7" w14:textId="32A1FE72" w:rsidR="00C66954" w:rsidRDefault="00E04C89" w:rsidP="00E04C89">
      <w:r>
        <w:rPr>
          <w:rFonts w:hint="eastAsia"/>
        </w:rPr>
        <w:t>其中</w:t>
      </w:r>
      <w:r>
        <w:t>，</w:t>
      </w:r>
      <w:r w:rsidR="00A773EE">
        <w:rPr>
          <w:i/>
          <w:iCs/>
        </w:rPr>
        <w:t>P</w:t>
      </w:r>
      <w:r w:rsidR="00A773EE">
        <w:rPr>
          <w:vertAlign w:val="subscript"/>
        </w:rPr>
        <w:t>1</w:t>
      </w:r>
      <w:r w:rsidR="00A773EE">
        <w:t>是编码器输出为逻辑</w:t>
      </w:r>
      <w:r w:rsidR="00A773EE">
        <w:rPr>
          <w:rFonts w:hint="eastAsia"/>
        </w:rPr>
        <w:t>“</w:t>
      </w:r>
      <w:r w:rsidR="00A773EE">
        <w:rPr>
          <w:rFonts w:hint="eastAsia"/>
        </w:rPr>
        <w:t>1</w:t>
      </w:r>
      <w:r w:rsidR="00A773EE">
        <w:rPr>
          <w:rFonts w:hint="eastAsia"/>
        </w:rPr>
        <w:t>”</w:t>
      </w:r>
      <w:r w:rsidR="00A773EE">
        <w:t>的最低光功率，</w:t>
      </w:r>
      <w:r w:rsidR="00A773EE">
        <w:rPr>
          <w:i/>
          <w:iCs/>
        </w:rPr>
        <w:t>P</w:t>
      </w:r>
      <w:r w:rsidR="00A773EE">
        <w:rPr>
          <w:vertAlign w:val="subscript"/>
        </w:rPr>
        <w:t>0</w:t>
      </w:r>
      <w:r w:rsidR="00A773EE">
        <w:t>是编码器的输出为逻辑</w:t>
      </w:r>
      <w:r w:rsidR="00A773EE">
        <w:rPr>
          <w:rFonts w:hint="eastAsia"/>
        </w:rPr>
        <w:t>“</w:t>
      </w:r>
      <w:r w:rsidR="00A773EE">
        <w:rPr>
          <w:rFonts w:hint="eastAsia"/>
        </w:rPr>
        <w:t>0</w:t>
      </w:r>
      <w:r w:rsidR="00A773EE">
        <w:rPr>
          <w:rFonts w:hint="eastAsia"/>
        </w:rPr>
        <w:t>”</w:t>
      </w:r>
      <w:r w:rsidR="00A773EE">
        <w:t>时的最高光功率。</w:t>
      </w:r>
      <w:r w:rsidR="00A773EE">
        <w:rPr>
          <w:rFonts w:hint="eastAsia"/>
        </w:rPr>
        <w:t>本文</w:t>
      </w:r>
      <w:r w:rsidR="00A773EE">
        <w:t>将</w:t>
      </w:r>
      <w:r w:rsidR="00A773EE">
        <w:rPr>
          <w:rFonts w:hint="eastAsia"/>
        </w:rPr>
        <w:t>编码器的</w:t>
      </w:r>
      <w:r w:rsidR="00A773EE">
        <w:t>透过率大于等于</w:t>
      </w:r>
      <w:r w:rsidR="00A773EE">
        <w:t>40%</w:t>
      </w:r>
      <w:r w:rsidR="00A773EE">
        <w:rPr>
          <w:rFonts w:hint="eastAsia"/>
        </w:rPr>
        <w:t>规</w:t>
      </w:r>
      <w:r w:rsidR="00A773EE">
        <w:t>定为逻辑</w:t>
      </w:r>
      <w:r w:rsidR="00A773EE">
        <w:rPr>
          <w:rFonts w:hint="eastAsia"/>
        </w:rPr>
        <w:t>“</w:t>
      </w:r>
      <w:r w:rsidR="00A773EE">
        <w:rPr>
          <w:rFonts w:hint="eastAsia"/>
        </w:rPr>
        <w:t>1</w:t>
      </w:r>
      <w:r w:rsidR="00A773EE">
        <w:rPr>
          <w:rFonts w:hint="eastAsia"/>
        </w:rPr>
        <w:t>”</w:t>
      </w:r>
      <w:r w:rsidR="00A773EE">
        <w:t>，</w:t>
      </w:r>
      <w:r w:rsidR="00A773EE">
        <w:rPr>
          <w:rFonts w:hint="eastAsia"/>
        </w:rPr>
        <w:t>将透过率</w:t>
      </w:r>
      <w:r w:rsidR="00A773EE">
        <w:t>小于等于</w:t>
      </w:r>
      <w:r w:rsidR="00A773EE">
        <w:t>5%</w:t>
      </w:r>
      <w:r w:rsidR="00A773EE">
        <w:rPr>
          <w:rFonts w:hint="eastAsia"/>
        </w:rPr>
        <w:t>规</w:t>
      </w:r>
      <w:r w:rsidR="00A773EE">
        <w:t>定为逻辑</w:t>
      </w:r>
      <w:r w:rsidR="00A773EE">
        <w:rPr>
          <w:rFonts w:hint="eastAsia"/>
        </w:rPr>
        <w:t>“</w:t>
      </w:r>
      <w:r w:rsidR="00A773EE">
        <w:rPr>
          <w:rFonts w:hint="eastAsia"/>
        </w:rPr>
        <w:t>0</w:t>
      </w:r>
      <w:r w:rsidR="00A773EE">
        <w:rPr>
          <w:rFonts w:hint="eastAsia"/>
        </w:rPr>
        <w:t>”</w:t>
      </w:r>
      <w:r w:rsidR="00A773EE">
        <w:t>。</w:t>
      </w:r>
    </w:p>
    <w:p w14:paraId="60AB5BE5" w14:textId="1FA775E7" w:rsidR="00C66954" w:rsidRDefault="00A773EE">
      <w:pPr>
        <w:ind w:firstLineChars="200" w:firstLine="420"/>
        <w:rPr>
          <w:rFonts w:ascii="宋体" w:hAnsi="宋体"/>
        </w:rPr>
      </w:pPr>
      <w:r>
        <w:t>光逻辑门的响应时间</w:t>
      </w:r>
      <w:r>
        <w:fldChar w:fldCharType="begin"/>
      </w:r>
      <w:r w:rsidR="00ED1734">
        <w:instrText xml:space="preserve"> ADDIN EN.CITE &lt;EndNote&gt;&lt;Cite&gt;&lt;Author&gt;Mostafa&lt;/Author&gt;&lt;Year&gt;2019&lt;/Year&gt;&lt;RecNum&gt;26&lt;/RecNum&gt;&lt;DisplayText&gt;&lt;style face="superscript"&gt;[20]&lt;/style&gt;&lt;/DisplayText&gt;&lt;record&gt;&lt;rec-number&gt;26&lt;/rec-number&gt;&lt;foreign-keys&gt;&lt;key app="EN" db-id="0ssv2xspr9xve1eaddtpfp9fdx9wp2dxp09t" timestamp="1665651927"&gt;26&lt;/key&gt;&lt;/foreign-keys&gt;&lt;ref-type name="Journal Article"&gt;17&lt;/ref-type&gt;&lt;contributors&gt;&lt;authors&gt;&lt;author&gt;Mostafa, Tamer S.&lt;/author&gt;&lt;author&gt;Mohammed, Nazmi A.&lt;/author&gt;&lt;author&gt;El-Rabaie, El-Sayed M.&lt;/author&gt;&lt;/authors&gt;&lt;secondary-authors&gt;&lt;author&gt;MOSTAFA, TAMER S&lt;/author&gt;&lt;author&gt;MOHAMMED, NAZMI A&lt;/author&gt;&lt;author&gt;EL-RABAIE, EL-SAYED M&lt;/author&gt;&lt;/secondary-authors&gt;&lt;/contributors&gt;&lt;titles&gt;&lt;title&gt;Ultra-High bit rate all-optical AND/OR logic gates based on photonic crystal with multi-wavelength simultaneous operation&lt;/title&gt;&lt;secondary-title&gt;Journal of Modern Optics&lt;/secondary-title&gt;&lt;/titles&gt;&lt;periodical&gt;&lt;full-title&gt;Journal of Modern Optics&lt;/full-title&gt;&lt;/periodical&gt;&lt;pages&gt;1005-1016&lt;/pages&gt;&lt;volume&gt;66&lt;/volume&gt;&lt;number&gt;9&lt;/number&gt;&lt;dates&gt;&lt;year&gt;2019&lt;/year&gt;&lt;pub-dates&gt;&lt;date&gt;2019/05/21&lt;/date&gt;&lt;/pub-dates&gt;&lt;/dates&gt;&lt;publisher&gt;Taylor &amp;amp; Francis&lt;/publisher&gt;&lt;isbn&gt;0950-0340&lt;/isbn&gt;&lt;urls&gt;&lt;related-urls&gt;&lt;url&gt;https://doi.org/10.1080/09500340.2019.1598587&lt;/url&gt;&lt;/related-urls&gt;&lt;/urls&gt;&lt;electronic-resource-num&gt;10.1080/09500340.2019.1598587&lt;/electronic-resource-num&gt;&lt;/record&gt;&lt;/Cite&gt;&lt;/EndNote&gt;</w:instrText>
      </w:r>
      <w:r>
        <w:fldChar w:fldCharType="separate"/>
      </w:r>
      <w:r>
        <w:rPr>
          <w:noProof/>
          <w:vertAlign w:val="superscript"/>
        </w:rPr>
        <w:t>[20]</w:t>
      </w:r>
      <w:r>
        <w:fldChar w:fldCharType="end"/>
      </w:r>
      <w:r>
        <w:t>由延迟时间（</w:t>
      </w:r>
      <w:r>
        <w:rPr>
          <w:i/>
          <w:iCs/>
        </w:rPr>
        <w:t>T</w:t>
      </w:r>
      <w:r>
        <w:rPr>
          <w:vertAlign w:val="subscript"/>
        </w:rPr>
        <w:t>d</w:t>
      </w:r>
      <w:r>
        <w:t>）、上升时间（</w:t>
      </w:r>
      <w:r>
        <w:rPr>
          <w:i/>
          <w:iCs/>
        </w:rPr>
        <w:t>T</w:t>
      </w:r>
      <w:r>
        <w:rPr>
          <w:vertAlign w:val="subscript"/>
        </w:rPr>
        <w:t>r</w:t>
      </w:r>
      <w:r>
        <w:t>）</w:t>
      </w:r>
      <w:r>
        <w:t xml:space="preserve"> </w:t>
      </w:r>
      <w:r>
        <w:t>和下降时间（</w:t>
      </w:r>
      <w:r>
        <w:rPr>
          <w:i/>
          <w:iCs/>
        </w:rPr>
        <w:t>T</w:t>
      </w:r>
      <w:r>
        <w:rPr>
          <w:vertAlign w:val="subscript"/>
        </w:rPr>
        <w:t>f</w:t>
      </w:r>
      <w:r>
        <w:t>）三部分组成。延迟时间是</w:t>
      </w:r>
      <w:r>
        <w:rPr>
          <w:rFonts w:hint="eastAsia"/>
        </w:rPr>
        <w:t>指器件的</w:t>
      </w:r>
      <w:r>
        <w:t>输出功率从</w:t>
      </w:r>
      <w:r>
        <w:rPr>
          <w:rFonts w:hint="eastAsia"/>
        </w:rPr>
        <w:t>0</w:t>
      </w:r>
      <w:r>
        <w:t>上升到其稳定值的</w:t>
      </w:r>
      <w:r>
        <w:t>0.1%</w:t>
      </w:r>
      <w:r>
        <w:t>所需要的时间，上升时间是</w:t>
      </w:r>
      <w:r>
        <w:rPr>
          <w:rFonts w:hint="eastAsia"/>
        </w:rPr>
        <w:t>指器件的</w:t>
      </w:r>
      <w:r>
        <w:t>输出功率从稳定值的</w:t>
      </w:r>
      <w:r>
        <w:t>0.1%</w:t>
      </w:r>
      <w:r>
        <w:t>上升到稳定值的</w:t>
      </w:r>
      <w:r>
        <w:t>90%</w:t>
      </w:r>
      <w:r>
        <w:t>所需要的时间，下降时间是</w:t>
      </w:r>
      <w:r>
        <w:rPr>
          <w:rFonts w:hint="eastAsia"/>
        </w:rPr>
        <w:t>指器件的</w:t>
      </w:r>
      <w:r>
        <w:t>输出功率从稳定值下降到稳定</w:t>
      </w:r>
      <w:r>
        <w:rPr>
          <w:rFonts w:hint="eastAsia"/>
        </w:rPr>
        <w:t>值的</w:t>
      </w:r>
      <w:r w:rsidR="00194490">
        <w:t>10%</w:t>
      </w:r>
      <w:r>
        <w:t>所需要的时间。</w:t>
      </w:r>
      <w:r>
        <w:rPr>
          <w:rFonts w:hint="eastAsia"/>
        </w:rPr>
        <w:t>而</w:t>
      </w:r>
      <w:r>
        <w:t>在线性材料中，上升时间与下降时间基本相等</w:t>
      </w:r>
      <w:r>
        <w:fldChar w:fldCharType="begin">
          <w:fldData xml:space="preserve">PEVuZE5vdGU+PENpdGU+PEF1dGhvcj5XdTwvQXV0aG9yPjxZZWFyPjIwMTI8L1llYXI+PFJlY051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</w:fldData>
        </w:fldChar>
      </w:r>
      <w:r>
        <w:instrText xml:space="preserve"> ADDIN EN.CITE </w:instrText>
      </w:r>
      <w:r>
        <w:fldChar w:fldCharType="begin">
          <w:fldData xml:space="preserve">PEVuZE5vdGU+PENpdGU+PEF1dGhvcj5XdTwvQXV0aG9yPjxZZWFyPjIwMTI8L1llYXI+PFJlY051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</w:fldData>
        </w:fldChar>
      </w:r>
      <w:r>
        <w:instrText xml:space="preserve"> ADDIN EN.CITE.DATA </w:instrText>
      </w:r>
      <w:r>
        <w:fldChar w:fldCharType="end"/>
      </w:r>
      <w:r>
        <w:fldChar w:fldCharType="separate"/>
      </w:r>
      <w:r>
        <w:rPr>
          <w:vertAlign w:val="superscript"/>
        </w:rPr>
        <w:t>[21</w:t>
      </w:r>
      <w:r w:rsidR="00E04C89">
        <w:rPr>
          <w:vertAlign w:val="superscript"/>
        </w:rPr>
        <w:t>-</w:t>
      </w:r>
      <w:r>
        <w:rPr>
          <w:vertAlign w:val="superscript"/>
        </w:rPr>
        <w:t>22]</w:t>
      </w:r>
      <w:r>
        <w:fldChar w:fldCharType="end"/>
      </w:r>
      <w:r>
        <w:t>，因此逻辑器件总的响应时间</w:t>
      </w:r>
      <w:r>
        <w:rPr>
          <w:rFonts w:hint="eastAsia"/>
        </w:rPr>
        <w:t>（</w:t>
      </w:r>
      <w:r>
        <w:rPr>
          <w:i/>
          <w:iCs/>
        </w:rPr>
        <w:t>T</w:t>
      </w:r>
      <w:r>
        <w:rPr>
          <w:rFonts w:hint="eastAsia"/>
        </w:rPr>
        <w:t>）</w:t>
      </w:r>
      <w:r>
        <w:t>的表达式为</w:t>
      </w:r>
    </w:p>
    <w:tbl>
      <w:tblPr>
        <w:tblStyle w:val="af"/>
        <w:tblW w:w="5000" w:type="pct"/>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69"/>
        <w:gridCol w:w="2768"/>
        <w:gridCol w:w="2769"/>
      </w:tblGrid>
      <w:tr w:rsidR="00C66954" w14:paraId="433673BB" w14:textId="77777777">
        <w:trPr>
          <w:jc w:val="center"/>
        </w:trPr>
        <w:tc>
          <w:tcPr>
            <w:tcW w:w="1666" w:type="pct"/>
            <w:vAlign w:val="center"/>
          </w:tcPr>
          <w:p w14:paraId="28F159CD" w14:textId="77777777" w:rsidR="00C66954" w:rsidRDefault="00C66954">
            <w:pPr>
              <w:rPr>
                <w:rFonts w:ascii="宋体" w:hAnsi="宋体"/>
              </w:rPr>
            </w:pPr>
          </w:p>
        </w:tc>
        <w:tc>
          <w:tcPr>
            <w:tcW w:w="1666" w:type="pct"/>
            <w:vAlign w:val="center"/>
          </w:tcPr>
          <w:p w14:paraId="4E0EDFBE" w14:textId="77777777" w:rsidR="00C66954" w:rsidRDefault="00A773EE">
            <w:pPr>
              <w:jc w:val="center"/>
            </w:pPr>
            <w:r>
              <w:rPr>
                <w:rFonts w:ascii="宋体" w:hAnsi="宋体"/>
                <w:position w:val="-10"/>
              </w:rPr>
              <w:object w:dxaOrig="1023" w:dyaOrig="347" w14:anchorId="6D1C4C4F">
                <v:shape id="_x0000_i1031" type="#_x0000_t75" style="width:51.5pt;height:17.5pt" o:ole="">
                  <v:imagedata r:id="rId20" o:title=""/>
                </v:shape>
                <o:OLEObject Type="Embed" ProgID="Equation.DSMT4" ShapeID="_x0000_i1031" DrawAspect="Content" ObjectID="_1756703751" r:id="rId21"/>
              </w:object>
            </w:r>
          </w:p>
        </w:tc>
        <w:tc>
          <w:tcPr>
            <w:tcW w:w="1667" w:type="pct"/>
            <w:vAlign w:val="center"/>
          </w:tcPr>
          <w:p w14:paraId="2BAA66CC" w14:textId="77777777" w:rsidR="00C66954" w:rsidRDefault="00A773EE">
            <w:pPr>
              <w:jc w:val="right"/>
              <w:rPr>
                <w:rFonts w:ascii="宋体" w:hAnsi="宋体"/>
              </w:rPr>
            </w:pPr>
            <w:r>
              <w:rPr>
                <w:rFonts w:ascii="E-BZ" w:eastAsia="E-BZ" w:cs="E-BZ"/>
                <w:sz w:val="19"/>
                <w:szCs w:val="19"/>
              </w:rPr>
              <w:t>(</w:t>
            </w:r>
            <w:r>
              <w:rPr>
                <w:sz w:val="19"/>
                <w:szCs w:val="19"/>
              </w:rPr>
              <w:t>2</w:t>
            </w:r>
            <w:r>
              <w:rPr>
                <w:rFonts w:ascii="E-BZ" w:eastAsia="E-BZ" w:cs="E-BZ"/>
                <w:sz w:val="19"/>
                <w:szCs w:val="19"/>
              </w:rPr>
              <w:t>)</w:t>
            </w:r>
          </w:p>
        </w:tc>
      </w:tr>
    </w:tbl>
    <w:p w14:paraId="4E1B5EBE" w14:textId="06E7FE63" w:rsidR="00C66954" w:rsidRDefault="00A773EE" w:rsidP="00B117AF">
      <w:pPr>
        <w:ind w:firstLineChars="200" w:firstLine="420"/>
      </w:pPr>
      <w:r>
        <w:rPr>
          <w:rFonts w:hint="eastAsia"/>
        </w:rPr>
        <w:t>下面</w:t>
      </w:r>
      <w:r w:rsidR="00E04C89">
        <w:rPr>
          <w:rFonts w:hint="eastAsia"/>
        </w:rPr>
        <w:t>采</w:t>
      </w:r>
      <w:r>
        <w:t>用</w:t>
      </w:r>
      <w:r w:rsidR="00E04C89">
        <w:rPr>
          <w:rFonts w:hint="eastAsia"/>
        </w:rPr>
        <w:t>时域</w:t>
      </w:r>
      <w:r w:rsidR="00E04C89">
        <w:t>有限差分（</w:t>
      </w:r>
      <w:r>
        <w:rPr>
          <w:rFonts w:hint="eastAsia"/>
        </w:rPr>
        <w:t>F</w:t>
      </w:r>
      <w:r>
        <w:t>DTD</w:t>
      </w:r>
      <w:r w:rsidR="00E04C89">
        <w:rPr>
          <w:rFonts w:hint="eastAsia"/>
        </w:rPr>
        <w:t>）</w:t>
      </w:r>
      <w:r>
        <w:t>法研究并分析</w:t>
      </w:r>
      <w:r>
        <w:rPr>
          <w:rFonts w:hint="eastAsia"/>
        </w:rPr>
        <w:t>太赫兹波</w:t>
      </w:r>
      <w:r>
        <w:rPr>
          <w:rFonts w:hint="eastAsia"/>
        </w:rPr>
        <w:t>4</w:t>
      </w:r>
      <w:r>
        <w:rPr>
          <w:rFonts w:hint="eastAsia"/>
        </w:rPr>
        <w:t>×</w:t>
      </w:r>
      <w:r>
        <w:rPr>
          <w:rFonts w:hint="eastAsia"/>
        </w:rPr>
        <w:t>2</w:t>
      </w:r>
      <w:r>
        <w:rPr>
          <w:rFonts w:hint="eastAsia"/>
        </w:rPr>
        <w:t>编码器在</w:t>
      </w:r>
      <w:r>
        <w:t>工作波长为</w:t>
      </w:r>
      <w:r>
        <w:t>105.54 μm</w:t>
      </w:r>
      <w:r>
        <w:t>，</w:t>
      </w:r>
      <w:r>
        <w:rPr>
          <w:rFonts w:hint="eastAsia"/>
        </w:rPr>
        <w:t>即频率为</w:t>
      </w:r>
      <w:r>
        <w:rPr>
          <w:rFonts w:hint="eastAsia"/>
        </w:rPr>
        <w:t>2</w:t>
      </w:r>
      <w:r>
        <w:t>.843 TH</w:t>
      </w:r>
      <w:r>
        <w:rPr>
          <w:rFonts w:hint="eastAsia"/>
        </w:rPr>
        <w:t>z</w:t>
      </w:r>
      <w:r>
        <w:t>时</w:t>
      </w:r>
      <w:r>
        <w:rPr>
          <w:rFonts w:hint="eastAsia"/>
        </w:rPr>
        <w:t>的传输特性。设置偏移量的初始值</w:t>
      </w:r>
      <w:r w:rsidR="0052295A">
        <w:rPr>
          <w:i/>
          <w:iCs/>
        </w:rPr>
        <w:t>S</w:t>
      </w:r>
      <w:r>
        <w:rPr>
          <w:vertAlign w:val="subscript"/>
        </w:rPr>
        <w:t>1</w:t>
      </w:r>
      <w:r>
        <w:rPr>
          <w:rFonts w:hint="eastAsia"/>
        </w:rPr>
        <w:t>＝</w:t>
      </w:r>
      <w:r>
        <w:t>0.5</w:t>
      </w:r>
      <w:r>
        <w:rPr>
          <w:rFonts w:hint="eastAsia"/>
          <w:i/>
          <w:iCs/>
        </w:rPr>
        <w:t>a</w:t>
      </w:r>
      <w:r>
        <w:rPr>
          <w:rFonts w:hint="eastAsia"/>
        </w:rPr>
        <w:t>，</w:t>
      </w:r>
      <w:r w:rsidR="0052295A">
        <w:rPr>
          <w:i/>
          <w:iCs/>
        </w:rPr>
        <w:t>S</w:t>
      </w:r>
      <w:r>
        <w:rPr>
          <w:vertAlign w:val="subscript"/>
        </w:rPr>
        <w:t>2</w:t>
      </w:r>
      <w:r>
        <w:rPr>
          <w:rFonts w:hint="eastAsia"/>
        </w:rPr>
        <w:t>＝</w:t>
      </w:r>
      <w:r>
        <w:t>0</w:t>
      </w:r>
      <w:r>
        <w:rPr>
          <w:rFonts w:hint="eastAsia"/>
        </w:rPr>
        <w:t>，编码器在</w:t>
      </w:r>
      <w:r>
        <w:rPr>
          <w:rFonts w:hint="eastAsia"/>
        </w:rPr>
        <w:t>4</w:t>
      </w:r>
      <w:r>
        <w:rPr>
          <w:rFonts w:hint="eastAsia"/>
        </w:rPr>
        <w:t>种不同输入条件下的稳态场强分布和时域稳态响应结果如图</w:t>
      </w:r>
      <w:r>
        <w:rPr>
          <w:rFonts w:hint="eastAsia"/>
        </w:rPr>
        <w:t>3</w:t>
      </w:r>
      <w:r>
        <w:rPr>
          <w:rFonts w:hint="eastAsia"/>
        </w:rPr>
        <w:t>所示。</w:t>
      </w:r>
    </w:p>
    <w:p w14:paraId="0B0E7485" w14:textId="2D2FA07C" w:rsidR="00C66954" w:rsidRDefault="00D965BB">
      <w:pPr>
        <w:jc w:val="center"/>
      </w:pPr>
      <w:r>
        <w:object w:dxaOrig="4455" w:dyaOrig="2985" w14:anchorId="66C9DB7B">
          <v:shape id="_x0000_i1032" type="#_x0000_t75" style="width:220.5pt;height:147pt" o:ole="">
            <v:imagedata r:id="rId22" o:title=""/>
          </v:shape>
          <o:OLEObject Type="Embed" ProgID="Visio.Drawing.15" ShapeID="_x0000_i1032" DrawAspect="Content" ObjectID="_1756703752" r:id="rId23"/>
        </w:object>
      </w:r>
      <w:r w:rsidR="00623A21">
        <w:object w:dxaOrig="3931" w:dyaOrig="3331" w14:anchorId="7E2BEDA2">
          <v:shape id="_x0000_i1033" type="#_x0000_t75" style="width:169pt;height:143pt" o:ole="">
            <v:imagedata r:id="rId24" o:title=""/>
          </v:shape>
          <o:OLEObject Type="Embed" ProgID="Visio.Drawing.15" ShapeID="_x0000_i1033" DrawAspect="Content" ObjectID="_1756703753" r:id="rId25"/>
        </w:object>
      </w:r>
    </w:p>
    <w:p w14:paraId="4498CF75" w14:textId="4B865A01" w:rsidR="00C66954" w:rsidRDefault="0052295A">
      <w:pPr>
        <w:jc w:val="center"/>
      </w:pPr>
      <w:r>
        <w:rPr>
          <w:sz w:val="16"/>
          <w:szCs w:val="16"/>
        </w:rPr>
        <w:t xml:space="preserve">   </w:t>
      </w:r>
      <w:r w:rsidR="00A773EE">
        <w:rPr>
          <w:rFonts w:hint="eastAsia"/>
          <w:sz w:val="16"/>
          <w:szCs w:val="16"/>
        </w:rPr>
        <w:t>(</w:t>
      </w:r>
      <w:r w:rsidR="00A773EE">
        <w:rPr>
          <w:sz w:val="16"/>
          <w:szCs w:val="16"/>
        </w:rPr>
        <w:t xml:space="preserve">a) </w:t>
      </w:r>
      <w:r>
        <w:rPr>
          <w:rFonts w:hint="eastAsia"/>
          <w:sz w:val="16"/>
          <w:szCs w:val="16"/>
        </w:rPr>
        <w:t>稳</w:t>
      </w:r>
      <w:r>
        <w:rPr>
          <w:sz w:val="16"/>
          <w:szCs w:val="16"/>
        </w:rPr>
        <w:t>态强度分布（</w:t>
      </w:r>
      <w:r w:rsidRPr="0052295A">
        <w:rPr>
          <w:i/>
          <w:iCs/>
          <w:sz w:val="15"/>
          <w:szCs w:val="15"/>
        </w:rPr>
        <w:t>I</w:t>
      </w:r>
      <w:r w:rsidRPr="0052295A">
        <w:rPr>
          <w:sz w:val="15"/>
          <w:szCs w:val="15"/>
          <w:vertAlign w:val="subscript"/>
        </w:rPr>
        <w:t>0</w:t>
      </w:r>
      <w:r w:rsidRPr="0052295A">
        <w:rPr>
          <w:rFonts w:hint="eastAsia"/>
          <w:sz w:val="15"/>
          <w:szCs w:val="15"/>
        </w:rPr>
        <w:t>＝</w:t>
      </w:r>
      <w:r w:rsidRPr="0052295A">
        <w:rPr>
          <w:sz w:val="15"/>
          <w:szCs w:val="15"/>
        </w:rPr>
        <w:t>1</w:t>
      </w:r>
      <w:r w:rsidRPr="0052295A">
        <w:rPr>
          <w:rFonts w:hint="eastAsia"/>
          <w:sz w:val="15"/>
          <w:szCs w:val="15"/>
        </w:rPr>
        <w:t>，</w:t>
      </w:r>
      <w:r w:rsidRPr="0052295A">
        <w:rPr>
          <w:i/>
          <w:iCs/>
          <w:sz w:val="15"/>
          <w:szCs w:val="15"/>
        </w:rPr>
        <w:t>I</w:t>
      </w:r>
      <w:r w:rsidRPr="0052295A">
        <w:rPr>
          <w:sz w:val="15"/>
          <w:szCs w:val="15"/>
          <w:vertAlign w:val="subscript"/>
        </w:rPr>
        <w:t>1</w:t>
      </w:r>
      <w:r w:rsidRPr="0052295A">
        <w:rPr>
          <w:rFonts w:hint="eastAsia"/>
          <w:sz w:val="15"/>
          <w:szCs w:val="15"/>
        </w:rPr>
        <w:t>＝</w:t>
      </w:r>
      <w:r w:rsidRPr="0052295A">
        <w:rPr>
          <w:sz w:val="15"/>
          <w:szCs w:val="15"/>
        </w:rPr>
        <w:t>0</w:t>
      </w:r>
      <w:r w:rsidRPr="0052295A">
        <w:rPr>
          <w:rFonts w:hint="eastAsia"/>
          <w:sz w:val="15"/>
          <w:szCs w:val="15"/>
        </w:rPr>
        <w:t>，</w:t>
      </w:r>
      <w:r w:rsidRPr="0052295A">
        <w:rPr>
          <w:i/>
          <w:iCs/>
          <w:sz w:val="15"/>
          <w:szCs w:val="15"/>
        </w:rPr>
        <w:t>I</w:t>
      </w:r>
      <w:r w:rsidRPr="0052295A">
        <w:rPr>
          <w:sz w:val="15"/>
          <w:szCs w:val="15"/>
          <w:vertAlign w:val="subscript"/>
        </w:rPr>
        <w:t>2</w:t>
      </w:r>
      <w:r w:rsidRPr="0052295A">
        <w:rPr>
          <w:rFonts w:hint="eastAsia"/>
          <w:sz w:val="15"/>
          <w:szCs w:val="15"/>
        </w:rPr>
        <w:t>＝</w:t>
      </w:r>
      <w:r w:rsidRPr="0052295A">
        <w:rPr>
          <w:sz w:val="15"/>
          <w:szCs w:val="15"/>
        </w:rPr>
        <w:t>0</w:t>
      </w:r>
      <w:r w:rsidRPr="0052295A">
        <w:rPr>
          <w:rFonts w:hint="eastAsia"/>
          <w:sz w:val="15"/>
          <w:szCs w:val="15"/>
        </w:rPr>
        <w:t>，</w:t>
      </w:r>
      <w:r w:rsidRPr="0052295A">
        <w:rPr>
          <w:i/>
          <w:iCs/>
          <w:sz w:val="15"/>
          <w:szCs w:val="15"/>
        </w:rPr>
        <w:t>I</w:t>
      </w:r>
      <w:r w:rsidRPr="0052295A">
        <w:rPr>
          <w:sz w:val="15"/>
          <w:szCs w:val="15"/>
          <w:vertAlign w:val="subscript"/>
        </w:rPr>
        <w:t>3</w:t>
      </w:r>
      <w:r w:rsidRPr="0052295A">
        <w:rPr>
          <w:rFonts w:hint="eastAsia"/>
          <w:sz w:val="15"/>
          <w:szCs w:val="15"/>
        </w:rPr>
        <w:t>＝</w:t>
      </w:r>
      <w:r w:rsidRPr="0052295A">
        <w:rPr>
          <w:sz w:val="15"/>
          <w:szCs w:val="15"/>
        </w:rPr>
        <w:t>0</w:t>
      </w:r>
      <w:r>
        <w:rPr>
          <w:sz w:val="16"/>
          <w:szCs w:val="16"/>
        </w:rPr>
        <w:t>）</w:t>
      </w:r>
      <w:r w:rsidR="00A773EE">
        <w:rPr>
          <w:sz w:val="16"/>
          <w:szCs w:val="16"/>
        </w:rPr>
        <w:t xml:space="preserve">             (b)</w:t>
      </w:r>
      <w:r>
        <w:rPr>
          <w:sz w:val="16"/>
          <w:szCs w:val="16"/>
        </w:rPr>
        <w:t xml:space="preserve"> </w:t>
      </w:r>
      <w:r>
        <w:rPr>
          <w:rFonts w:hint="eastAsia"/>
          <w:sz w:val="16"/>
          <w:szCs w:val="16"/>
        </w:rPr>
        <w:t>时域</w:t>
      </w:r>
      <w:r>
        <w:rPr>
          <w:sz w:val="16"/>
          <w:szCs w:val="16"/>
        </w:rPr>
        <w:t>稳态响应（</w:t>
      </w:r>
      <w:r w:rsidRPr="0052295A">
        <w:rPr>
          <w:i/>
          <w:iCs/>
          <w:sz w:val="15"/>
          <w:szCs w:val="15"/>
        </w:rPr>
        <w:t>I</w:t>
      </w:r>
      <w:r w:rsidRPr="0052295A">
        <w:rPr>
          <w:sz w:val="15"/>
          <w:szCs w:val="15"/>
          <w:vertAlign w:val="subscript"/>
        </w:rPr>
        <w:t>0</w:t>
      </w:r>
      <w:r w:rsidRPr="0052295A">
        <w:rPr>
          <w:rFonts w:hint="eastAsia"/>
          <w:sz w:val="15"/>
          <w:szCs w:val="15"/>
        </w:rPr>
        <w:t>＝</w:t>
      </w:r>
      <w:r w:rsidRPr="0052295A">
        <w:rPr>
          <w:sz w:val="15"/>
          <w:szCs w:val="15"/>
        </w:rPr>
        <w:t>1</w:t>
      </w:r>
      <w:r w:rsidRPr="0052295A">
        <w:rPr>
          <w:rFonts w:hint="eastAsia"/>
          <w:sz w:val="15"/>
          <w:szCs w:val="15"/>
        </w:rPr>
        <w:t>，</w:t>
      </w:r>
      <w:r w:rsidRPr="0052295A">
        <w:rPr>
          <w:i/>
          <w:iCs/>
          <w:sz w:val="15"/>
          <w:szCs w:val="15"/>
        </w:rPr>
        <w:t>I</w:t>
      </w:r>
      <w:r w:rsidRPr="0052295A">
        <w:rPr>
          <w:sz w:val="15"/>
          <w:szCs w:val="15"/>
          <w:vertAlign w:val="subscript"/>
        </w:rPr>
        <w:t>1</w:t>
      </w:r>
      <w:r w:rsidRPr="0052295A">
        <w:rPr>
          <w:rFonts w:hint="eastAsia"/>
          <w:sz w:val="15"/>
          <w:szCs w:val="15"/>
        </w:rPr>
        <w:t>＝</w:t>
      </w:r>
      <w:r w:rsidRPr="0052295A">
        <w:rPr>
          <w:sz w:val="15"/>
          <w:szCs w:val="15"/>
        </w:rPr>
        <w:t>0</w:t>
      </w:r>
      <w:r w:rsidRPr="0052295A">
        <w:rPr>
          <w:rFonts w:hint="eastAsia"/>
          <w:sz w:val="15"/>
          <w:szCs w:val="15"/>
        </w:rPr>
        <w:t>，</w:t>
      </w:r>
      <w:r w:rsidRPr="0052295A">
        <w:rPr>
          <w:i/>
          <w:iCs/>
          <w:sz w:val="15"/>
          <w:szCs w:val="15"/>
        </w:rPr>
        <w:t>I</w:t>
      </w:r>
      <w:r w:rsidRPr="0052295A">
        <w:rPr>
          <w:sz w:val="15"/>
          <w:szCs w:val="15"/>
          <w:vertAlign w:val="subscript"/>
        </w:rPr>
        <w:t>2</w:t>
      </w:r>
      <w:r w:rsidRPr="0052295A">
        <w:rPr>
          <w:rFonts w:hint="eastAsia"/>
          <w:sz w:val="15"/>
          <w:szCs w:val="15"/>
        </w:rPr>
        <w:t>＝</w:t>
      </w:r>
      <w:r w:rsidRPr="0052295A">
        <w:rPr>
          <w:sz w:val="15"/>
          <w:szCs w:val="15"/>
        </w:rPr>
        <w:t>0</w:t>
      </w:r>
      <w:r w:rsidRPr="0052295A">
        <w:rPr>
          <w:rFonts w:hint="eastAsia"/>
          <w:sz w:val="15"/>
          <w:szCs w:val="15"/>
        </w:rPr>
        <w:t>，</w:t>
      </w:r>
      <w:r w:rsidRPr="0052295A">
        <w:rPr>
          <w:i/>
          <w:iCs/>
          <w:sz w:val="15"/>
          <w:szCs w:val="15"/>
        </w:rPr>
        <w:t>I</w:t>
      </w:r>
      <w:r w:rsidRPr="0052295A">
        <w:rPr>
          <w:sz w:val="15"/>
          <w:szCs w:val="15"/>
          <w:vertAlign w:val="subscript"/>
        </w:rPr>
        <w:t>3</w:t>
      </w:r>
      <w:r w:rsidRPr="0052295A">
        <w:rPr>
          <w:rFonts w:hint="eastAsia"/>
          <w:sz w:val="15"/>
          <w:szCs w:val="15"/>
        </w:rPr>
        <w:t>＝</w:t>
      </w:r>
      <w:r w:rsidRPr="0052295A">
        <w:rPr>
          <w:sz w:val="15"/>
          <w:szCs w:val="15"/>
        </w:rPr>
        <w:t>0</w:t>
      </w:r>
      <w:r>
        <w:rPr>
          <w:sz w:val="16"/>
          <w:szCs w:val="16"/>
        </w:rPr>
        <w:t>）</w:t>
      </w:r>
    </w:p>
    <w:p w14:paraId="355B9DBC" w14:textId="64F1C983" w:rsidR="00C66954" w:rsidRDefault="00692480">
      <w:pPr>
        <w:jc w:val="center"/>
      </w:pPr>
      <w:r>
        <w:object w:dxaOrig="4461" w:dyaOrig="2991" w14:anchorId="023F61A0">
          <v:shape id="_x0000_i1034" type="#_x0000_t75" style="width:223pt;height:149.5pt" o:ole="">
            <v:imagedata r:id="rId26" o:title=""/>
          </v:shape>
          <o:OLEObject Type="Embed" ProgID="Visio.Drawing.15" ShapeID="_x0000_i1034" DrawAspect="Content" ObjectID="_1756703754" r:id="rId27"/>
        </w:object>
      </w:r>
      <w:r w:rsidR="0062538A">
        <w:object w:dxaOrig="3931" w:dyaOrig="3226" w14:anchorId="1E623401">
          <v:shape id="_x0000_i1035" type="#_x0000_t75" style="width:174.5pt;height:143pt" o:ole="">
            <v:imagedata r:id="rId28" o:title=""/>
          </v:shape>
          <o:OLEObject Type="Embed" ProgID="Visio.Drawing.15" ShapeID="_x0000_i1035" DrawAspect="Content" ObjectID="_1756703755" r:id="rId29"/>
        </w:object>
      </w:r>
    </w:p>
    <w:p w14:paraId="5B77983B" w14:textId="763551C8" w:rsidR="0052295A" w:rsidRDefault="0052295A" w:rsidP="0052295A">
      <w:pPr>
        <w:jc w:val="center"/>
      </w:pPr>
      <w:r>
        <w:rPr>
          <w:sz w:val="16"/>
          <w:szCs w:val="16"/>
        </w:rPr>
        <w:t xml:space="preserve">   </w:t>
      </w:r>
      <w:r>
        <w:rPr>
          <w:rFonts w:hint="eastAsia"/>
          <w:sz w:val="16"/>
          <w:szCs w:val="16"/>
        </w:rPr>
        <w:t>(</w:t>
      </w:r>
      <w:r w:rsidR="001555BD">
        <w:rPr>
          <w:sz w:val="16"/>
          <w:szCs w:val="16"/>
        </w:rPr>
        <w:t>c</w:t>
      </w:r>
      <w:r>
        <w:rPr>
          <w:sz w:val="16"/>
          <w:szCs w:val="16"/>
        </w:rPr>
        <w:t xml:space="preserve">) </w:t>
      </w:r>
      <w:r>
        <w:rPr>
          <w:rFonts w:hint="eastAsia"/>
          <w:sz w:val="16"/>
          <w:szCs w:val="16"/>
        </w:rPr>
        <w:t>稳</w:t>
      </w:r>
      <w:r>
        <w:rPr>
          <w:sz w:val="16"/>
          <w:szCs w:val="16"/>
        </w:rPr>
        <w:t>态强度分布（</w:t>
      </w:r>
      <w:r w:rsidR="001555BD">
        <w:rPr>
          <w:rFonts w:eastAsia="黑体"/>
          <w:i/>
          <w:iCs/>
          <w:sz w:val="15"/>
          <w:szCs w:val="15"/>
        </w:rPr>
        <w:t>I</w:t>
      </w:r>
      <w:r w:rsidR="001555BD">
        <w:rPr>
          <w:rFonts w:eastAsia="黑体"/>
          <w:sz w:val="15"/>
          <w:szCs w:val="15"/>
          <w:vertAlign w:val="subscript"/>
        </w:rPr>
        <w:t>0</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1</w:t>
      </w:r>
      <w:r w:rsidR="001555BD">
        <w:rPr>
          <w:rFonts w:eastAsia="黑体"/>
          <w:sz w:val="15"/>
          <w:szCs w:val="15"/>
        </w:rPr>
        <w:t>＝</w:t>
      </w:r>
      <w:r w:rsidR="001555BD">
        <w:rPr>
          <w:rFonts w:eastAsia="黑体"/>
          <w:sz w:val="15"/>
          <w:szCs w:val="15"/>
        </w:rPr>
        <w:t>1</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2</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3</w:t>
      </w:r>
      <w:r w:rsidR="001555BD">
        <w:rPr>
          <w:rFonts w:eastAsia="黑体"/>
          <w:sz w:val="15"/>
          <w:szCs w:val="15"/>
        </w:rPr>
        <w:t>＝</w:t>
      </w:r>
      <w:r w:rsidR="001555BD">
        <w:rPr>
          <w:rFonts w:eastAsia="黑体"/>
          <w:sz w:val="15"/>
          <w:szCs w:val="15"/>
        </w:rPr>
        <w:t>0</w:t>
      </w:r>
      <w:r>
        <w:rPr>
          <w:sz w:val="16"/>
          <w:szCs w:val="16"/>
        </w:rPr>
        <w:t>）</w:t>
      </w:r>
      <w:r>
        <w:rPr>
          <w:sz w:val="16"/>
          <w:szCs w:val="16"/>
        </w:rPr>
        <w:t xml:space="preserve">             (</w:t>
      </w:r>
      <w:r w:rsidR="001555BD">
        <w:rPr>
          <w:sz w:val="16"/>
          <w:szCs w:val="16"/>
        </w:rPr>
        <w:t>d</w:t>
      </w:r>
      <w:r>
        <w:rPr>
          <w:sz w:val="16"/>
          <w:szCs w:val="16"/>
        </w:rPr>
        <w:t xml:space="preserve">) </w:t>
      </w:r>
      <w:r>
        <w:rPr>
          <w:rFonts w:hint="eastAsia"/>
          <w:sz w:val="16"/>
          <w:szCs w:val="16"/>
        </w:rPr>
        <w:t>时域</w:t>
      </w:r>
      <w:r>
        <w:rPr>
          <w:sz w:val="16"/>
          <w:szCs w:val="16"/>
        </w:rPr>
        <w:t>稳态响应（</w:t>
      </w:r>
      <w:r w:rsidR="001555BD">
        <w:rPr>
          <w:rFonts w:eastAsia="黑体"/>
          <w:i/>
          <w:iCs/>
          <w:sz w:val="15"/>
          <w:szCs w:val="15"/>
        </w:rPr>
        <w:t>I</w:t>
      </w:r>
      <w:r w:rsidR="001555BD">
        <w:rPr>
          <w:rFonts w:eastAsia="黑体"/>
          <w:sz w:val="15"/>
          <w:szCs w:val="15"/>
          <w:vertAlign w:val="subscript"/>
        </w:rPr>
        <w:t>0</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1</w:t>
      </w:r>
      <w:r w:rsidR="001555BD">
        <w:rPr>
          <w:rFonts w:eastAsia="黑体"/>
          <w:sz w:val="15"/>
          <w:szCs w:val="15"/>
        </w:rPr>
        <w:t>＝</w:t>
      </w:r>
      <w:r w:rsidR="001555BD">
        <w:rPr>
          <w:rFonts w:eastAsia="黑体"/>
          <w:sz w:val="15"/>
          <w:szCs w:val="15"/>
        </w:rPr>
        <w:t>1</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2</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3</w:t>
      </w:r>
      <w:r w:rsidR="001555BD">
        <w:rPr>
          <w:rFonts w:eastAsia="黑体"/>
          <w:sz w:val="15"/>
          <w:szCs w:val="15"/>
        </w:rPr>
        <w:t>＝</w:t>
      </w:r>
      <w:r w:rsidR="001555BD">
        <w:rPr>
          <w:rFonts w:eastAsia="黑体"/>
          <w:sz w:val="15"/>
          <w:szCs w:val="15"/>
        </w:rPr>
        <w:t>0</w:t>
      </w:r>
      <w:r>
        <w:rPr>
          <w:sz w:val="16"/>
          <w:szCs w:val="16"/>
        </w:rPr>
        <w:t>）</w:t>
      </w:r>
    </w:p>
    <w:p w14:paraId="3B751AB9" w14:textId="401E2156" w:rsidR="00C66954" w:rsidRDefault="00692480">
      <w:pPr>
        <w:jc w:val="center"/>
        <w:rPr>
          <w:sz w:val="18"/>
          <w:szCs w:val="18"/>
        </w:rPr>
      </w:pPr>
      <w:r>
        <w:object w:dxaOrig="4461" w:dyaOrig="2991" w14:anchorId="51565ECB">
          <v:shape id="_x0000_i1036" type="#_x0000_t75" style="width:223pt;height:149.5pt" o:ole="">
            <v:imagedata r:id="rId30" o:title=""/>
          </v:shape>
          <o:OLEObject Type="Embed" ProgID="Visio.Drawing.15" ShapeID="_x0000_i1036" DrawAspect="Content" ObjectID="_1756703756" r:id="rId31"/>
        </w:object>
      </w:r>
      <w:r w:rsidR="00B071AC">
        <w:object w:dxaOrig="3931" w:dyaOrig="3226" w14:anchorId="7FF466BB">
          <v:shape id="_x0000_i1037" type="#_x0000_t75" style="width:175pt;height:2in" o:ole="">
            <v:imagedata r:id="rId32" o:title=""/>
          </v:shape>
          <o:OLEObject Type="Embed" ProgID="Visio.Drawing.15" ShapeID="_x0000_i1037" DrawAspect="Content" ObjectID="_1756703757" r:id="rId33"/>
        </w:object>
      </w:r>
    </w:p>
    <w:p w14:paraId="1617E6E1" w14:textId="13FF4E0D" w:rsidR="0052295A" w:rsidRDefault="0052295A" w:rsidP="0052295A">
      <w:pPr>
        <w:jc w:val="center"/>
      </w:pPr>
      <w:r>
        <w:rPr>
          <w:sz w:val="16"/>
          <w:szCs w:val="16"/>
        </w:rPr>
        <w:t xml:space="preserve">   </w:t>
      </w:r>
      <w:r>
        <w:rPr>
          <w:rFonts w:hint="eastAsia"/>
          <w:sz w:val="16"/>
          <w:szCs w:val="16"/>
        </w:rPr>
        <w:t>(</w:t>
      </w:r>
      <w:r w:rsidR="001555BD">
        <w:rPr>
          <w:sz w:val="16"/>
          <w:szCs w:val="16"/>
        </w:rPr>
        <w:t>e</w:t>
      </w:r>
      <w:r>
        <w:rPr>
          <w:sz w:val="16"/>
          <w:szCs w:val="16"/>
        </w:rPr>
        <w:t xml:space="preserve">) </w:t>
      </w:r>
      <w:r>
        <w:rPr>
          <w:rFonts w:hint="eastAsia"/>
          <w:sz w:val="16"/>
          <w:szCs w:val="16"/>
        </w:rPr>
        <w:t>稳</w:t>
      </w:r>
      <w:r>
        <w:rPr>
          <w:sz w:val="16"/>
          <w:szCs w:val="16"/>
        </w:rPr>
        <w:t>态强度分布（</w:t>
      </w:r>
      <w:r w:rsidR="001555BD">
        <w:rPr>
          <w:rFonts w:eastAsia="黑体"/>
          <w:i/>
          <w:iCs/>
          <w:sz w:val="15"/>
          <w:szCs w:val="15"/>
        </w:rPr>
        <w:t>I</w:t>
      </w:r>
      <w:r w:rsidR="001555BD">
        <w:rPr>
          <w:rFonts w:eastAsia="黑体"/>
          <w:sz w:val="15"/>
          <w:szCs w:val="15"/>
          <w:vertAlign w:val="subscript"/>
        </w:rPr>
        <w:t>0</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1</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2</w:t>
      </w:r>
      <w:r w:rsidR="001555BD">
        <w:rPr>
          <w:rFonts w:eastAsia="黑体"/>
          <w:sz w:val="15"/>
          <w:szCs w:val="15"/>
        </w:rPr>
        <w:t>＝</w:t>
      </w:r>
      <w:r w:rsidR="001555BD">
        <w:rPr>
          <w:rFonts w:eastAsia="黑体"/>
          <w:sz w:val="15"/>
          <w:szCs w:val="15"/>
        </w:rPr>
        <w:t>1</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3</w:t>
      </w:r>
      <w:r w:rsidR="001555BD">
        <w:rPr>
          <w:rFonts w:eastAsia="黑体"/>
          <w:sz w:val="15"/>
          <w:szCs w:val="15"/>
        </w:rPr>
        <w:t>＝</w:t>
      </w:r>
      <w:r w:rsidR="001555BD">
        <w:rPr>
          <w:rFonts w:eastAsia="黑体"/>
          <w:sz w:val="15"/>
          <w:szCs w:val="15"/>
        </w:rPr>
        <w:t>0</w:t>
      </w:r>
      <w:r>
        <w:rPr>
          <w:sz w:val="16"/>
          <w:szCs w:val="16"/>
        </w:rPr>
        <w:t>）</w:t>
      </w:r>
      <w:r>
        <w:rPr>
          <w:sz w:val="16"/>
          <w:szCs w:val="16"/>
        </w:rPr>
        <w:t xml:space="preserve">             (</w:t>
      </w:r>
      <w:r w:rsidR="001555BD">
        <w:rPr>
          <w:sz w:val="16"/>
          <w:szCs w:val="16"/>
        </w:rPr>
        <w:t>f</w:t>
      </w:r>
      <w:r>
        <w:rPr>
          <w:sz w:val="16"/>
          <w:szCs w:val="16"/>
        </w:rPr>
        <w:t xml:space="preserve">) </w:t>
      </w:r>
      <w:r>
        <w:rPr>
          <w:rFonts w:hint="eastAsia"/>
          <w:sz w:val="16"/>
          <w:szCs w:val="16"/>
        </w:rPr>
        <w:t>时域</w:t>
      </w:r>
      <w:r>
        <w:rPr>
          <w:sz w:val="16"/>
          <w:szCs w:val="16"/>
        </w:rPr>
        <w:t>稳态响应（</w:t>
      </w:r>
      <w:r w:rsidR="001555BD">
        <w:rPr>
          <w:rFonts w:eastAsia="黑体"/>
          <w:i/>
          <w:iCs/>
          <w:sz w:val="15"/>
          <w:szCs w:val="15"/>
        </w:rPr>
        <w:t>I</w:t>
      </w:r>
      <w:r w:rsidR="001555BD">
        <w:rPr>
          <w:rFonts w:eastAsia="黑体"/>
          <w:sz w:val="15"/>
          <w:szCs w:val="15"/>
          <w:vertAlign w:val="subscript"/>
        </w:rPr>
        <w:t>0</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1</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2</w:t>
      </w:r>
      <w:r w:rsidR="001555BD">
        <w:rPr>
          <w:rFonts w:eastAsia="黑体"/>
          <w:sz w:val="15"/>
          <w:szCs w:val="15"/>
        </w:rPr>
        <w:t>＝</w:t>
      </w:r>
      <w:r w:rsidR="001555BD">
        <w:rPr>
          <w:rFonts w:eastAsia="黑体"/>
          <w:sz w:val="15"/>
          <w:szCs w:val="15"/>
        </w:rPr>
        <w:t>1</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3</w:t>
      </w:r>
      <w:r w:rsidR="001555BD">
        <w:rPr>
          <w:rFonts w:eastAsia="黑体"/>
          <w:sz w:val="15"/>
          <w:szCs w:val="15"/>
        </w:rPr>
        <w:t>＝</w:t>
      </w:r>
      <w:r w:rsidR="001555BD">
        <w:rPr>
          <w:rFonts w:eastAsia="黑体"/>
          <w:sz w:val="15"/>
          <w:szCs w:val="15"/>
        </w:rPr>
        <w:t>0</w:t>
      </w:r>
      <w:r>
        <w:rPr>
          <w:sz w:val="16"/>
          <w:szCs w:val="16"/>
        </w:rPr>
        <w:t>）</w:t>
      </w:r>
    </w:p>
    <w:p w14:paraId="068DDCDF" w14:textId="6335B1AD" w:rsidR="00C66954" w:rsidRDefault="00692480">
      <w:pPr>
        <w:jc w:val="center"/>
        <w:rPr>
          <w:sz w:val="18"/>
          <w:szCs w:val="18"/>
        </w:rPr>
      </w:pPr>
      <w:r>
        <w:object w:dxaOrig="4461" w:dyaOrig="2991" w14:anchorId="04D13BE2">
          <v:shape id="_x0000_i1038" type="#_x0000_t75" style="width:223pt;height:149.5pt" o:ole="">
            <v:imagedata r:id="rId34" o:title=""/>
          </v:shape>
          <o:OLEObject Type="Embed" ProgID="Visio.Drawing.15" ShapeID="_x0000_i1038" DrawAspect="Content" ObjectID="_1756703758" r:id="rId35"/>
        </w:object>
      </w:r>
      <w:r w:rsidR="00B071AC">
        <w:object w:dxaOrig="3931" w:dyaOrig="3226" w14:anchorId="049E854D">
          <v:shape id="_x0000_i1039" type="#_x0000_t75" style="width:176.5pt;height:144.5pt" o:ole="">
            <v:imagedata r:id="rId36" o:title=""/>
          </v:shape>
          <o:OLEObject Type="Embed" ProgID="Visio.Drawing.15" ShapeID="_x0000_i1039" DrawAspect="Content" ObjectID="_1756703759" r:id="rId37"/>
        </w:object>
      </w:r>
    </w:p>
    <w:p w14:paraId="2E00F83E" w14:textId="2361F5AD" w:rsidR="0052295A" w:rsidRDefault="0052295A" w:rsidP="0052295A">
      <w:pPr>
        <w:jc w:val="center"/>
      </w:pPr>
      <w:r>
        <w:rPr>
          <w:sz w:val="16"/>
          <w:szCs w:val="16"/>
        </w:rPr>
        <w:t xml:space="preserve">   </w:t>
      </w:r>
      <w:r>
        <w:rPr>
          <w:rFonts w:hint="eastAsia"/>
          <w:sz w:val="16"/>
          <w:szCs w:val="16"/>
        </w:rPr>
        <w:t>(</w:t>
      </w:r>
      <w:r w:rsidR="001555BD">
        <w:rPr>
          <w:sz w:val="16"/>
          <w:szCs w:val="16"/>
        </w:rPr>
        <w:t>g</w:t>
      </w:r>
      <w:r>
        <w:rPr>
          <w:sz w:val="16"/>
          <w:szCs w:val="16"/>
        </w:rPr>
        <w:t xml:space="preserve">) </w:t>
      </w:r>
      <w:r>
        <w:rPr>
          <w:rFonts w:hint="eastAsia"/>
          <w:sz w:val="16"/>
          <w:szCs w:val="16"/>
        </w:rPr>
        <w:t>稳</w:t>
      </w:r>
      <w:r>
        <w:rPr>
          <w:sz w:val="16"/>
          <w:szCs w:val="16"/>
        </w:rPr>
        <w:t>态强度分布（</w:t>
      </w:r>
      <w:r w:rsidR="001555BD">
        <w:rPr>
          <w:rFonts w:eastAsia="黑体"/>
          <w:i/>
          <w:iCs/>
          <w:sz w:val="15"/>
          <w:szCs w:val="15"/>
        </w:rPr>
        <w:t>I</w:t>
      </w:r>
      <w:r w:rsidR="001555BD">
        <w:rPr>
          <w:rFonts w:eastAsia="黑体"/>
          <w:sz w:val="15"/>
          <w:szCs w:val="15"/>
          <w:vertAlign w:val="subscript"/>
        </w:rPr>
        <w:t>0</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1</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2</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3</w:t>
      </w:r>
      <w:r w:rsidR="001555BD">
        <w:rPr>
          <w:rFonts w:eastAsia="黑体"/>
          <w:sz w:val="15"/>
          <w:szCs w:val="15"/>
        </w:rPr>
        <w:t>＝</w:t>
      </w:r>
      <w:r w:rsidR="001555BD">
        <w:rPr>
          <w:rFonts w:eastAsia="黑体"/>
          <w:sz w:val="15"/>
          <w:szCs w:val="15"/>
        </w:rPr>
        <w:t>1</w:t>
      </w:r>
      <w:r>
        <w:rPr>
          <w:sz w:val="16"/>
          <w:szCs w:val="16"/>
        </w:rPr>
        <w:t>）</w:t>
      </w:r>
      <w:r>
        <w:rPr>
          <w:sz w:val="16"/>
          <w:szCs w:val="16"/>
        </w:rPr>
        <w:t xml:space="preserve">             (</w:t>
      </w:r>
      <w:r w:rsidR="001555BD">
        <w:rPr>
          <w:sz w:val="16"/>
          <w:szCs w:val="16"/>
        </w:rPr>
        <w:t>h</w:t>
      </w:r>
      <w:r>
        <w:rPr>
          <w:sz w:val="16"/>
          <w:szCs w:val="16"/>
        </w:rPr>
        <w:t xml:space="preserve">) </w:t>
      </w:r>
      <w:r>
        <w:rPr>
          <w:rFonts w:hint="eastAsia"/>
          <w:sz w:val="16"/>
          <w:szCs w:val="16"/>
        </w:rPr>
        <w:t>时域</w:t>
      </w:r>
      <w:r>
        <w:rPr>
          <w:sz w:val="16"/>
          <w:szCs w:val="16"/>
        </w:rPr>
        <w:t>稳态响应（</w:t>
      </w:r>
      <w:r w:rsidR="001555BD">
        <w:rPr>
          <w:rFonts w:eastAsia="黑体"/>
          <w:i/>
          <w:iCs/>
          <w:sz w:val="15"/>
          <w:szCs w:val="15"/>
        </w:rPr>
        <w:t>I</w:t>
      </w:r>
      <w:r w:rsidR="001555BD">
        <w:rPr>
          <w:rFonts w:eastAsia="黑体"/>
          <w:sz w:val="15"/>
          <w:szCs w:val="15"/>
          <w:vertAlign w:val="subscript"/>
        </w:rPr>
        <w:t>0</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1</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2</w:t>
      </w:r>
      <w:r w:rsidR="001555BD">
        <w:rPr>
          <w:rFonts w:eastAsia="黑体"/>
          <w:sz w:val="15"/>
          <w:szCs w:val="15"/>
        </w:rPr>
        <w:t>＝</w:t>
      </w:r>
      <w:r w:rsidR="001555BD">
        <w:rPr>
          <w:rFonts w:eastAsia="黑体"/>
          <w:sz w:val="15"/>
          <w:szCs w:val="15"/>
        </w:rPr>
        <w:t>0</w:t>
      </w:r>
      <w:r w:rsidR="001555BD">
        <w:rPr>
          <w:rFonts w:eastAsia="黑体"/>
          <w:sz w:val="15"/>
          <w:szCs w:val="15"/>
        </w:rPr>
        <w:t>，</w:t>
      </w:r>
      <w:r w:rsidR="001555BD">
        <w:rPr>
          <w:rFonts w:eastAsia="黑体"/>
          <w:i/>
          <w:iCs/>
          <w:sz w:val="15"/>
          <w:szCs w:val="15"/>
        </w:rPr>
        <w:t>I</w:t>
      </w:r>
      <w:r w:rsidR="001555BD">
        <w:rPr>
          <w:rFonts w:eastAsia="黑体"/>
          <w:sz w:val="15"/>
          <w:szCs w:val="15"/>
          <w:vertAlign w:val="subscript"/>
        </w:rPr>
        <w:t>3</w:t>
      </w:r>
      <w:r w:rsidR="001555BD">
        <w:rPr>
          <w:rFonts w:eastAsia="黑体"/>
          <w:sz w:val="15"/>
          <w:szCs w:val="15"/>
        </w:rPr>
        <w:t>＝</w:t>
      </w:r>
      <w:r w:rsidR="001555BD">
        <w:rPr>
          <w:rFonts w:eastAsia="黑体"/>
          <w:sz w:val="15"/>
          <w:szCs w:val="15"/>
        </w:rPr>
        <w:t>1</w:t>
      </w:r>
      <w:r>
        <w:rPr>
          <w:sz w:val="16"/>
          <w:szCs w:val="16"/>
        </w:rPr>
        <w:t>）</w:t>
      </w:r>
    </w:p>
    <w:p w14:paraId="5AE82F23" w14:textId="001ABB8D" w:rsidR="00C66954" w:rsidRDefault="00A773EE">
      <w:pPr>
        <w:autoSpaceDE w:val="0"/>
        <w:autoSpaceDN w:val="0"/>
        <w:jc w:val="center"/>
        <w:rPr>
          <w:rFonts w:eastAsia="黑体"/>
          <w:sz w:val="15"/>
          <w:szCs w:val="15"/>
        </w:rPr>
      </w:pPr>
      <w:r>
        <w:rPr>
          <w:rFonts w:ascii="黑体" w:eastAsia="黑体" w:hAnsi="黑体"/>
          <w:sz w:val="15"/>
          <w:szCs w:val="15"/>
        </w:rPr>
        <w:t>图</w:t>
      </w:r>
      <w:r>
        <w:rPr>
          <w:rFonts w:ascii="黑体" w:eastAsia="黑体" w:hAnsi="黑体" w:hint="eastAsia"/>
          <w:sz w:val="15"/>
          <w:szCs w:val="15"/>
        </w:rPr>
        <w:t xml:space="preserve"> </w:t>
      </w:r>
      <w:r>
        <w:rPr>
          <w:rFonts w:ascii="黑体" w:eastAsia="黑体" w:hAnsi="黑体"/>
          <w:sz w:val="15"/>
          <w:szCs w:val="15"/>
        </w:rPr>
        <w:t>3</w:t>
      </w:r>
      <w:r>
        <w:rPr>
          <w:rFonts w:eastAsia="黑体"/>
          <w:sz w:val="15"/>
          <w:szCs w:val="15"/>
        </w:rPr>
        <w:t xml:space="preserve"> </w:t>
      </w:r>
      <w:r>
        <w:rPr>
          <w:rFonts w:eastAsia="黑体"/>
          <w:sz w:val="15"/>
          <w:szCs w:val="15"/>
        </w:rPr>
        <w:t>编码器的稳态场强分布和时域稳态响应图</w:t>
      </w:r>
    </w:p>
    <w:p w14:paraId="18653D04" w14:textId="77777777" w:rsidR="00C66954" w:rsidRDefault="00C66954">
      <w:pPr>
        <w:jc w:val="center"/>
        <w:rPr>
          <w:sz w:val="18"/>
          <w:szCs w:val="18"/>
        </w:rPr>
      </w:pPr>
    </w:p>
    <w:p w14:paraId="7EE27A1F" w14:textId="3CF70E97" w:rsidR="00C66954" w:rsidRPr="00264383" w:rsidRDefault="00A773EE">
      <w:pPr>
        <w:ind w:firstLineChars="200" w:firstLine="420"/>
        <w:rPr>
          <w:rFonts w:ascii="宋体" w:hAnsi="宋体"/>
        </w:rPr>
      </w:pPr>
      <w:r>
        <w:rPr>
          <w:rFonts w:hint="eastAsia"/>
        </w:rPr>
        <w:t>1</w:t>
      </w:r>
      <w:r>
        <w:rPr>
          <w:rFonts w:hint="eastAsia"/>
        </w:rPr>
        <w:t>）</w:t>
      </w:r>
      <w:r>
        <w:t>当</w:t>
      </w:r>
      <w:r>
        <w:rPr>
          <w:i/>
          <w:iCs/>
        </w:rPr>
        <w:t>I</w:t>
      </w:r>
      <w:r>
        <w:rPr>
          <w:vertAlign w:val="subscript"/>
        </w:rPr>
        <w:t>0</w:t>
      </w:r>
      <w:r>
        <w:rPr>
          <w:rFonts w:hint="eastAsia"/>
        </w:rPr>
        <w:t>＝</w:t>
      </w:r>
      <w:r>
        <w:t>1</w:t>
      </w:r>
      <w:r>
        <w:rPr>
          <w:rFonts w:hint="eastAsia"/>
        </w:rPr>
        <w:t>，</w:t>
      </w:r>
      <w:r>
        <w:rPr>
          <w:i/>
          <w:iCs/>
        </w:rPr>
        <w:t>I</w:t>
      </w:r>
      <w:r>
        <w:rPr>
          <w:vertAlign w:val="subscript"/>
        </w:rPr>
        <w:t>1</w:t>
      </w:r>
      <w:r>
        <w:rPr>
          <w:rFonts w:hint="eastAsia"/>
        </w:rPr>
        <w:t>＝</w:t>
      </w:r>
      <w:r>
        <w:t>0</w:t>
      </w:r>
      <w:r>
        <w:rPr>
          <w:rFonts w:hint="eastAsia"/>
        </w:rPr>
        <w:t>，</w:t>
      </w:r>
      <w:r>
        <w:rPr>
          <w:i/>
          <w:iCs/>
        </w:rPr>
        <w:t>I</w:t>
      </w:r>
      <w:r>
        <w:rPr>
          <w:vertAlign w:val="subscript"/>
        </w:rPr>
        <w:t>2</w:t>
      </w:r>
      <w:r>
        <w:rPr>
          <w:rFonts w:hint="eastAsia"/>
        </w:rPr>
        <w:t>＝</w:t>
      </w:r>
      <w:r>
        <w:t>0</w:t>
      </w:r>
      <w:r>
        <w:rPr>
          <w:rFonts w:hint="eastAsia"/>
        </w:rPr>
        <w:t>，</w:t>
      </w:r>
      <w:r>
        <w:rPr>
          <w:i/>
          <w:iCs/>
        </w:rPr>
        <w:t>I</w:t>
      </w:r>
      <w:r>
        <w:rPr>
          <w:vertAlign w:val="subscript"/>
        </w:rPr>
        <w:t>3</w:t>
      </w:r>
      <w:r>
        <w:rPr>
          <w:rFonts w:hint="eastAsia"/>
        </w:rPr>
        <w:t>＝</w:t>
      </w:r>
      <w:r>
        <w:t>0</w:t>
      </w:r>
      <w:r w:rsidR="005757F5">
        <w:rPr>
          <w:rFonts w:hint="eastAsia"/>
        </w:rPr>
        <w:t>时</w:t>
      </w:r>
      <w:r w:rsidRPr="00264383">
        <w:rPr>
          <w:rFonts w:hint="eastAsia"/>
        </w:rPr>
        <w:t>，</w:t>
      </w:r>
      <w:r w:rsidR="00397CFD" w:rsidRPr="00264383">
        <w:rPr>
          <w:rFonts w:hint="eastAsia"/>
        </w:rPr>
        <w:t>编码器的</w:t>
      </w:r>
      <w:r w:rsidR="00785FDB" w:rsidRPr="00264383">
        <w:rPr>
          <w:rFonts w:hint="eastAsia"/>
        </w:rPr>
        <w:t>稳态场强分布和时域稳态响应</w:t>
      </w:r>
      <w:r w:rsidR="00397CFD" w:rsidRPr="00264383">
        <w:rPr>
          <w:rFonts w:hint="eastAsia"/>
        </w:rPr>
        <w:t>如图</w:t>
      </w:r>
      <w:r w:rsidR="00397CFD" w:rsidRPr="00264383">
        <w:rPr>
          <w:rFonts w:hint="eastAsia"/>
        </w:rPr>
        <w:t>3</w:t>
      </w:r>
      <w:r w:rsidR="00397CFD" w:rsidRPr="00264383">
        <w:rPr>
          <w:rFonts w:hint="eastAsia"/>
        </w:rPr>
        <w:t>（</w:t>
      </w:r>
      <w:r w:rsidR="00397CFD" w:rsidRPr="00264383">
        <w:rPr>
          <w:rFonts w:hint="eastAsia"/>
        </w:rPr>
        <w:t>a</w:t>
      </w:r>
      <w:r w:rsidR="00397CFD" w:rsidRPr="00264383">
        <w:rPr>
          <w:rFonts w:hint="eastAsia"/>
        </w:rPr>
        <w:t>）和</w:t>
      </w:r>
      <w:r w:rsidR="000C7DF8" w:rsidRPr="00264383">
        <w:rPr>
          <w:rFonts w:hint="eastAsia"/>
        </w:rPr>
        <w:t>图</w:t>
      </w:r>
      <w:r w:rsidR="000C7DF8" w:rsidRPr="00264383">
        <w:rPr>
          <w:rFonts w:hint="eastAsia"/>
        </w:rPr>
        <w:t>3</w:t>
      </w:r>
      <w:r w:rsidR="00397CFD" w:rsidRPr="00264383">
        <w:rPr>
          <w:rFonts w:hint="eastAsia"/>
        </w:rPr>
        <w:t>（</w:t>
      </w:r>
      <w:r w:rsidR="00397CFD" w:rsidRPr="00264383">
        <w:rPr>
          <w:rFonts w:hint="eastAsia"/>
        </w:rPr>
        <w:t>b</w:t>
      </w:r>
      <w:r w:rsidR="00397CFD" w:rsidRPr="00264383">
        <w:rPr>
          <w:rFonts w:hint="eastAsia"/>
        </w:rPr>
        <w:t>）所示。</w:t>
      </w:r>
      <w:r w:rsidR="00D906B4" w:rsidRPr="00264383">
        <w:rPr>
          <w:rFonts w:hint="eastAsia"/>
        </w:rPr>
        <w:t>从图</w:t>
      </w:r>
      <w:r w:rsidR="00D906B4" w:rsidRPr="00264383">
        <w:rPr>
          <w:rFonts w:hint="eastAsia"/>
        </w:rPr>
        <w:t>3</w:t>
      </w:r>
      <w:r w:rsidR="00D906B4" w:rsidRPr="00264383">
        <w:rPr>
          <w:rFonts w:hint="eastAsia"/>
        </w:rPr>
        <w:t>（</w:t>
      </w:r>
      <w:r w:rsidR="00D906B4" w:rsidRPr="00264383">
        <w:rPr>
          <w:rFonts w:hint="eastAsia"/>
        </w:rPr>
        <w:t>a</w:t>
      </w:r>
      <w:r w:rsidR="00D906B4" w:rsidRPr="00264383">
        <w:rPr>
          <w:rFonts w:hint="eastAsia"/>
        </w:rPr>
        <w:t>）可以看出，输入光被局域在波导</w:t>
      </w:r>
      <w:r w:rsidR="00D906B4" w:rsidRPr="00264383">
        <w:rPr>
          <w:rFonts w:hint="eastAsia"/>
          <w:i/>
          <w:iCs/>
        </w:rPr>
        <w:t>W</w:t>
      </w:r>
      <w:r w:rsidR="00D906B4" w:rsidRPr="00264383">
        <w:rPr>
          <w:vertAlign w:val="subscript"/>
        </w:rPr>
        <w:t>0</w:t>
      </w:r>
      <w:r w:rsidR="00D906B4" w:rsidRPr="00264383">
        <w:rPr>
          <w:rFonts w:hint="eastAsia"/>
        </w:rPr>
        <w:t>中传输，这是因为</w:t>
      </w:r>
      <w:r w:rsidRPr="00264383">
        <w:t>波导</w:t>
      </w:r>
      <w:r w:rsidRPr="00264383">
        <w:rPr>
          <w:i/>
          <w:iCs/>
        </w:rPr>
        <w:t>Ｗ</w:t>
      </w:r>
      <w:r w:rsidRPr="00264383">
        <w:rPr>
          <w:vertAlign w:val="subscript"/>
        </w:rPr>
        <w:t>0</w:t>
      </w:r>
      <w:r w:rsidRPr="00264383">
        <w:t>与波导</w:t>
      </w:r>
      <w:r w:rsidRPr="00264383">
        <w:rPr>
          <w:i/>
          <w:iCs/>
        </w:rPr>
        <w:t>Ｗ</w:t>
      </w:r>
      <w:r w:rsidRPr="00264383">
        <w:rPr>
          <w:vertAlign w:val="subscript"/>
        </w:rPr>
        <w:t>4</w:t>
      </w:r>
      <w:r w:rsidRPr="00264383">
        <w:t>以及</w:t>
      </w:r>
      <w:r w:rsidRPr="00264383">
        <w:rPr>
          <w:i/>
          <w:iCs/>
        </w:rPr>
        <w:t>W</w:t>
      </w:r>
      <w:r w:rsidRPr="00264383">
        <w:rPr>
          <w:vertAlign w:val="subscript"/>
        </w:rPr>
        <w:t xml:space="preserve">5 </w:t>
      </w:r>
      <w:r w:rsidRPr="00264383">
        <w:t>分别相隔</w:t>
      </w:r>
      <w:r w:rsidRPr="00264383">
        <w:t xml:space="preserve"> 3 </w:t>
      </w:r>
      <w:r w:rsidRPr="00264383">
        <w:t>排介质柱，</w:t>
      </w:r>
      <w:r w:rsidRPr="00264383">
        <w:rPr>
          <w:rFonts w:hint="eastAsia"/>
        </w:rPr>
        <w:t>由于光子晶体的局域特性，</w:t>
      </w:r>
      <w:r w:rsidRPr="00264383">
        <w:t>在</w:t>
      </w:r>
      <w:r w:rsidRPr="00264383">
        <w:rPr>
          <w:i/>
          <w:iCs/>
        </w:rPr>
        <w:t>W</w:t>
      </w:r>
      <w:r w:rsidRPr="00264383">
        <w:rPr>
          <w:vertAlign w:val="subscript"/>
        </w:rPr>
        <w:t>0</w:t>
      </w:r>
      <w:r w:rsidRPr="00264383">
        <w:t>波导中传输的太赫兹波不会被耦合进波导</w:t>
      </w:r>
      <w:r w:rsidRPr="00264383">
        <w:t xml:space="preserve"> </w:t>
      </w:r>
      <w:r w:rsidRPr="00264383">
        <w:rPr>
          <w:i/>
          <w:iCs/>
        </w:rPr>
        <w:t>W</w:t>
      </w:r>
      <w:r w:rsidRPr="00264383">
        <w:rPr>
          <w:vertAlign w:val="subscript"/>
        </w:rPr>
        <w:t>4</w:t>
      </w:r>
      <w:r w:rsidRPr="00264383">
        <w:t>和</w:t>
      </w:r>
      <w:r w:rsidRPr="00264383">
        <w:rPr>
          <w:i/>
          <w:iCs/>
        </w:rPr>
        <w:t>W</w:t>
      </w:r>
      <w:r w:rsidRPr="00264383">
        <w:rPr>
          <w:vertAlign w:val="subscript"/>
        </w:rPr>
        <w:t>5</w:t>
      </w:r>
      <w:r w:rsidRPr="00264383">
        <w:t xml:space="preserve"> </w:t>
      </w:r>
      <w:r w:rsidRPr="00264383">
        <w:t>中</w:t>
      </w:r>
      <w:r w:rsidRPr="00264383">
        <w:fldChar w:fldCharType="begin"/>
      </w:r>
      <w:r w:rsidRPr="00264383">
        <w:instrText xml:space="preserve"> ADDIN EN.CITE &lt;EndNote&gt;&lt;Cite&gt;&lt;Author&gt;Ahmad&lt;/Author&gt;&lt;Year&gt;2020&lt;/Year&gt;&lt;RecNum&gt;83&lt;/RecNum&gt;&lt;DisplayText&gt;&lt;style face="superscript"&gt;[23]&lt;/style&gt;&lt;/DisplayText&gt;&lt;record&gt;&lt;rec-number&gt;83&lt;/rec-number&gt;&lt;foreign-keys&gt;&lt;key app="EN" db-id="0ssv2xspr9xve1eaddtpfp9fdx9wp2dxp09t" timestamp="1687772916"&gt;83&lt;/key&gt;&lt;/foreign-keys&gt;&lt;ref-type name="Journal Article"&gt;17&lt;/ref-type&gt;&lt;contributors&gt;&lt;authors&gt;&lt;author&gt;Mohebzadeh-Bahabady Ahmad&lt;/author&gt;&lt;author&gt;Olyaee Saeed&lt;/author&gt;&lt;/authors&gt;&lt;secondary-authors&gt;&lt;author&gt;MOHEBZADEH-BAHABADY AHMAD&lt;/author&gt;&lt;author&gt;OLYAEE SAEED&lt;/author&gt;&lt;/secondary-authors&gt;&lt;/contributors&gt;&lt;titles&gt;&lt;title&gt;Designing an ultra-compact all-optical 4-to-2 encoderand investigating its optical power consumption&lt;/title&gt;&lt;secondary-title&gt;Applied Optics&lt;/secondary-title&gt;&lt;/titles&gt;&lt;periodical&gt;&lt;full-title&gt;Appl Opt&lt;/full-title&gt;&lt;abbr-1&gt;Applied optics&lt;/abbr-1&gt;&lt;/periodical&gt;&lt;pages&gt;2409-2415&lt;/pages&gt;&lt;volume&gt;59&lt;/volume&gt;&lt;number&gt;8&lt;/number&gt;&lt;dates&gt;&lt;year&gt;2020&lt;/year&gt;&lt;/dates&gt;&lt;urls&gt;&lt;/urls&gt;&lt;/record&gt;&lt;/Cite&gt;&lt;/EndNote&gt;</w:instrText>
      </w:r>
      <w:r w:rsidRPr="00264383">
        <w:fldChar w:fldCharType="separate"/>
      </w:r>
      <w:r w:rsidRPr="00264383">
        <w:rPr>
          <w:vertAlign w:val="superscript"/>
        </w:rPr>
        <w:t>[23]</w:t>
      </w:r>
      <w:r w:rsidRPr="00264383">
        <w:fldChar w:fldCharType="end"/>
      </w:r>
      <w:r w:rsidRPr="00264383">
        <w:t>，此时，</w:t>
      </w:r>
      <w:r w:rsidRPr="00264383">
        <w:rPr>
          <w:rFonts w:hint="eastAsia"/>
        </w:rPr>
        <w:t>由时域稳态响应得到</w:t>
      </w:r>
      <w:r w:rsidRPr="00264383">
        <w:t>输出端口</w:t>
      </w:r>
      <w:r w:rsidRPr="00264383">
        <w:rPr>
          <w:rFonts w:hint="eastAsia"/>
          <w:i/>
          <w:iCs/>
        </w:rPr>
        <w:t>O</w:t>
      </w:r>
      <w:r w:rsidRPr="00264383">
        <w:rPr>
          <w:vertAlign w:val="subscript"/>
        </w:rPr>
        <w:t>0</w:t>
      </w:r>
      <w:r w:rsidRPr="00264383">
        <w:t>和</w:t>
      </w:r>
      <w:r w:rsidRPr="00264383">
        <w:rPr>
          <w:rFonts w:hint="eastAsia"/>
          <w:i/>
          <w:iCs/>
        </w:rPr>
        <w:t>O</w:t>
      </w:r>
      <w:r w:rsidRPr="00264383">
        <w:rPr>
          <w:vertAlign w:val="subscript"/>
        </w:rPr>
        <w:t>1</w:t>
      </w:r>
      <w:r w:rsidRPr="00264383">
        <w:rPr>
          <w:rFonts w:hint="eastAsia"/>
        </w:rPr>
        <w:t>的透过率约</w:t>
      </w:r>
      <w:r w:rsidRPr="00264383">
        <w:t>为</w:t>
      </w:r>
      <w:r w:rsidRPr="00264383">
        <w:t>0</w:t>
      </w:r>
      <w:r w:rsidR="000C7DF8">
        <w:rPr>
          <w:rFonts w:hint="eastAsia"/>
        </w:rPr>
        <w:t>，</w:t>
      </w:r>
      <w:r w:rsidRPr="00264383">
        <w:rPr>
          <w:rFonts w:hint="eastAsia"/>
        </w:rPr>
        <w:t>即逻辑值</w:t>
      </w:r>
      <w:r w:rsidRPr="00264383">
        <w:rPr>
          <w:i/>
          <w:iCs/>
        </w:rPr>
        <w:t>O</w:t>
      </w:r>
      <w:r w:rsidRPr="00264383">
        <w:rPr>
          <w:vertAlign w:val="subscript"/>
        </w:rPr>
        <w:t>1</w:t>
      </w:r>
      <w:r w:rsidRPr="00264383">
        <w:rPr>
          <w:rFonts w:hint="eastAsia"/>
        </w:rPr>
        <w:t>＝</w:t>
      </w:r>
      <w:r w:rsidRPr="00264383">
        <w:t>0</w:t>
      </w:r>
      <w:r w:rsidRPr="00264383">
        <w:t>，</w:t>
      </w:r>
      <w:r w:rsidRPr="00264383">
        <w:rPr>
          <w:i/>
          <w:iCs/>
        </w:rPr>
        <w:t>O</w:t>
      </w:r>
      <w:r w:rsidRPr="00264383">
        <w:rPr>
          <w:vertAlign w:val="subscript"/>
        </w:rPr>
        <w:t>0</w:t>
      </w:r>
      <w:r w:rsidRPr="00264383">
        <w:rPr>
          <w:rFonts w:hint="eastAsia"/>
        </w:rPr>
        <w:t>＝</w:t>
      </w:r>
      <w:r w:rsidRPr="00264383">
        <w:t>0</w:t>
      </w:r>
      <w:r w:rsidRPr="00264383">
        <w:t>。</w:t>
      </w:r>
    </w:p>
    <w:p w14:paraId="5173F5E4" w14:textId="59B8D75C" w:rsidR="00C66954" w:rsidRPr="00264383" w:rsidRDefault="00A773EE">
      <w:pPr>
        <w:ind w:firstLineChars="200" w:firstLine="420"/>
      </w:pPr>
      <w:r w:rsidRPr="00264383">
        <w:rPr>
          <w:rFonts w:hint="eastAsia"/>
        </w:rPr>
        <w:t>2</w:t>
      </w:r>
      <w:r w:rsidRPr="00264383">
        <w:rPr>
          <w:rFonts w:hint="eastAsia"/>
        </w:rPr>
        <w:t>）</w:t>
      </w:r>
      <w:r w:rsidRPr="00264383">
        <w:t>当</w:t>
      </w:r>
      <w:r w:rsidRPr="00264383">
        <w:rPr>
          <w:i/>
          <w:iCs/>
        </w:rPr>
        <w:t>I</w:t>
      </w:r>
      <w:r w:rsidRPr="00264383">
        <w:rPr>
          <w:vertAlign w:val="subscript"/>
        </w:rPr>
        <w:t>0</w:t>
      </w:r>
      <w:r w:rsidRPr="00264383">
        <w:rPr>
          <w:rFonts w:hint="eastAsia"/>
        </w:rPr>
        <w:t>＝</w:t>
      </w:r>
      <w:r w:rsidRPr="00264383">
        <w:t>0</w:t>
      </w:r>
      <w:r w:rsidRPr="00264383">
        <w:rPr>
          <w:rFonts w:hint="eastAsia"/>
        </w:rPr>
        <w:t>，</w:t>
      </w:r>
      <w:r w:rsidRPr="00264383">
        <w:rPr>
          <w:i/>
          <w:iCs/>
        </w:rPr>
        <w:t>I</w:t>
      </w:r>
      <w:r w:rsidRPr="00264383">
        <w:rPr>
          <w:vertAlign w:val="subscript"/>
        </w:rPr>
        <w:t>1</w:t>
      </w:r>
      <w:r w:rsidRPr="00264383">
        <w:rPr>
          <w:rFonts w:hint="eastAsia"/>
        </w:rPr>
        <w:t>＝</w:t>
      </w:r>
      <w:r w:rsidRPr="00264383">
        <w:t>1</w:t>
      </w:r>
      <w:r w:rsidRPr="00264383">
        <w:rPr>
          <w:rFonts w:hint="eastAsia"/>
        </w:rPr>
        <w:t>，</w:t>
      </w:r>
      <w:r w:rsidRPr="00264383">
        <w:rPr>
          <w:i/>
          <w:iCs/>
        </w:rPr>
        <w:t>I</w:t>
      </w:r>
      <w:r w:rsidRPr="00264383">
        <w:rPr>
          <w:vertAlign w:val="subscript"/>
        </w:rPr>
        <w:t>2</w:t>
      </w:r>
      <w:r w:rsidRPr="00264383">
        <w:rPr>
          <w:rFonts w:hint="eastAsia"/>
        </w:rPr>
        <w:t>＝</w:t>
      </w:r>
      <w:r w:rsidRPr="00264383">
        <w:t>0</w:t>
      </w:r>
      <w:r w:rsidRPr="00264383">
        <w:rPr>
          <w:rFonts w:hint="eastAsia"/>
        </w:rPr>
        <w:t>，</w:t>
      </w:r>
      <w:r w:rsidRPr="00264383">
        <w:rPr>
          <w:i/>
          <w:iCs/>
        </w:rPr>
        <w:t>I</w:t>
      </w:r>
      <w:r w:rsidRPr="00264383">
        <w:rPr>
          <w:vertAlign w:val="subscript"/>
        </w:rPr>
        <w:t>3</w:t>
      </w:r>
      <w:r w:rsidRPr="00264383">
        <w:rPr>
          <w:rFonts w:hint="eastAsia"/>
        </w:rPr>
        <w:t>＝</w:t>
      </w:r>
      <w:r w:rsidRPr="00264383">
        <w:t>0</w:t>
      </w:r>
      <w:r w:rsidR="005757F5">
        <w:rPr>
          <w:rFonts w:hint="eastAsia"/>
        </w:rPr>
        <w:t>时</w:t>
      </w:r>
      <w:r w:rsidRPr="00264383">
        <w:rPr>
          <w:rFonts w:hint="eastAsia"/>
        </w:rPr>
        <w:t>，</w:t>
      </w:r>
      <w:r w:rsidR="00785FDB" w:rsidRPr="00264383">
        <w:rPr>
          <w:rFonts w:hint="eastAsia"/>
        </w:rPr>
        <w:t>编码器的稳态场强分布和时域稳态响应</w:t>
      </w:r>
      <w:r w:rsidR="00397CFD" w:rsidRPr="00264383">
        <w:rPr>
          <w:rFonts w:hint="eastAsia"/>
        </w:rPr>
        <w:t>如图</w:t>
      </w:r>
      <w:r w:rsidR="00397CFD" w:rsidRPr="00264383">
        <w:rPr>
          <w:rFonts w:hint="eastAsia"/>
        </w:rPr>
        <w:t>3</w:t>
      </w:r>
      <w:r w:rsidR="00397CFD" w:rsidRPr="00264383">
        <w:rPr>
          <w:rFonts w:hint="eastAsia"/>
        </w:rPr>
        <w:t>（</w:t>
      </w:r>
      <w:r w:rsidR="00397CFD" w:rsidRPr="00264383">
        <w:rPr>
          <w:rFonts w:hint="eastAsia"/>
        </w:rPr>
        <w:t>c</w:t>
      </w:r>
      <w:r w:rsidR="00397CFD" w:rsidRPr="00264383">
        <w:rPr>
          <w:rFonts w:hint="eastAsia"/>
        </w:rPr>
        <w:t>）和</w:t>
      </w:r>
      <w:r w:rsidR="000C7DF8" w:rsidRPr="00264383">
        <w:rPr>
          <w:rFonts w:hint="eastAsia"/>
        </w:rPr>
        <w:t>图</w:t>
      </w:r>
      <w:r w:rsidR="000C7DF8" w:rsidRPr="00264383">
        <w:rPr>
          <w:rFonts w:hint="eastAsia"/>
        </w:rPr>
        <w:t>3</w:t>
      </w:r>
      <w:r w:rsidR="00397CFD" w:rsidRPr="00264383">
        <w:rPr>
          <w:rFonts w:hint="eastAsia"/>
        </w:rPr>
        <w:t>（</w:t>
      </w:r>
      <w:r w:rsidR="00397CFD" w:rsidRPr="00264383">
        <w:t>d</w:t>
      </w:r>
      <w:r w:rsidR="00397CFD" w:rsidRPr="00264383">
        <w:rPr>
          <w:rFonts w:hint="eastAsia"/>
        </w:rPr>
        <w:t>）所示。</w:t>
      </w:r>
      <w:r w:rsidRPr="00264383">
        <w:t>由时域稳态响应</w:t>
      </w:r>
      <w:r w:rsidRPr="00264383">
        <w:rPr>
          <w:rFonts w:hint="eastAsia"/>
        </w:rPr>
        <w:t>可以</w:t>
      </w:r>
      <w:r w:rsidRPr="00264383">
        <w:t>得到输出端口</w:t>
      </w:r>
      <w:r w:rsidRPr="00264383">
        <w:rPr>
          <w:i/>
          <w:iCs/>
        </w:rPr>
        <w:t>O</w:t>
      </w:r>
      <w:r w:rsidRPr="00264383">
        <w:rPr>
          <w:rFonts w:hint="eastAsia"/>
          <w:vertAlign w:val="subscript"/>
        </w:rPr>
        <w:t>0</w:t>
      </w:r>
      <w:r w:rsidRPr="00264383">
        <w:t>的透过率</w:t>
      </w:r>
      <w:r w:rsidRPr="00264383">
        <w:rPr>
          <w:rFonts w:hint="eastAsia"/>
        </w:rPr>
        <w:t>约</w:t>
      </w:r>
      <w:r w:rsidRPr="00264383">
        <w:t>为</w:t>
      </w:r>
      <w:r w:rsidRPr="00264383">
        <w:t>97.38%</w:t>
      </w:r>
      <w:r w:rsidRPr="00264383">
        <w:rPr>
          <w:rFonts w:hint="eastAsia"/>
        </w:rPr>
        <w:t>，大于</w:t>
      </w:r>
      <w:r w:rsidRPr="00264383">
        <w:rPr>
          <w:rFonts w:hint="eastAsia"/>
        </w:rPr>
        <w:t>4</w:t>
      </w:r>
      <w:r w:rsidRPr="00264383">
        <w:t>0%</w:t>
      </w:r>
      <w:r w:rsidRPr="00264383">
        <w:rPr>
          <w:rFonts w:hint="eastAsia"/>
        </w:rPr>
        <w:t>；</w:t>
      </w:r>
      <w:r w:rsidRPr="00264383">
        <w:t>输出端口</w:t>
      </w:r>
      <w:r w:rsidRPr="00264383">
        <w:rPr>
          <w:i/>
          <w:iCs/>
        </w:rPr>
        <w:t>O</w:t>
      </w:r>
      <w:r w:rsidRPr="00264383">
        <w:rPr>
          <w:vertAlign w:val="subscript"/>
        </w:rPr>
        <w:t>1</w:t>
      </w:r>
      <w:r w:rsidRPr="00264383">
        <w:t>的透过率为</w:t>
      </w:r>
      <w:r w:rsidRPr="00264383">
        <w:t>0.68%</w:t>
      </w:r>
      <w:r w:rsidRPr="00264383">
        <w:rPr>
          <w:rFonts w:hint="eastAsia"/>
        </w:rPr>
        <w:t>，小于</w:t>
      </w:r>
      <w:r w:rsidRPr="00264383">
        <w:rPr>
          <w:rFonts w:hint="eastAsia"/>
        </w:rPr>
        <w:t>5</w:t>
      </w:r>
      <w:r w:rsidRPr="00264383">
        <w:t>%</w:t>
      </w:r>
      <w:r w:rsidRPr="00264383">
        <w:rPr>
          <w:rFonts w:hint="eastAsia"/>
        </w:rPr>
        <w:t>，</w:t>
      </w:r>
      <w:r w:rsidRPr="00264383">
        <w:t>即</w:t>
      </w:r>
      <w:r w:rsidRPr="00264383">
        <w:rPr>
          <w:rFonts w:hint="eastAsia"/>
        </w:rPr>
        <w:t>逻辑值</w:t>
      </w:r>
      <w:r w:rsidRPr="00264383">
        <w:rPr>
          <w:i/>
          <w:iCs/>
        </w:rPr>
        <w:t>O</w:t>
      </w:r>
      <w:r w:rsidRPr="00264383">
        <w:rPr>
          <w:vertAlign w:val="subscript"/>
        </w:rPr>
        <w:t>1</w:t>
      </w:r>
      <w:r w:rsidRPr="00264383">
        <w:rPr>
          <w:rFonts w:hint="eastAsia"/>
        </w:rPr>
        <w:t>＝</w:t>
      </w:r>
      <w:r w:rsidRPr="00264383">
        <w:t>0</w:t>
      </w:r>
      <w:r w:rsidRPr="00264383">
        <w:rPr>
          <w:rFonts w:hint="eastAsia"/>
        </w:rPr>
        <w:t>，</w:t>
      </w:r>
      <w:r w:rsidRPr="00264383">
        <w:rPr>
          <w:i/>
          <w:iCs/>
        </w:rPr>
        <w:t>O</w:t>
      </w:r>
      <w:r w:rsidRPr="00264383">
        <w:rPr>
          <w:vertAlign w:val="subscript"/>
        </w:rPr>
        <w:t>0</w:t>
      </w:r>
      <w:r w:rsidRPr="00264383">
        <w:rPr>
          <w:rFonts w:hint="eastAsia"/>
        </w:rPr>
        <w:t>＝</w:t>
      </w:r>
      <w:r w:rsidRPr="00264383">
        <w:t>1</w:t>
      </w:r>
      <w:r w:rsidRPr="00264383">
        <w:t>。</w:t>
      </w:r>
      <w:r w:rsidRPr="00264383">
        <w:rPr>
          <w:rFonts w:hint="eastAsia"/>
        </w:rPr>
        <w:t>此时</w:t>
      </w:r>
      <w:r w:rsidRPr="00264383">
        <w:t>编码器的响应时间</w:t>
      </w:r>
      <w:r w:rsidRPr="00264383">
        <w:rPr>
          <w:rFonts w:hint="eastAsia"/>
        </w:rPr>
        <w:t>为</w:t>
      </w:r>
      <w:r w:rsidRPr="00264383">
        <w:t>16.32 ps</w:t>
      </w:r>
      <w:r w:rsidRPr="00264383">
        <w:t>。</w:t>
      </w:r>
    </w:p>
    <w:p w14:paraId="68AD04C4" w14:textId="3DD9D396" w:rsidR="00C66954" w:rsidRPr="00264383" w:rsidRDefault="00A773EE">
      <w:pPr>
        <w:ind w:firstLineChars="200" w:firstLine="420"/>
      </w:pPr>
      <w:r w:rsidRPr="00264383">
        <w:rPr>
          <w:rFonts w:hint="eastAsia"/>
        </w:rPr>
        <w:t>3</w:t>
      </w:r>
      <w:r w:rsidRPr="00264383">
        <w:rPr>
          <w:rFonts w:hint="eastAsia"/>
        </w:rPr>
        <w:t>）</w:t>
      </w:r>
      <w:r w:rsidRPr="00264383">
        <w:t>当</w:t>
      </w:r>
      <w:r w:rsidRPr="00264383">
        <w:rPr>
          <w:i/>
          <w:iCs/>
        </w:rPr>
        <w:t>I</w:t>
      </w:r>
      <w:r w:rsidRPr="00264383">
        <w:rPr>
          <w:vertAlign w:val="subscript"/>
        </w:rPr>
        <w:t>0</w:t>
      </w:r>
      <w:r w:rsidRPr="00264383">
        <w:rPr>
          <w:rFonts w:hint="eastAsia"/>
        </w:rPr>
        <w:t>＝</w:t>
      </w:r>
      <w:r w:rsidRPr="00264383">
        <w:t>0</w:t>
      </w:r>
      <w:r w:rsidRPr="00264383">
        <w:rPr>
          <w:rFonts w:hint="eastAsia"/>
        </w:rPr>
        <w:t>，</w:t>
      </w:r>
      <w:r w:rsidRPr="00264383">
        <w:rPr>
          <w:i/>
          <w:iCs/>
        </w:rPr>
        <w:t>I</w:t>
      </w:r>
      <w:r w:rsidRPr="00264383">
        <w:rPr>
          <w:vertAlign w:val="subscript"/>
        </w:rPr>
        <w:t>1</w:t>
      </w:r>
      <w:r w:rsidRPr="00264383">
        <w:rPr>
          <w:rFonts w:hint="eastAsia"/>
        </w:rPr>
        <w:t>＝</w:t>
      </w:r>
      <w:r w:rsidRPr="00264383">
        <w:t>0</w:t>
      </w:r>
      <w:r w:rsidRPr="00264383">
        <w:rPr>
          <w:rFonts w:hint="eastAsia"/>
        </w:rPr>
        <w:t>，</w:t>
      </w:r>
      <w:r w:rsidRPr="00264383">
        <w:rPr>
          <w:i/>
          <w:iCs/>
        </w:rPr>
        <w:t>I</w:t>
      </w:r>
      <w:r w:rsidRPr="00264383">
        <w:rPr>
          <w:vertAlign w:val="subscript"/>
        </w:rPr>
        <w:t>2</w:t>
      </w:r>
      <w:r w:rsidRPr="00264383">
        <w:rPr>
          <w:rFonts w:hint="eastAsia"/>
        </w:rPr>
        <w:t>＝</w:t>
      </w:r>
      <w:r w:rsidRPr="00264383">
        <w:t>1</w:t>
      </w:r>
      <w:r w:rsidRPr="00264383">
        <w:rPr>
          <w:rFonts w:hint="eastAsia"/>
        </w:rPr>
        <w:t>，</w:t>
      </w:r>
      <w:r w:rsidRPr="00264383">
        <w:rPr>
          <w:i/>
          <w:iCs/>
        </w:rPr>
        <w:t>I</w:t>
      </w:r>
      <w:r w:rsidRPr="00264383">
        <w:rPr>
          <w:vertAlign w:val="subscript"/>
        </w:rPr>
        <w:t>3</w:t>
      </w:r>
      <w:r w:rsidRPr="00264383">
        <w:rPr>
          <w:rFonts w:hint="eastAsia"/>
        </w:rPr>
        <w:t>＝</w:t>
      </w:r>
      <w:r w:rsidRPr="00264383">
        <w:t>0</w:t>
      </w:r>
      <w:r w:rsidR="005757F5">
        <w:rPr>
          <w:rFonts w:hint="eastAsia"/>
        </w:rPr>
        <w:t>时</w:t>
      </w:r>
      <w:r w:rsidRPr="00264383">
        <w:rPr>
          <w:rFonts w:hint="eastAsia"/>
        </w:rPr>
        <w:t>，</w:t>
      </w:r>
      <w:r w:rsidR="00785FDB" w:rsidRPr="00264383">
        <w:rPr>
          <w:rFonts w:hint="eastAsia"/>
        </w:rPr>
        <w:t>编码器的稳态场强分布和时域稳态响应</w:t>
      </w:r>
      <w:r w:rsidR="00397CFD" w:rsidRPr="00264383">
        <w:rPr>
          <w:rFonts w:hint="eastAsia"/>
        </w:rPr>
        <w:t>如图</w:t>
      </w:r>
      <w:r w:rsidR="00397CFD" w:rsidRPr="00264383">
        <w:rPr>
          <w:rFonts w:hint="eastAsia"/>
        </w:rPr>
        <w:t>3</w:t>
      </w:r>
      <w:r w:rsidR="00397CFD" w:rsidRPr="00264383">
        <w:rPr>
          <w:rFonts w:hint="eastAsia"/>
        </w:rPr>
        <w:t>（</w:t>
      </w:r>
      <w:r w:rsidR="00397CFD" w:rsidRPr="00264383">
        <w:t>e</w:t>
      </w:r>
      <w:r w:rsidR="00397CFD" w:rsidRPr="00264383">
        <w:rPr>
          <w:rFonts w:hint="eastAsia"/>
        </w:rPr>
        <w:t>）和</w:t>
      </w:r>
      <w:r w:rsidR="000C7DF8" w:rsidRPr="00264383">
        <w:rPr>
          <w:rFonts w:hint="eastAsia"/>
        </w:rPr>
        <w:t>图</w:t>
      </w:r>
      <w:r w:rsidR="000C7DF8" w:rsidRPr="00264383">
        <w:rPr>
          <w:rFonts w:hint="eastAsia"/>
        </w:rPr>
        <w:t>3</w:t>
      </w:r>
      <w:r w:rsidR="00397CFD" w:rsidRPr="00264383">
        <w:rPr>
          <w:rFonts w:hint="eastAsia"/>
        </w:rPr>
        <w:t>（</w:t>
      </w:r>
      <w:r w:rsidR="00397CFD" w:rsidRPr="00264383">
        <w:t>f</w:t>
      </w:r>
      <w:r w:rsidR="00397CFD" w:rsidRPr="00264383">
        <w:rPr>
          <w:rFonts w:hint="eastAsia"/>
        </w:rPr>
        <w:t>）所示。</w:t>
      </w:r>
      <w:r w:rsidRPr="00264383">
        <w:t>由时域稳态响应</w:t>
      </w:r>
      <w:r w:rsidRPr="00264383">
        <w:rPr>
          <w:rFonts w:hint="eastAsia"/>
        </w:rPr>
        <w:t>可以</w:t>
      </w:r>
      <w:r w:rsidRPr="00264383">
        <w:t>得到输出端口</w:t>
      </w:r>
      <w:r w:rsidRPr="00264383">
        <w:rPr>
          <w:i/>
          <w:iCs/>
        </w:rPr>
        <w:t>O</w:t>
      </w:r>
      <w:r w:rsidRPr="00264383">
        <w:rPr>
          <w:rFonts w:hint="eastAsia"/>
          <w:vertAlign w:val="subscript"/>
        </w:rPr>
        <w:t>0</w:t>
      </w:r>
      <w:r w:rsidRPr="00264383">
        <w:t>的透过率</w:t>
      </w:r>
      <w:r w:rsidRPr="00264383">
        <w:rPr>
          <w:rFonts w:hint="eastAsia"/>
        </w:rPr>
        <w:t>约</w:t>
      </w:r>
      <w:r w:rsidRPr="00264383">
        <w:t>为</w:t>
      </w:r>
      <w:r w:rsidRPr="00264383">
        <w:rPr>
          <w:rFonts w:hint="eastAsia"/>
        </w:rPr>
        <w:t>0</w:t>
      </w:r>
      <w:r w:rsidRPr="00264383">
        <w:t>.66%</w:t>
      </w:r>
      <w:r w:rsidRPr="00264383">
        <w:rPr>
          <w:rFonts w:hint="eastAsia"/>
        </w:rPr>
        <w:t>，小于</w:t>
      </w:r>
      <w:r w:rsidRPr="00264383">
        <w:rPr>
          <w:rFonts w:hint="eastAsia"/>
        </w:rPr>
        <w:t>5</w:t>
      </w:r>
      <w:r w:rsidRPr="00264383">
        <w:t>%</w:t>
      </w:r>
      <w:r w:rsidRPr="00264383">
        <w:rPr>
          <w:rFonts w:hint="eastAsia"/>
        </w:rPr>
        <w:t>；</w:t>
      </w:r>
      <w:r w:rsidRPr="00264383">
        <w:t>输出端口</w:t>
      </w:r>
      <w:r w:rsidRPr="00264383">
        <w:rPr>
          <w:i/>
          <w:iCs/>
        </w:rPr>
        <w:t>O</w:t>
      </w:r>
      <w:r w:rsidRPr="00264383">
        <w:rPr>
          <w:vertAlign w:val="subscript"/>
        </w:rPr>
        <w:t>1</w:t>
      </w:r>
      <w:r w:rsidRPr="00264383">
        <w:t>的透过率为</w:t>
      </w:r>
      <w:r w:rsidRPr="00264383">
        <w:t>97.38%</w:t>
      </w:r>
      <w:r w:rsidRPr="00264383">
        <w:rPr>
          <w:rFonts w:hint="eastAsia"/>
        </w:rPr>
        <w:t>，大于</w:t>
      </w:r>
      <w:r w:rsidRPr="00264383">
        <w:rPr>
          <w:rFonts w:hint="eastAsia"/>
        </w:rPr>
        <w:t>4</w:t>
      </w:r>
      <w:r w:rsidRPr="00264383">
        <w:t>0%</w:t>
      </w:r>
      <w:r w:rsidRPr="00264383">
        <w:rPr>
          <w:rFonts w:hint="eastAsia"/>
        </w:rPr>
        <w:t>，</w:t>
      </w:r>
      <w:r w:rsidRPr="00264383">
        <w:t>即</w:t>
      </w:r>
      <w:r w:rsidRPr="00264383">
        <w:rPr>
          <w:rFonts w:hint="eastAsia"/>
        </w:rPr>
        <w:t>逻辑值</w:t>
      </w:r>
      <w:r w:rsidRPr="00264383">
        <w:rPr>
          <w:i/>
          <w:iCs/>
        </w:rPr>
        <w:t>O</w:t>
      </w:r>
      <w:r w:rsidRPr="00264383">
        <w:rPr>
          <w:vertAlign w:val="subscript"/>
        </w:rPr>
        <w:t>1</w:t>
      </w:r>
      <w:r w:rsidRPr="00264383">
        <w:rPr>
          <w:rFonts w:hint="eastAsia"/>
        </w:rPr>
        <w:t>＝</w:t>
      </w:r>
      <w:r w:rsidRPr="00264383">
        <w:t>1</w:t>
      </w:r>
      <w:r w:rsidRPr="00264383">
        <w:rPr>
          <w:rFonts w:hint="eastAsia"/>
        </w:rPr>
        <w:t>，</w:t>
      </w:r>
      <w:r w:rsidRPr="00264383">
        <w:rPr>
          <w:i/>
          <w:iCs/>
        </w:rPr>
        <w:t>O</w:t>
      </w:r>
      <w:r w:rsidRPr="00264383">
        <w:rPr>
          <w:vertAlign w:val="subscript"/>
        </w:rPr>
        <w:t>0</w:t>
      </w:r>
      <w:r w:rsidRPr="00264383">
        <w:rPr>
          <w:rFonts w:hint="eastAsia"/>
        </w:rPr>
        <w:t>＝</w:t>
      </w:r>
      <w:r w:rsidRPr="00264383">
        <w:t>0</w:t>
      </w:r>
      <w:r w:rsidRPr="00264383">
        <w:t>。此时编码器的响应时间</w:t>
      </w:r>
      <w:r w:rsidRPr="00264383">
        <w:rPr>
          <w:rFonts w:hint="eastAsia"/>
        </w:rPr>
        <w:t>也为</w:t>
      </w:r>
      <w:r w:rsidRPr="00264383">
        <w:t>16.32 ps</w:t>
      </w:r>
      <w:r w:rsidRPr="00264383">
        <w:t>。</w:t>
      </w:r>
    </w:p>
    <w:p w14:paraId="509CC458" w14:textId="7FE4C3B3" w:rsidR="00C66954" w:rsidRPr="00264383" w:rsidRDefault="00A773EE">
      <w:pPr>
        <w:ind w:firstLineChars="200" w:firstLine="420"/>
      </w:pPr>
      <w:r w:rsidRPr="00264383">
        <w:rPr>
          <w:rFonts w:hint="eastAsia"/>
        </w:rPr>
        <w:t>4</w:t>
      </w:r>
      <w:r w:rsidRPr="00264383">
        <w:rPr>
          <w:rFonts w:hint="eastAsia"/>
        </w:rPr>
        <w:t>）</w:t>
      </w:r>
      <w:r w:rsidRPr="00264383">
        <w:t>当</w:t>
      </w:r>
      <w:r w:rsidRPr="00264383">
        <w:rPr>
          <w:i/>
          <w:iCs/>
        </w:rPr>
        <w:t>I</w:t>
      </w:r>
      <w:r w:rsidRPr="00264383">
        <w:rPr>
          <w:vertAlign w:val="subscript"/>
        </w:rPr>
        <w:t>0</w:t>
      </w:r>
      <w:r w:rsidRPr="00264383">
        <w:rPr>
          <w:rFonts w:hint="eastAsia"/>
        </w:rPr>
        <w:t>＝</w:t>
      </w:r>
      <w:r w:rsidRPr="00264383">
        <w:t>0</w:t>
      </w:r>
      <w:r w:rsidRPr="00264383">
        <w:rPr>
          <w:rFonts w:hint="eastAsia"/>
        </w:rPr>
        <w:t>，</w:t>
      </w:r>
      <w:r w:rsidRPr="00264383">
        <w:rPr>
          <w:i/>
          <w:iCs/>
        </w:rPr>
        <w:t>I</w:t>
      </w:r>
      <w:r w:rsidRPr="00264383">
        <w:rPr>
          <w:vertAlign w:val="subscript"/>
        </w:rPr>
        <w:t>1</w:t>
      </w:r>
      <w:r w:rsidRPr="00264383">
        <w:rPr>
          <w:rFonts w:hint="eastAsia"/>
        </w:rPr>
        <w:t>＝</w:t>
      </w:r>
      <w:r w:rsidRPr="00264383">
        <w:t>0</w:t>
      </w:r>
      <w:r w:rsidRPr="00264383">
        <w:rPr>
          <w:rFonts w:hint="eastAsia"/>
        </w:rPr>
        <w:t>，</w:t>
      </w:r>
      <w:r w:rsidRPr="00264383">
        <w:rPr>
          <w:i/>
          <w:iCs/>
        </w:rPr>
        <w:t>I</w:t>
      </w:r>
      <w:r w:rsidRPr="00264383">
        <w:rPr>
          <w:vertAlign w:val="subscript"/>
        </w:rPr>
        <w:t>2</w:t>
      </w:r>
      <w:r w:rsidRPr="00264383">
        <w:rPr>
          <w:rFonts w:hint="eastAsia"/>
        </w:rPr>
        <w:t>＝</w:t>
      </w:r>
      <w:r w:rsidRPr="00264383">
        <w:t>0</w:t>
      </w:r>
      <w:r w:rsidRPr="00264383">
        <w:rPr>
          <w:rFonts w:hint="eastAsia"/>
        </w:rPr>
        <w:t>，</w:t>
      </w:r>
      <w:r w:rsidRPr="00264383">
        <w:rPr>
          <w:i/>
          <w:iCs/>
        </w:rPr>
        <w:t>I</w:t>
      </w:r>
      <w:r w:rsidRPr="00264383">
        <w:rPr>
          <w:vertAlign w:val="subscript"/>
        </w:rPr>
        <w:t>3</w:t>
      </w:r>
      <w:r w:rsidRPr="00264383">
        <w:rPr>
          <w:rFonts w:hint="eastAsia"/>
        </w:rPr>
        <w:t>＝</w:t>
      </w:r>
      <w:r w:rsidRPr="00264383">
        <w:t>1</w:t>
      </w:r>
      <w:r w:rsidR="005757F5">
        <w:rPr>
          <w:rFonts w:hint="eastAsia"/>
        </w:rPr>
        <w:t>时</w:t>
      </w:r>
      <w:r w:rsidRPr="00264383">
        <w:rPr>
          <w:rFonts w:hint="eastAsia"/>
        </w:rPr>
        <w:t>，</w:t>
      </w:r>
      <w:r w:rsidR="00785FDB" w:rsidRPr="00264383">
        <w:rPr>
          <w:rFonts w:hint="eastAsia"/>
        </w:rPr>
        <w:t>编码器的稳态场强分布和时域稳态响应</w:t>
      </w:r>
      <w:r w:rsidR="00397CFD" w:rsidRPr="00264383">
        <w:rPr>
          <w:rFonts w:hint="eastAsia"/>
        </w:rPr>
        <w:t>如图</w:t>
      </w:r>
      <w:r w:rsidR="00397CFD" w:rsidRPr="00264383">
        <w:rPr>
          <w:rFonts w:hint="eastAsia"/>
        </w:rPr>
        <w:t>3</w:t>
      </w:r>
      <w:r w:rsidR="00397CFD" w:rsidRPr="00264383">
        <w:rPr>
          <w:rFonts w:hint="eastAsia"/>
        </w:rPr>
        <w:t>（</w:t>
      </w:r>
      <w:r w:rsidR="00397CFD" w:rsidRPr="00264383">
        <w:t>g</w:t>
      </w:r>
      <w:r w:rsidR="00397CFD" w:rsidRPr="00264383">
        <w:rPr>
          <w:rFonts w:hint="eastAsia"/>
        </w:rPr>
        <w:t>）和</w:t>
      </w:r>
      <w:r w:rsidR="000C7DF8" w:rsidRPr="00264383">
        <w:rPr>
          <w:rFonts w:hint="eastAsia"/>
        </w:rPr>
        <w:t>图</w:t>
      </w:r>
      <w:r w:rsidR="000C7DF8" w:rsidRPr="00264383">
        <w:rPr>
          <w:rFonts w:hint="eastAsia"/>
        </w:rPr>
        <w:t>3</w:t>
      </w:r>
      <w:r w:rsidR="00397CFD" w:rsidRPr="00264383">
        <w:rPr>
          <w:rFonts w:hint="eastAsia"/>
        </w:rPr>
        <w:t>（</w:t>
      </w:r>
      <w:r w:rsidR="00397CFD" w:rsidRPr="00264383">
        <w:t>h</w:t>
      </w:r>
      <w:r w:rsidR="00397CFD" w:rsidRPr="00264383">
        <w:rPr>
          <w:rFonts w:hint="eastAsia"/>
        </w:rPr>
        <w:t>）所示。</w:t>
      </w:r>
      <w:r w:rsidRPr="00264383">
        <w:t>由时域稳态响应</w:t>
      </w:r>
      <w:r w:rsidRPr="00264383">
        <w:rPr>
          <w:rFonts w:hint="eastAsia"/>
        </w:rPr>
        <w:t>可以</w:t>
      </w:r>
      <w:r w:rsidRPr="00264383">
        <w:t>得到输出端口</w:t>
      </w:r>
      <w:r w:rsidRPr="00264383">
        <w:rPr>
          <w:i/>
          <w:iCs/>
        </w:rPr>
        <w:t>O</w:t>
      </w:r>
      <w:r w:rsidRPr="00264383">
        <w:rPr>
          <w:rFonts w:hint="eastAsia"/>
          <w:vertAlign w:val="subscript"/>
        </w:rPr>
        <w:t>0</w:t>
      </w:r>
      <w:r w:rsidRPr="00264383">
        <w:t>的透过率</w:t>
      </w:r>
      <w:r w:rsidRPr="00264383">
        <w:rPr>
          <w:rFonts w:hint="eastAsia"/>
        </w:rPr>
        <w:t>约</w:t>
      </w:r>
      <w:r w:rsidRPr="00264383">
        <w:t>为</w:t>
      </w:r>
      <w:r w:rsidRPr="00264383">
        <w:t>44.22%</w:t>
      </w:r>
      <w:r w:rsidRPr="00264383">
        <w:rPr>
          <w:rFonts w:hint="eastAsia"/>
        </w:rPr>
        <w:t>，由于所提出的</w:t>
      </w:r>
      <w:r w:rsidRPr="00264383">
        <w:rPr>
          <w:rFonts w:hint="eastAsia"/>
        </w:rPr>
        <w:t>4</w:t>
      </w:r>
      <w:r w:rsidRPr="00264383">
        <w:rPr>
          <w:rFonts w:hint="eastAsia"/>
        </w:rPr>
        <w:t>×</w:t>
      </w:r>
      <w:r w:rsidRPr="00264383">
        <w:rPr>
          <w:rFonts w:hint="eastAsia"/>
        </w:rPr>
        <w:t>2</w:t>
      </w:r>
      <w:r w:rsidRPr="00264383">
        <w:rPr>
          <w:rFonts w:hint="eastAsia"/>
        </w:rPr>
        <w:t>编码器结构的对称性，</w:t>
      </w:r>
      <w:r w:rsidR="004630DB">
        <w:rPr>
          <w:rFonts w:hint="eastAsia"/>
        </w:rPr>
        <w:t>2</w:t>
      </w:r>
      <w:r w:rsidRPr="00264383">
        <w:rPr>
          <w:rFonts w:hint="eastAsia"/>
        </w:rPr>
        <w:t>条输出曲线完全重合，</w:t>
      </w:r>
      <w:r w:rsidRPr="00264383">
        <w:t>输出端口</w:t>
      </w:r>
      <w:r w:rsidRPr="00264383">
        <w:rPr>
          <w:i/>
          <w:iCs/>
        </w:rPr>
        <w:t>O</w:t>
      </w:r>
      <w:r w:rsidRPr="00264383">
        <w:rPr>
          <w:vertAlign w:val="subscript"/>
        </w:rPr>
        <w:t>1</w:t>
      </w:r>
      <w:r w:rsidRPr="00264383">
        <w:t>的透过率</w:t>
      </w:r>
      <w:r w:rsidRPr="00264383">
        <w:rPr>
          <w:rFonts w:hint="eastAsia"/>
        </w:rPr>
        <w:t>也</w:t>
      </w:r>
      <w:r w:rsidRPr="00264383">
        <w:t>为</w:t>
      </w:r>
      <w:r w:rsidRPr="00264383">
        <w:t>44.22%</w:t>
      </w:r>
      <w:r w:rsidRPr="00264383">
        <w:rPr>
          <w:rFonts w:hint="eastAsia"/>
        </w:rPr>
        <w:t>，</w:t>
      </w:r>
      <w:r w:rsidR="004630DB">
        <w:rPr>
          <w:rFonts w:hint="eastAsia"/>
        </w:rPr>
        <w:t>2</w:t>
      </w:r>
      <w:r w:rsidRPr="00264383">
        <w:rPr>
          <w:rFonts w:hint="eastAsia"/>
        </w:rPr>
        <w:t>个输出端口的透过率均大于</w:t>
      </w:r>
      <w:r w:rsidRPr="00264383">
        <w:rPr>
          <w:rFonts w:hint="eastAsia"/>
        </w:rPr>
        <w:t>4</w:t>
      </w:r>
      <w:r w:rsidRPr="00264383">
        <w:t>0%</w:t>
      </w:r>
      <w:r w:rsidRPr="00264383">
        <w:rPr>
          <w:rFonts w:hint="eastAsia"/>
        </w:rPr>
        <w:t>，</w:t>
      </w:r>
      <w:r w:rsidRPr="00264383">
        <w:t>即</w:t>
      </w:r>
      <w:r w:rsidRPr="00264383">
        <w:rPr>
          <w:rFonts w:hint="eastAsia"/>
        </w:rPr>
        <w:t>逻辑值</w:t>
      </w:r>
      <w:r w:rsidRPr="00264383">
        <w:rPr>
          <w:i/>
          <w:iCs/>
        </w:rPr>
        <w:t>O</w:t>
      </w:r>
      <w:r w:rsidRPr="00264383">
        <w:rPr>
          <w:vertAlign w:val="subscript"/>
        </w:rPr>
        <w:t>1</w:t>
      </w:r>
      <w:r w:rsidRPr="00264383">
        <w:rPr>
          <w:rFonts w:hint="eastAsia"/>
        </w:rPr>
        <w:t>＝</w:t>
      </w:r>
      <w:r w:rsidRPr="00264383">
        <w:t>1</w:t>
      </w:r>
      <w:r w:rsidRPr="00264383">
        <w:rPr>
          <w:rFonts w:hint="eastAsia"/>
        </w:rPr>
        <w:t>，</w:t>
      </w:r>
      <w:r w:rsidRPr="00264383">
        <w:rPr>
          <w:i/>
          <w:iCs/>
        </w:rPr>
        <w:t>O</w:t>
      </w:r>
      <w:r w:rsidRPr="00264383">
        <w:rPr>
          <w:vertAlign w:val="subscript"/>
        </w:rPr>
        <w:t>0</w:t>
      </w:r>
      <w:r w:rsidRPr="00264383">
        <w:rPr>
          <w:rFonts w:hint="eastAsia"/>
        </w:rPr>
        <w:t>＝</w:t>
      </w:r>
      <w:r w:rsidRPr="00264383">
        <w:t>1</w:t>
      </w:r>
      <w:r w:rsidRPr="00264383">
        <w:t>。此时编码器的响应时间</w:t>
      </w:r>
      <w:r w:rsidRPr="00264383">
        <w:rPr>
          <w:rFonts w:hint="eastAsia"/>
        </w:rPr>
        <w:t>为</w:t>
      </w:r>
      <w:r w:rsidRPr="00264383">
        <w:t>11.41 ps</w:t>
      </w:r>
      <w:r w:rsidRPr="00264383">
        <w:t>。</w:t>
      </w:r>
    </w:p>
    <w:p w14:paraId="29254873" w14:textId="7C278C1B" w:rsidR="00C66954" w:rsidRDefault="00A773EE">
      <w:pPr>
        <w:ind w:firstLineChars="200" w:firstLine="420"/>
        <w:rPr>
          <w:sz w:val="24"/>
          <w:szCs w:val="24"/>
        </w:rPr>
      </w:pPr>
      <w:r w:rsidRPr="00264383">
        <w:rPr>
          <w:rFonts w:hint="eastAsia"/>
        </w:rPr>
        <w:t>此时</w:t>
      </w:r>
      <w:r w:rsidRPr="00264383">
        <w:rPr>
          <w:rFonts w:hint="eastAsia"/>
        </w:rPr>
        <w:t>4</w:t>
      </w:r>
      <w:r w:rsidRPr="00264383">
        <w:rPr>
          <w:rFonts w:hint="eastAsia"/>
        </w:rPr>
        <w:t>×</w:t>
      </w:r>
      <w:r w:rsidRPr="00264383">
        <w:rPr>
          <w:rFonts w:hint="eastAsia"/>
        </w:rPr>
        <w:t>2</w:t>
      </w:r>
      <w:r w:rsidRPr="00264383">
        <w:t>编码器输出为逻辑</w:t>
      </w:r>
      <w:r w:rsidRPr="00264383">
        <w:rPr>
          <w:rFonts w:hint="eastAsia"/>
        </w:rPr>
        <w:t>“</w:t>
      </w:r>
      <w:r w:rsidRPr="00264383">
        <w:rPr>
          <w:rFonts w:hint="eastAsia"/>
        </w:rPr>
        <w:t>1</w:t>
      </w:r>
      <w:r w:rsidRPr="00264383">
        <w:rPr>
          <w:rFonts w:hint="eastAsia"/>
        </w:rPr>
        <w:t>”时</w:t>
      </w:r>
      <w:r w:rsidRPr="00264383">
        <w:t>的最低光功率</w:t>
      </w:r>
      <w:r w:rsidRPr="00264383">
        <w:rPr>
          <w:rFonts w:hint="eastAsia"/>
          <w:i/>
          <w:iCs/>
        </w:rPr>
        <w:t>P</w:t>
      </w:r>
      <w:r w:rsidRPr="00264383">
        <w:rPr>
          <w:vertAlign w:val="subscript"/>
        </w:rPr>
        <w:t>1</w:t>
      </w:r>
      <w:r w:rsidRPr="00264383">
        <w:rPr>
          <w:rFonts w:hint="eastAsia"/>
        </w:rPr>
        <w:t>为</w:t>
      </w:r>
      <w:r w:rsidRPr="00264383">
        <w:rPr>
          <w:rFonts w:hint="eastAsia"/>
        </w:rPr>
        <w:t>4</w:t>
      </w:r>
      <w:r w:rsidRPr="00264383">
        <w:t>4.22%</w:t>
      </w:r>
      <w:r w:rsidRPr="00264383">
        <w:t>，输出为逻辑</w:t>
      </w:r>
      <w:r w:rsidRPr="00264383">
        <w:rPr>
          <w:rFonts w:hint="eastAsia"/>
        </w:rPr>
        <w:t>“</w:t>
      </w:r>
      <w:r w:rsidRPr="00264383">
        <w:rPr>
          <w:rFonts w:hint="eastAsia"/>
        </w:rPr>
        <w:t>0</w:t>
      </w:r>
      <w:r w:rsidRPr="00264383">
        <w:rPr>
          <w:rFonts w:hint="eastAsia"/>
        </w:rPr>
        <w:t>”</w:t>
      </w:r>
      <w:r w:rsidRPr="00264383">
        <w:t>时的最高光功率</w:t>
      </w:r>
      <w:r w:rsidRPr="00264383">
        <w:rPr>
          <w:rFonts w:hint="eastAsia"/>
          <w:i/>
          <w:iCs/>
        </w:rPr>
        <w:t>P</w:t>
      </w:r>
      <w:r w:rsidRPr="00264383">
        <w:rPr>
          <w:vertAlign w:val="subscript"/>
        </w:rPr>
        <w:t>0</w:t>
      </w:r>
      <w:r w:rsidRPr="00264383">
        <w:rPr>
          <w:rFonts w:hint="eastAsia"/>
        </w:rPr>
        <w:t>为</w:t>
      </w:r>
      <w:r w:rsidRPr="00264383">
        <w:rPr>
          <w:rFonts w:hint="eastAsia"/>
        </w:rPr>
        <w:t>0.6</w:t>
      </w:r>
      <w:r w:rsidRPr="00264383">
        <w:t>8%</w:t>
      </w:r>
      <w:r w:rsidRPr="00264383">
        <w:rPr>
          <w:rFonts w:hint="eastAsia"/>
        </w:rPr>
        <w:t>，利用式</w:t>
      </w:r>
      <w:r w:rsidR="00EA14E3" w:rsidRPr="00264383">
        <w:rPr>
          <w:rFonts w:hint="eastAsia"/>
        </w:rPr>
        <w:t>（</w:t>
      </w:r>
      <w:r w:rsidR="00EA14E3" w:rsidRPr="00264383">
        <w:rPr>
          <w:rFonts w:hint="eastAsia"/>
        </w:rPr>
        <w:t>1</w:t>
      </w:r>
      <w:r w:rsidR="00EA14E3" w:rsidRPr="00264383">
        <w:rPr>
          <w:rFonts w:hint="eastAsia"/>
        </w:rPr>
        <w:t>）</w:t>
      </w:r>
      <w:r w:rsidRPr="00264383">
        <w:rPr>
          <w:rFonts w:hint="eastAsia"/>
        </w:rPr>
        <w:t>可计算出</w:t>
      </w:r>
      <w:r w:rsidRPr="00264383">
        <w:rPr>
          <w:rFonts w:hint="eastAsia"/>
        </w:rPr>
        <w:t>4</w:t>
      </w:r>
      <w:r w:rsidRPr="00264383">
        <w:rPr>
          <w:rFonts w:hint="eastAsia"/>
        </w:rPr>
        <w:t>×</w:t>
      </w:r>
      <w:r w:rsidRPr="00264383">
        <w:rPr>
          <w:rFonts w:hint="eastAsia"/>
        </w:rPr>
        <w:t>2</w:t>
      </w:r>
      <w:r w:rsidRPr="00264383">
        <w:rPr>
          <w:rFonts w:hint="eastAsia"/>
        </w:rPr>
        <w:t>编码器当前的对比度为</w:t>
      </w:r>
      <w:r w:rsidRPr="00264383">
        <w:rPr>
          <w:rFonts w:hint="eastAsia"/>
        </w:rPr>
        <w:t>1</w:t>
      </w:r>
      <w:r w:rsidRPr="00264383">
        <w:t xml:space="preserve">8.13 </w:t>
      </w:r>
      <w:r w:rsidRPr="00264383">
        <w:rPr>
          <w:rFonts w:hint="eastAsia"/>
        </w:rPr>
        <w:t>d</w:t>
      </w:r>
      <w:r w:rsidRPr="00264383">
        <w:t>B</w:t>
      </w:r>
      <w:r w:rsidRPr="00264383">
        <w:rPr>
          <w:rFonts w:hint="eastAsia"/>
        </w:rPr>
        <w:t>，</w:t>
      </w:r>
      <w:r w:rsidR="00EA14E3" w:rsidRPr="00264383">
        <w:rPr>
          <w:rFonts w:hint="eastAsia"/>
        </w:rPr>
        <w:lastRenderedPageBreak/>
        <w:t>利用式（</w:t>
      </w:r>
      <w:r w:rsidR="00EA14E3" w:rsidRPr="00264383">
        <w:t>2</w:t>
      </w:r>
      <w:r w:rsidR="00EA14E3" w:rsidRPr="00264383">
        <w:rPr>
          <w:rFonts w:hint="eastAsia"/>
        </w:rPr>
        <w:t>）可计算出</w:t>
      </w:r>
      <w:r w:rsidRPr="00264383">
        <w:rPr>
          <w:rFonts w:hint="eastAsia"/>
        </w:rPr>
        <w:t>总体响应时间不超过</w:t>
      </w:r>
      <w:r w:rsidRPr="00264383">
        <w:rPr>
          <w:rFonts w:hint="eastAsia"/>
        </w:rPr>
        <w:t>1</w:t>
      </w:r>
      <w:r w:rsidRPr="00264383">
        <w:t>6.32 ps</w:t>
      </w:r>
      <w:r w:rsidRPr="00264383">
        <w:rPr>
          <w:rFonts w:hint="eastAsia"/>
        </w:rPr>
        <w:t>。</w:t>
      </w:r>
    </w:p>
    <w:p w14:paraId="16592D82" w14:textId="77777777" w:rsidR="00C66954" w:rsidRPr="00B66303" w:rsidRDefault="00A773EE">
      <w:pPr>
        <w:rPr>
          <w:rFonts w:ascii="宋体" w:hAnsi="宋体"/>
          <w:b/>
        </w:rPr>
      </w:pPr>
      <w:r w:rsidRPr="00B66303">
        <w:rPr>
          <w:rFonts w:ascii="宋体" w:hAnsi="宋体"/>
          <w:b/>
        </w:rPr>
        <w:t>2.3 性能优化</w:t>
      </w:r>
    </w:p>
    <w:p w14:paraId="7633A3DF" w14:textId="2DC0EE85" w:rsidR="00C66954" w:rsidRDefault="00A773EE">
      <w:pPr>
        <w:ind w:firstLineChars="200" w:firstLine="420"/>
        <w:rPr>
          <w:highlight w:val="yellow"/>
        </w:rPr>
      </w:pPr>
      <w:r>
        <w:rPr>
          <w:rFonts w:hint="eastAsia"/>
        </w:rPr>
        <w:t>当横向偏移量</w:t>
      </w:r>
      <w:r w:rsidR="00116D15">
        <w:rPr>
          <w:i/>
          <w:iCs/>
        </w:rPr>
        <w:t>S</w:t>
      </w:r>
      <w:r>
        <w:rPr>
          <w:vertAlign w:val="subscript"/>
        </w:rPr>
        <w:t>1</w:t>
      </w:r>
      <w:r>
        <w:rPr>
          <w:rFonts w:hint="eastAsia"/>
        </w:rPr>
        <w:t>＝</w:t>
      </w:r>
      <w:r>
        <w:t>0.5</w:t>
      </w:r>
      <w:r>
        <w:rPr>
          <w:rFonts w:hint="eastAsia"/>
          <w:i/>
          <w:iCs/>
        </w:rPr>
        <w:t>a</w:t>
      </w:r>
      <w:r w:rsidR="005757F5">
        <w:rPr>
          <w:rFonts w:hint="eastAsia"/>
        </w:rPr>
        <w:t>、</w:t>
      </w:r>
      <w:r w:rsidR="00116D15">
        <w:rPr>
          <w:i/>
          <w:iCs/>
        </w:rPr>
        <w:t>S</w:t>
      </w:r>
      <w:r>
        <w:rPr>
          <w:vertAlign w:val="subscript"/>
        </w:rPr>
        <w:t>2</w:t>
      </w:r>
      <w:r>
        <w:rPr>
          <w:rFonts w:hint="eastAsia"/>
        </w:rPr>
        <w:t>＝</w:t>
      </w:r>
      <w:r>
        <w:t>0</w:t>
      </w:r>
      <w:r>
        <w:rPr>
          <w:rFonts w:hint="eastAsia"/>
        </w:rPr>
        <w:t>时，所提出的</w:t>
      </w:r>
      <w:r>
        <w:rPr>
          <w:rFonts w:hint="eastAsia"/>
        </w:rPr>
        <w:t>4</w:t>
      </w:r>
      <w:r>
        <w:rPr>
          <w:rFonts w:hint="eastAsia"/>
        </w:rPr>
        <w:t>×</w:t>
      </w:r>
      <w:r>
        <w:rPr>
          <w:rFonts w:hint="eastAsia"/>
        </w:rPr>
        <w:t>2</w:t>
      </w:r>
      <w:r>
        <w:rPr>
          <w:rFonts w:hint="eastAsia"/>
        </w:rPr>
        <w:t>编码器的对比度不高，仅为</w:t>
      </w:r>
      <w:r>
        <w:rPr>
          <w:rFonts w:hint="eastAsia"/>
        </w:rPr>
        <w:t>1</w:t>
      </w:r>
      <w:r>
        <w:t>8.13 dB</w:t>
      </w:r>
      <w:r>
        <w:rPr>
          <w:rFonts w:hint="eastAsia"/>
        </w:rPr>
        <w:t>。一方面是因为在情况（</w:t>
      </w:r>
      <w:r>
        <w:rPr>
          <w:rFonts w:hint="eastAsia"/>
        </w:rPr>
        <w:t>4</w:t>
      </w:r>
      <w:r>
        <w:rPr>
          <w:rFonts w:hint="eastAsia"/>
        </w:rPr>
        <w:t>）中，</w:t>
      </w:r>
      <w:r>
        <w:t>编码器输出为逻辑</w:t>
      </w:r>
      <w:r>
        <w:rPr>
          <w:rFonts w:hint="eastAsia"/>
        </w:rPr>
        <w:t>“</w:t>
      </w:r>
      <w:r>
        <w:rPr>
          <w:rFonts w:hint="eastAsia"/>
        </w:rPr>
        <w:t>1</w:t>
      </w:r>
      <w:r>
        <w:rPr>
          <w:rFonts w:hint="eastAsia"/>
        </w:rPr>
        <w:t>”时</w:t>
      </w:r>
      <w:r>
        <w:t>的最低光功率</w:t>
      </w:r>
      <w:r>
        <w:rPr>
          <w:rFonts w:hint="eastAsia"/>
        </w:rPr>
        <w:t>较低；另一方面是因为在情况</w:t>
      </w:r>
      <w:r>
        <w:rPr>
          <w:rFonts w:hint="eastAsia"/>
        </w:rPr>
        <w:t>2</w:t>
      </w:r>
      <w:r>
        <w:rPr>
          <w:rFonts w:hint="eastAsia"/>
        </w:rPr>
        <w:t>）或情况</w:t>
      </w:r>
      <w:r>
        <w:rPr>
          <w:rFonts w:hint="eastAsia"/>
        </w:rPr>
        <w:t>3</w:t>
      </w:r>
      <w:r>
        <w:rPr>
          <w:rFonts w:hint="eastAsia"/>
        </w:rPr>
        <w:t>）中，</w:t>
      </w:r>
      <w:r>
        <w:t>编码器输出为逻辑</w:t>
      </w:r>
      <w:r>
        <w:rPr>
          <w:rFonts w:hint="eastAsia"/>
        </w:rPr>
        <w:t>“</w:t>
      </w:r>
      <w:r>
        <w:rPr>
          <w:rFonts w:hint="eastAsia"/>
        </w:rPr>
        <w:t>0</w:t>
      </w:r>
      <w:r>
        <w:rPr>
          <w:rFonts w:hint="eastAsia"/>
        </w:rPr>
        <w:t>”时</w:t>
      </w:r>
      <w:r>
        <w:t>的最</w:t>
      </w:r>
      <w:r>
        <w:rPr>
          <w:rFonts w:hint="eastAsia"/>
        </w:rPr>
        <w:t>高</w:t>
      </w:r>
      <w:r>
        <w:t>光功率</w:t>
      </w:r>
      <w:r>
        <w:rPr>
          <w:rFonts w:hint="eastAsia"/>
        </w:rPr>
        <w:t>偏高。因此希望通过研究介质柱</w:t>
      </w:r>
      <w:r>
        <w:rPr>
          <w:rFonts w:hint="eastAsia"/>
        </w:rPr>
        <w:t>A</w:t>
      </w:r>
      <w:r>
        <w:rPr>
          <w:rFonts w:hint="eastAsia"/>
        </w:rPr>
        <w:t>的横向偏移量</w:t>
      </w:r>
      <w:r w:rsidR="00116D15">
        <w:rPr>
          <w:i/>
          <w:iCs/>
        </w:rPr>
        <w:t>S</w:t>
      </w:r>
      <w:r>
        <w:rPr>
          <w:vertAlign w:val="subscript"/>
        </w:rPr>
        <w:t>1</w:t>
      </w:r>
      <w:r>
        <w:rPr>
          <w:rFonts w:hint="eastAsia"/>
        </w:rPr>
        <w:t>以及介质柱</w:t>
      </w:r>
      <w:r>
        <w:rPr>
          <w:rFonts w:hint="eastAsia"/>
        </w:rPr>
        <w:t>B</w:t>
      </w:r>
      <w:r>
        <w:rPr>
          <w:rFonts w:hint="eastAsia"/>
        </w:rPr>
        <w:t>和</w:t>
      </w:r>
      <w:r>
        <w:rPr>
          <w:rFonts w:hint="eastAsia"/>
        </w:rPr>
        <w:t>C</w:t>
      </w:r>
      <w:r>
        <w:rPr>
          <w:rFonts w:hint="eastAsia"/>
        </w:rPr>
        <w:t>的横向偏移量</w:t>
      </w:r>
      <w:r w:rsidR="00116D15">
        <w:rPr>
          <w:i/>
          <w:iCs/>
        </w:rPr>
        <w:t>S</w:t>
      </w:r>
      <w:r>
        <w:rPr>
          <w:vertAlign w:val="subscript"/>
        </w:rPr>
        <w:t>2</w:t>
      </w:r>
      <w:r>
        <w:rPr>
          <w:rFonts w:hint="eastAsia"/>
        </w:rPr>
        <w:t>对于透过率的影响，提高</w:t>
      </w:r>
      <w:r>
        <w:t>逻辑</w:t>
      </w:r>
      <w:r>
        <w:rPr>
          <w:rFonts w:hint="eastAsia"/>
        </w:rPr>
        <w:t>“</w:t>
      </w:r>
      <w:r>
        <w:rPr>
          <w:rFonts w:hint="eastAsia"/>
        </w:rPr>
        <w:t>1</w:t>
      </w:r>
      <w:r>
        <w:rPr>
          <w:rFonts w:hint="eastAsia"/>
        </w:rPr>
        <w:t>”</w:t>
      </w:r>
      <w:r>
        <w:t>的最低光功率</w:t>
      </w:r>
      <w:r>
        <w:rPr>
          <w:rFonts w:hint="eastAsia"/>
        </w:rPr>
        <w:t>或降低</w:t>
      </w:r>
      <w:r>
        <w:t>逻辑</w:t>
      </w:r>
      <w:r>
        <w:rPr>
          <w:rFonts w:hint="eastAsia"/>
        </w:rPr>
        <w:t>“</w:t>
      </w:r>
      <w:r>
        <w:rPr>
          <w:rFonts w:hint="eastAsia"/>
        </w:rPr>
        <w:t>0</w:t>
      </w:r>
      <w:r>
        <w:rPr>
          <w:rFonts w:hint="eastAsia"/>
        </w:rPr>
        <w:t>”</w:t>
      </w:r>
      <w:r>
        <w:t>的最</w:t>
      </w:r>
      <w:r>
        <w:rPr>
          <w:rFonts w:hint="eastAsia"/>
        </w:rPr>
        <w:t>高</w:t>
      </w:r>
      <w:r>
        <w:t>光功率</w:t>
      </w:r>
      <w:r>
        <w:rPr>
          <w:rFonts w:hint="eastAsia"/>
        </w:rPr>
        <w:t>，进而提高编码器的对比度等整体性能。</w:t>
      </w:r>
    </w:p>
    <w:p w14:paraId="3622A570" w14:textId="7C6036AD" w:rsidR="00C66954" w:rsidRDefault="00A773EE">
      <w:pPr>
        <w:ind w:firstLineChars="200" w:firstLine="420"/>
      </w:pPr>
      <w:r>
        <w:rPr>
          <w:rFonts w:hint="eastAsia"/>
        </w:rPr>
        <w:t>首先在保持介质柱</w:t>
      </w:r>
      <w:r>
        <w:t>B</w:t>
      </w:r>
      <w:r>
        <w:rPr>
          <w:rFonts w:hint="eastAsia"/>
        </w:rPr>
        <w:t>和</w:t>
      </w:r>
      <w:r>
        <w:t>C</w:t>
      </w:r>
      <w:r>
        <w:rPr>
          <w:rFonts w:hint="eastAsia"/>
        </w:rPr>
        <w:t>的横向偏移量不变，即</w:t>
      </w:r>
      <w:r w:rsidR="00116D15">
        <w:rPr>
          <w:i/>
          <w:iCs/>
        </w:rPr>
        <w:t>S</w:t>
      </w:r>
      <w:r>
        <w:rPr>
          <w:vertAlign w:val="subscript"/>
        </w:rPr>
        <w:t>2</w:t>
      </w:r>
      <w:r>
        <w:rPr>
          <w:rFonts w:hint="eastAsia"/>
        </w:rPr>
        <w:t>＝</w:t>
      </w:r>
      <w:r>
        <w:t>0</w:t>
      </w:r>
      <w:r>
        <w:rPr>
          <w:rFonts w:hint="eastAsia"/>
        </w:rPr>
        <w:t>时，研究介质柱</w:t>
      </w:r>
      <w:r>
        <w:rPr>
          <w:rFonts w:hint="eastAsia"/>
        </w:rPr>
        <w:t>A</w:t>
      </w:r>
      <w:r>
        <w:rPr>
          <w:rFonts w:hint="eastAsia"/>
        </w:rPr>
        <w:t>的横向偏移量</w:t>
      </w:r>
      <w:r w:rsidR="00116D15">
        <w:rPr>
          <w:i/>
          <w:iCs/>
        </w:rPr>
        <w:t>S</w:t>
      </w:r>
      <w:r>
        <w:rPr>
          <w:vertAlign w:val="subscript"/>
        </w:rPr>
        <w:t>1</w:t>
      </w:r>
      <w:r>
        <w:rPr>
          <w:rFonts w:hint="eastAsia"/>
        </w:rPr>
        <w:t>对于输出端口</w:t>
      </w:r>
      <w:r>
        <w:rPr>
          <w:rFonts w:hint="eastAsia"/>
          <w:i/>
          <w:iCs/>
        </w:rPr>
        <w:t>O</w:t>
      </w:r>
      <w:r>
        <w:rPr>
          <w:vertAlign w:val="subscript"/>
        </w:rPr>
        <w:t>0</w:t>
      </w:r>
      <w:r>
        <w:rPr>
          <w:rFonts w:hint="eastAsia"/>
        </w:rPr>
        <w:t>和</w:t>
      </w:r>
      <w:r>
        <w:rPr>
          <w:rFonts w:hint="eastAsia"/>
          <w:i/>
          <w:iCs/>
        </w:rPr>
        <w:t>O</w:t>
      </w:r>
      <w:r>
        <w:rPr>
          <w:vertAlign w:val="subscript"/>
        </w:rPr>
        <w:t>1</w:t>
      </w:r>
      <w:r>
        <w:rPr>
          <w:rFonts w:hint="eastAsia"/>
        </w:rPr>
        <w:t>的透过率的影响，结果如图</w:t>
      </w:r>
      <w:r>
        <w:t>4</w:t>
      </w:r>
      <w:r>
        <w:rPr>
          <w:rFonts w:hint="eastAsia"/>
        </w:rPr>
        <w:t>所示。可以看出，</w:t>
      </w:r>
      <w:r w:rsidR="00116D15">
        <w:rPr>
          <w:i/>
          <w:iCs/>
        </w:rPr>
        <w:t>S</w:t>
      </w:r>
      <w:r>
        <w:rPr>
          <w:vertAlign w:val="subscript"/>
        </w:rPr>
        <w:t>1</w:t>
      </w:r>
      <w:r>
        <w:rPr>
          <w:rFonts w:hint="eastAsia"/>
          <w:color w:val="auto"/>
        </w:rPr>
        <w:t>在</w:t>
      </w:r>
      <w:r>
        <w:t>−20</w:t>
      </w:r>
      <w:r>
        <w:t>～</w:t>
      </w:r>
      <w:r>
        <w:t>31 μm</w:t>
      </w:r>
      <w:r>
        <w:rPr>
          <w:rFonts w:hint="eastAsia"/>
        </w:rPr>
        <w:t>范围内，由于结构的对称性，输出端口</w:t>
      </w:r>
      <w:r>
        <w:rPr>
          <w:rFonts w:hint="eastAsia"/>
          <w:i/>
          <w:iCs/>
        </w:rPr>
        <w:t>O</w:t>
      </w:r>
      <w:r>
        <w:rPr>
          <w:vertAlign w:val="subscript"/>
        </w:rPr>
        <w:t>0</w:t>
      </w:r>
      <w:r>
        <w:rPr>
          <w:rFonts w:hint="eastAsia"/>
        </w:rPr>
        <w:t>和</w:t>
      </w:r>
      <w:r>
        <w:rPr>
          <w:rFonts w:hint="eastAsia"/>
          <w:i/>
          <w:iCs/>
        </w:rPr>
        <w:t>O</w:t>
      </w:r>
      <w:r>
        <w:rPr>
          <w:vertAlign w:val="subscript"/>
        </w:rPr>
        <w:t>1</w:t>
      </w:r>
      <w:r>
        <w:rPr>
          <w:rFonts w:hint="eastAsia"/>
        </w:rPr>
        <w:t>的透过率曲线重合，总体呈上升趋势，这是</w:t>
      </w:r>
      <w:r w:rsidR="005757F5">
        <w:rPr>
          <w:rFonts w:hint="eastAsia"/>
        </w:rPr>
        <w:t>由于</w:t>
      </w:r>
      <w:r>
        <w:rPr>
          <w:rFonts w:hint="eastAsia"/>
        </w:rPr>
        <w:t>介质柱</w:t>
      </w:r>
      <w:r>
        <w:rPr>
          <w:rFonts w:hint="eastAsia"/>
        </w:rPr>
        <w:t>A</w:t>
      </w:r>
      <w:r>
        <w:rPr>
          <w:rFonts w:hint="eastAsia"/>
        </w:rPr>
        <w:t>位于波导的分束结构处，能够影响从输入波导</w:t>
      </w:r>
      <w:r>
        <w:rPr>
          <w:rFonts w:hint="eastAsia"/>
          <w:i/>
          <w:iCs/>
        </w:rPr>
        <w:t>W</w:t>
      </w:r>
      <w:r>
        <w:rPr>
          <w:vertAlign w:val="subscript"/>
        </w:rPr>
        <w:t>2</w:t>
      </w:r>
      <w:r>
        <w:rPr>
          <w:rFonts w:hint="eastAsia"/>
        </w:rPr>
        <w:t>耦合进输出波导</w:t>
      </w:r>
      <w:r>
        <w:rPr>
          <w:i/>
          <w:iCs/>
        </w:rPr>
        <w:t>W</w:t>
      </w:r>
      <w:r>
        <w:rPr>
          <w:vertAlign w:val="subscript"/>
        </w:rPr>
        <w:t>4</w:t>
      </w:r>
      <w:r>
        <w:rPr>
          <w:rFonts w:hint="eastAsia"/>
        </w:rPr>
        <w:t>和</w:t>
      </w:r>
      <w:r>
        <w:rPr>
          <w:i/>
          <w:iCs/>
        </w:rPr>
        <w:t>W</w:t>
      </w:r>
      <w:r>
        <w:rPr>
          <w:vertAlign w:val="subscript"/>
        </w:rPr>
        <w:t>5</w:t>
      </w:r>
      <w:r>
        <w:rPr>
          <w:rFonts w:hint="eastAsia"/>
        </w:rPr>
        <w:t>的光能量。在</w:t>
      </w:r>
      <w:r w:rsidR="00116D15">
        <w:rPr>
          <w:i/>
          <w:iCs/>
        </w:rPr>
        <w:t>S</w:t>
      </w:r>
      <w:r>
        <w:rPr>
          <w:vertAlign w:val="subscript"/>
        </w:rPr>
        <w:t>1</w:t>
      </w:r>
      <w:r>
        <w:rPr>
          <w:rFonts w:hint="eastAsia"/>
        </w:rPr>
        <w:t>＝</w:t>
      </w:r>
      <w:r>
        <w:rPr>
          <w:rFonts w:hint="eastAsia"/>
        </w:rPr>
        <w:t>2</w:t>
      </w:r>
      <w:r>
        <w:t>5.65 μm</w:t>
      </w:r>
      <w:r>
        <w:rPr>
          <w:rFonts w:hint="eastAsia"/>
        </w:rPr>
        <w:t>时，</w:t>
      </w:r>
      <w:r w:rsidR="004630DB">
        <w:rPr>
          <w:rFonts w:hint="eastAsia"/>
        </w:rPr>
        <w:t>2</w:t>
      </w:r>
      <w:r>
        <w:rPr>
          <w:rFonts w:hint="eastAsia"/>
        </w:rPr>
        <w:t>个输出端口的透过率最高，约为</w:t>
      </w:r>
      <w:r>
        <w:rPr>
          <w:rFonts w:hint="eastAsia"/>
        </w:rPr>
        <w:t>4</w:t>
      </w:r>
      <w:r>
        <w:t>6.45%</w:t>
      </w:r>
      <w:r>
        <w:rPr>
          <w:rFonts w:hint="eastAsia"/>
        </w:rPr>
        <w:t>。</w:t>
      </w:r>
    </w:p>
    <w:p w14:paraId="6A31843D" w14:textId="208743C4" w:rsidR="00C66954" w:rsidRDefault="00C60483">
      <w:pPr>
        <w:ind w:firstLineChars="200" w:firstLine="420"/>
        <w:jc w:val="center"/>
      </w:pPr>
      <w:r>
        <w:object w:dxaOrig="4245" w:dyaOrig="3360" w14:anchorId="1C94D431">
          <v:shape id="_x0000_i1040" type="#_x0000_t75" style="width:191pt;height:151.5pt" o:ole="">
            <v:imagedata r:id="rId38" o:title=""/>
          </v:shape>
          <o:OLEObject Type="Embed" ProgID="Visio.Drawing.15" ShapeID="_x0000_i1040" DrawAspect="Content" ObjectID="_1756703760" r:id="rId39"/>
        </w:object>
      </w:r>
    </w:p>
    <w:p w14:paraId="08AB0E1A" w14:textId="4FB78170" w:rsidR="00C66954" w:rsidRDefault="00A773EE">
      <w:pPr>
        <w:autoSpaceDE w:val="0"/>
        <w:autoSpaceDN w:val="0"/>
        <w:jc w:val="center"/>
        <w:rPr>
          <w:rFonts w:eastAsia="黑体"/>
          <w:sz w:val="15"/>
          <w:szCs w:val="15"/>
        </w:rPr>
      </w:pPr>
      <w:r>
        <w:rPr>
          <w:rFonts w:eastAsia="黑体"/>
          <w:sz w:val="15"/>
          <w:szCs w:val="15"/>
        </w:rPr>
        <w:t>图</w:t>
      </w:r>
      <w:r>
        <w:rPr>
          <w:rFonts w:eastAsia="黑体"/>
          <w:sz w:val="15"/>
          <w:szCs w:val="15"/>
        </w:rPr>
        <w:t xml:space="preserve"> 4  </w:t>
      </w:r>
      <w:r>
        <w:rPr>
          <w:rFonts w:eastAsia="黑体"/>
          <w:sz w:val="15"/>
          <w:szCs w:val="15"/>
        </w:rPr>
        <w:t>输出端口</w:t>
      </w:r>
      <w:r>
        <w:rPr>
          <w:rFonts w:eastAsia="黑体"/>
          <w:i/>
          <w:iCs/>
          <w:sz w:val="15"/>
          <w:szCs w:val="15"/>
        </w:rPr>
        <w:t>O</w:t>
      </w:r>
      <w:r>
        <w:rPr>
          <w:rFonts w:eastAsia="黑体"/>
          <w:sz w:val="15"/>
          <w:szCs w:val="15"/>
          <w:vertAlign w:val="subscript"/>
        </w:rPr>
        <w:t>0</w:t>
      </w:r>
      <w:r>
        <w:rPr>
          <w:rFonts w:eastAsia="黑体"/>
          <w:sz w:val="15"/>
          <w:szCs w:val="15"/>
        </w:rPr>
        <w:t>和</w:t>
      </w:r>
      <w:r>
        <w:rPr>
          <w:rFonts w:eastAsia="黑体"/>
          <w:i/>
          <w:iCs/>
          <w:sz w:val="15"/>
          <w:szCs w:val="15"/>
        </w:rPr>
        <w:t>O</w:t>
      </w:r>
      <w:r>
        <w:rPr>
          <w:rFonts w:eastAsia="黑体"/>
          <w:sz w:val="15"/>
          <w:szCs w:val="15"/>
          <w:vertAlign w:val="subscript"/>
        </w:rPr>
        <w:t>1</w:t>
      </w:r>
      <w:r>
        <w:rPr>
          <w:rFonts w:eastAsia="黑体"/>
          <w:sz w:val="15"/>
          <w:szCs w:val="15"/>
        </w:rPr>
        <w:t>的透过率随</w:t>
      </w:r>
      <w:r w:rsidR="00116D15">
        <w:rPr>
          <w:rFonts w:eastAsia="黑体"/>
          <w:i/>
          <w:iCs/>
          <w:sz w:val="15"/>
          <w:szCs w:val="15"/>
        </w:rPr>
        <w:t>S</w:t>
      </w:r>
      <w:r>
        <w:rPr>
          <w:rFonts w:eastAsia="黑体"/>
          <w:sz w:val="15"/>
          <w:szCs w:val="15"/>
          <w:vertAlign w:val="subscript"/>
        </w:rPr>
        <w:t>1</w:t>
      </w:r>
      <w:r>
        <w:rPr>
          <w:rFonts w:eastAsia="黑体"/>
          <w:sz w:val="15"/>
          <w:szCs w:val="15"/>
        </w:rPr>
        <w:t>的变化</w:t>
      </w:r>
    </w:p>
    <w:p w14:paraId="6FDBABDF" w14:textId="209C4E38" w:rsidR="00C66954" w:rsidRDefault="009F3A11">
      <w:pPr>
        <w:ind w:firstLineChars="200" w:firstLine="420"/>
      </w:pPr>
      <w:r>
        <w:rPr>
          <w:rFonts w:hint="eastAsia"/>
        </w:rPr>
        <w:t>本文</w:t>
      </w:r>
      <w:r w:rsidR="00A773EE">
        <w:rPr>
          <w:rFonts w:hint="eastAsia"/>
        </w:rPr>
        <w:t>研究</w:t>
      </w:r>
      <w:r>
        <w:rPr>
          <w:rFonts w:hint="eastAsia"/>
        </w:rPr>
        <w:t>了</w:t>
      </w:r>
      <w:r w:rsidR="00A773EE">
        <w:rPr>
          <w:rFonts w:hint="eastAsia"/>
        </w:rPr>
        <w:t>在介质柱</w:t>
      </w:r>
      <w:r w:rsidR="00A773EE">
        <w:rPr>
          <w:rFonts w:hint="eastAsia"/>
        </w:rPr>
        <w:t>A</w:t>
      </w:r>
      <w:r w:rsidR="00A773EE">
        <w:rPr>
          <w:rFonts w:hint="eastAsia"/>
        </w:rPr>
        <w:t>的偏移量</w:t>
      </w:r>
      <w:r w:rsidR="00116D15">
        <w:rPr>
          <w:i/>
          <w:iCs/>
        </w:rPr>
        <w:t>S</w:t>
      </w:r>
      <w:r w:rsidR="00A773EE">
        <w:rPr>
          <w:vertAlign w:val="subscript"/>
        </w:rPr>
        <w:t>1</w:t>
      </w:r>
      <w:r w:rsidR="00A773EE">
        <w:rPr>
          <w:rFonts w:hint="eastAsia"/>
        </w:rPr>
        <w:t>＝</w:t>
      </w:r>
      <w:r w:rsidR="00A773EE">
        <w:t>25.65 μm</w:t>
      </w:r>
      <w:r w:rsidR="00A773EE">
        <w:t>时</w:t>
      </w:r>
      <w:r w:rsidR="00A773EE">
        <w:rPr>
          <w:rFonts w:hint="eastAsia"/>
        </w:rPr>
        <w:t>，介质柱</w:t>
      </w:r>
      <w:r w:rsidR="00A773EE">
        <w:rPr>
          <w:rFonts w:hint="eastAsia"/>
        </w:rPr>
        <w:t>B</w:t>
      </w:r>
      <w:r w:rsidR="00A773EE">
        <w:rPr>
          <w:rFonts w:hint="eastAsia"/>
        </w:rPr>
        <w:t>和</w:t>
      </w:r>
      <w:r w:rsidR="00A773EE">
        <w:rPr>
          <w:rFonts w:hint="eastAsia"/>
        </w:rPr>
        <w:t>C</w:t>
      </w:r>
      <w:r w:rsidR="00A773EE">
        <w:rPr>
          <w:rFonts w:hint="eastAsia"/>
        </w:rPr>
        <w:t>的横向偏移量</w:t>
      </w:r>
      <w:r w:rsidR="00116D15">
        <w:rPr>
          <w:i/>
          <w:iCs/>
        </w:rPr>
        <w:t>S</w:t>
      </w:r>
      <w:r w:rsidR="00A773EE">
        <w:rPr>
          <w:vertAlign w:val="subscript"/>
        </w:rPr>
        <w:t>2</w:t>
      </w:r>
      <w:r w:rsidR="00A773EE">
        <w:rPr>
          <w:rFonts w:hint="eastAsia"/>
        </w:rPr>
        <w:t>对于输出端口</w:t>
      </w:r>
      <w:r w:rsidR="00A773EE">
        <w:rPr>
          <w:rFonts w:hint="eastAsia"/>
          <w:i/>
          <w:iCs/>
        </w:rPr>
        <w:t>O</w:t>
      </w:r>
      <w:r w:rsidR="00A773EE">
        <w:rPr>
          <w:vertAlign w:val="subscript"/>
        </w:rPr>
        <w:t>0</w:t>
      </w:r>
      <w:r w:rsidR="00A773EE">
        <w:rPr>
          <w:rFonts w:hint="eastAsia"/>
        </w:rPr>
        <w:t>和</w:t>
      </w:r>
      <w:r w:rsidR="00A773EE">
        <w:rPr>
          <w:rFonts w:hint="eastAsia"/>
          <w:i/>
          <w:iCs/>
        </w:rPr>
        <w:t>O</w:t>
      </w:r>
      <w:r w:rsidR="00A773EE">
        <w:rPr>
          <w:vertAlign w:val="subscript"/>
        </w:rPr>
        <w:t>1</w:t>
      </w:r>
      <w:r w:rsidR="00A773EE">
        <w:rPr>
          <w:rFonts w:hint="eastAsia"/>
        </w:rPr>
        <w:t>的透过率的影响，结果如图</w:t>
      </w:r>
      <w:r w:rsidR="00A773EE">
        <w:t>5</w:t>
      </w:r>
      <w:r w:rsidR="00A773EE">
        <w:rPr>
          <w:rFonts w:hint="eastAsia"/>
        </w:rPr>
        <w:t>所示。</w:t>
      </w:r>
      <w:r w:rsidR="00A773EE">
        <w:t>可以看出，介质柱</w:t>
      </w:r>
      <w:r w:rsidR="00A773EE">
        <w:t>B</w:t>
      </w:r>
      <w:r w:rsidR="00A773EE">
        <w:t>和</w:t>
      </w:r>
      <w:r w:rsidR="00A773EE">
        <w:t>C</w:t>
      </w:r>
      <w:r w:rsidR="00A773EE">
        <w:rPr>
          <w:rFonts w:hint="eastAsia"/>
        </w:rPr>
        <w:t>的横向</w:t>
      </w:r>
      <w:r w:rsidR="00A773EE">
        <w:t>偏移量</w:t>
      </w:r>
      <w:r w:rsidR="00116D15">
        <w:rPr>
          <w:i/>
          <w:iCs/>
        </w:rPr>
        <w:t>S</w:t>
      </w:r>
      <w:r w:rsidR="00A773EE">
        <w:rPr>
          <w:vertAlign w:val="subscript"/>
        </w:rPr>
        <w:t>2</w:t>
      </w:r>
      <w:r w:rsidR="00A773EE">
        <w:t>在</w:t>
      </w:r>
      <w:r w:rsidR="00A773EE">
        <w:rPr>
          <w:rFonts w:hint="eastAsia"/>
        </w:rPr>
        <w:t xml:space="preserve"> </w:t>
      </w:r>
      <w:r w:rsidR="00A773EE">
        <w:t>−30</w:t>
      </w:r>
      <w:r w:rsidR="00A773EE">
        <w:t>～</w:t>
      </w:r>
      <w:r w:rsidR="00A773EE">
        <w:t>20 μm</w:t>
      </w:r>
      <w:r w:rsidR="00A773EE">
        <w:t>的范围内</w:t>
      </w:r>
      <w:r w:rsidR="00A773EE">
        <w:rPr>
          <w:rFonts w:hint="eastAsia"/>
        </w:rPr>
        <w:t>，</w:t>
      </w:r>
      <w:r w:rsidR="00A773EE">
        <w:t>输出端口</w:t>
      </w:r>
      <w:r w:rsidR="00A773EE">
        <w:rPr>
          <w:i/>
          <w:iCs/>
        </w:rPr>
        <w:t>O</w:t>
      </w:r>
      <w:r w:rsidR="00A773EE">
        <w:rPr>
          <w:vertAlign w:val="subscript"/>
        </w:rPr>
        <w:t>0</w:t>
      </w:r>
      <w:r w:rsidR="00A773EE">
        <w:t>和</w:t>
      </w:r>
      <w:r w:rsidR="00A773EE">
        <w:rPr>
          <w:i/>
          <w:iCs/>
        </w:rPr>
        <w:t>O</w:t>
      </w:r>
      <w:r w:rsidR="00A773EE">
        <w:rPr>
          <w:vertAlign w:val="subscript"/>
        </w:rPr>
        <w:t>1</w:t>
      </w:r>
      <w:r w:rsidR="00A773EE">
        <w:t>的透过率</w:t>
      </w:r>
      <w:r w:rsidR="00A773EE">
        <w:rPr>
          <w:rFonts w:hint="eastAsia"/>
        </w:rPr>
        <w:t>曲线</w:t>
      </w:r>
      <w:r w:rsidR="0042604D">
        <w:rPr>
          <w:rFonts w:hint="eastAsia"/>
        </w:rPr>
        <w:t>形态相</w:t>
      </w:r>
      <w:r w:rsidR="0042604D">
        <w:t>同</w:t>
      </w:r>
      <w:r w:rsidR="0042604D">
        <w:rPr>
          <w:rFonts w:hint="eastAsia"/>
        </w:rPr>
        <w:t>且</w:t>
      </w:r>
      <w:r w:rsidR="0042604D">
        <w:t>重合</w:t>
      </w:r>
      <w:r w:rsidR="00A773EE">
        <w:rPr>
          <w:rFonts w:hint="eastAsia"/>
        </w:rPr>
        <w:t>，</w:t>
      </w:r>
      <w:r w:rsidR="00A773EE">
        <w:t>呈现先增加后下降的趋势，</w:t>
      </w:r>
      <w:r w:rsidR="00A773EE">
        <w:rPr>
          <w:rFonts w:hint="eastAsia"/>
        </w:rPr>
        <w:t>因为介质柱</w:t>
      </w:r>
      <w:r w:rsidR="00A773EE">
        <w:t>B</w:t>
      </w:r>
      <w:r w:rsidR="00A773EE">
        <w:rPr>
          <w:rFonts w:hint="eastAsia"/>
        </w:rPr>
        <w:t>和</w:t>
      </w:r>
      <w:r w:rsidR="00A773EE">
        <w:t>C</w:t>
      </w:r>
      <w:r w:rsidR="00A773EE">
        <w:rPr>
          <w:rFonts w:hint="eastAsia"/>
        </w:rPr>
        <w:t>位于</w:t>
      </w:r>
      <w:r w:rsidR="00A773EE">
        <w:rPr>
          <w:rFonts w:hint="eastAsia"/>
        </w:rPr>
        <w:t>Y</w:t>
      </w:r>
      <w:r w:rsidR="00A773EE">
        <w:rPr>
          <w:rFonts w:hint="eastAsia"/>
        </w:rPr>
        <w:t>型波导、弯曲波导以及输出直波导的相交处，其横向位置会影响输入光耦合进分支波导以及输出波导的光能量。</w:t>
      </w:r>
      <w:r w:rsidR="00A773EE">
        <w:t>在</w:t>
      </w:r>
      <w:r w:rsidR="00116D15">
        <w:rPr>
          <w:i/>
          <w:iCs/>
        </w:rPr>
        <w:t>S</w:t>
      </w:r>
      <w:r w:rsidR="00A773EE">
        <w:rPr>
          <w:vertAlign w:val="subscript"/>
        </w:rPr>
        <w:t>2</w:t>
      </w:r>
      <w:r w:rsidR="00A773EE">
        <w:rPr>
          <w:rFonts w:hint="eastAsia"/>
        </w:rPr>
        <w:t>＝</w:t>
      </w:r>
      <w:r w:rsidR="00A773EE">
        <w:t>−28.15 μm</w:t>
      </w:r>
      <w:r w:rsidR="00A773EE">
        <w:t>时，</w:t>
      </w:r>
      <w:r w:rsidR="004630DB">
        <w:rPr>
          <w:rFonts w:hint="eastAsia"/>
        </w:rPr>
        <w:t>2</w:t>
      </w:r>
      <w:r w:rsidR="00A773EE">
        <w:rPr>
          <w:rFonts w:hint="eastAsia"/>
        </w:rPr>
        <w:t>个输出端口的</w:t>
      </w:r>
      <w:r w:rsidR="00A773EE">
        <w:t>透过率最高，约为</w:t>
      </w:r>
      <w:r w:rsidR="00A773EE">
        <w:rPr>
          <w:rFonts w:hint="eastAsia"/>
        </w:rPr>
        <w:t>4</w:t>
      </w:r>
      <w:r w:rsidR="00A773EE">
        <w:t>9.69%</w:t>
      </w:r>
      <w:r w:rsidR="00A773EE">
        <w:t>。</w:t>
      </w:r>
    </w:p>
    <w:p w14:paraId="595D71A3" w14:textId="123A61AF" w:rsidR="00C66954" w:rsidRDefault="00A773EE">
      <w:pPr>
        <w:ind w:firstLineChars="200" w:firstLine="420"/>
        <w:jc w:val="center"/>
      </w:pPr>
      <w:r>
        <w:rPr>
          <w:rFonts w:hint="eastAsia"/>
        </w:rPr>
        <w:t xml:space="preserve"> </w:t>
      </w:r>
      <w:r>
        <w:t xml:space="preserve"> </w:t>
      </w:r>
      <w:r w:rsidR="00C60483">
        <w:object w:dxaOrig="4275" w:dyaOrig="3285" w14:anchorId="73863A7D">
          <v:shape id="_x0000_i1041" type="#_x0000_t75" style="width:197.5pt;height:152.5pt" o:ole="">
            <v:imagedata r:id="rId40" o:title=""/>
          </v:shape>
          <o:OLEObject Type="Embed" ProgID="Visio.Drawing.15" ShapeID="_x0000_i1041" DrawAspect="Content" ObjectID="_1756703761" r:id="rId41"/>
        </w:object>
      </w:r>
    </w:p>
    <w:p w14:paraId="70DD5C25" w14:textId="7139AEE1" w:rsidR="00C66954" w:rsidRDefault="00A773EE">
      <w:pPr>
        <w:autoSpaceDE w:val="0"/>
        <w:autoSpaceDN w:val="0"/>
        <w:jc w:val="center"/>
        <w:rPr>
          <w:rFonts w:ascii="黑体" w:eastAsia="黑体" w:hAnsi="黑体"/>
          <w:sz w:val="15"/>
          <w:szCs w:val="15"/>
        </w:rPr>
      </w:pPr>
      <w:r>
        <w:rPr>
          <w:rFonts w:ascii="黑体" w:eastAsia="黑体" w:hAnsi="黑体"/>
          <w:sz w:val="15"/>
          <w:szCs w:val="15"/>
        </w:rPr>
        <w:t>图</w:t>
      </w:r>
      <w:r>
        <w:rPr>
          <w:rFonts w:ascii="黑体" w:eastAsia="黑体" w:hAnsi="黑体" w:hint="eastAsia"/>
          <w:sz w:val="15"/>
          <w:szCs w:val="15"/>
        </w:rPr>
        <w:t xml:space="preserve"> </w:t>
      </w:r>
      <w:r>
        <w:rPr>
          <w:rFonts w:ascii="黑体" w:eastAsia="黑体" w:hAnsi="黑体"/>
          <w:sz w:val="15"/>
          <w:szCs w:val="15"/>
        </w:rPr>
        <w:t xml:space="preserve">5  </w:t>
      </w:r>
      <w:r>
        <w:rPr>
          <w:rFonts w:eastAsia="黑体"/>
          <w:sz w:val="15"/>
          <w:szCs w:val="15"/>
        </w:rPr>
        <w:t>输出端口</w:t>
      </w:r>
      <w:r>
        <w:rPr>
          <w:rFonts w:eastAsia="黑体"/>
          <w:i/>
          <w:iCs/>
          <w:sz w:val="15"/>
          <w:szCs w:val="15"/>
        </w:rPr>
        <w:t>O</w:t>
      </w:r>
      <w:r>
        <w:rPr>
          <w:rFonts w:eastAsia="黑体"/>
          <w:sz w:val="15"/>
          <w:szCs w:val="15"/>
          <w:vertAlign w:val="subscript"/>
        </w:rPr>
        <w:t>0</w:t>
      </w:r>
      <w:r>
        <w:rPr>
          <w:rFonts w:eastAsia="黑体"/>
          <w:sz w:val="15"/>
          <w:szCs w:val="15"/>
        </w:rPr>
        <w:t>和</w:t>
      </w:r>
      <w:r>
        <w:rPr>
          <w:rFonts w:eastAsia="黑体"/>
          <w:i/>
          <w:iCs/>
          <w:sz w:val="15"/>
          <w:szCs w:val="15"/>
        </w:rPr>
        <w:t>O</w:t>
      </w:r>
      <w:r>
        <w:rPr>
          <w:rFonts w:eastAsia="黑体"/>
          <w:sz w:val="15"/>
          <w:szCs w:val="15"/>
          <w:vertAlign w:val="subscript"/>
        </w:rPr>
        <w:t>1</w:t>
      </w:r>
      <w:r>
        <w:rPr>
          <w:rFonts w:eastAsia="黑体"/>
          <w:sz w:val="15"/>
          <w:szCs w:val="15"/>
        </w:rPr>
        <w:t>的透过率随</w:t>
      </w:r>
      <w:r w:rsidR="00116D15">
        <w:rPr>
          <w:rFonts w:eastAsia="黑体"/>
          <w:i/>
          <w:iCs/>
          <w:sz w:val="15"/>
          <w:szCs w:val="15"/>
        </w:rPr>
        <w:t>S</w:t>
      </w:r>
      <w:r>
        <w:rPr>
          <w:rFonts w:eastAsia="黑体"/>
          <w:sz w:val="15"/>
          <w:szCs w:val="15"/>
          <w:vertAlign w:val="subscript"/>
        </w:rPr>
        <w:t>2</w:t>
      </w:r>
      <w:r>
        <w:rPr>
          <w:rFonts w:eastAsia="黑体"/>
          <w:sz w:val="15"/>
          <w:szCs w:val="15"/>
        </w:rPr>
        <w:t>的变化</w:t>
      </w:r>
    </w:p>
    <w:p w14:paraId="47EC6597" w14:textId="33E81312" w:rsidR="00C66954" w:rsidRDefault="00A773EE">
      <w:pPr>
        <w:ind w:firstLineChars="200" w:firstLine="420"/>
      </w:pPr>
      <w:r>
        <w:t>表</w:t>
      </w:r>
      <w:r>
        <w:rPr>
          <w:rFonts w:hint="eastAsia"/>
        </w:rPr>
        <w:t>2</w:t>
      </w:r>
      <w:r>
        <w:t>是</w:t>
      </w:r>
      <w:r>
        <w:rPr>
          <w:rFonts w:hint="eastAsia"/>
        </w:rPr>
        <w:t>4</w:t>
      </w:r>
      <w:r>
        <w:rPr>
          <w:rFonts w:hint="eastAsia"/>
        </w:rPr>
        <w:t>×</w:t>
      </w:r>
      <w:r>
        <w:rPr>
          <w:rFonts w:hint="eastAsia"/>
        </w:rPr>
        <w:t>2</w:t>
      </w:r>
      <w:r>
        <w:t>编码器</w:t>
      </w:r>
      <w:r>
        <w:rPr>
          <w:rFonts w:hint="eastAsia"/>
        </w:rPr>
        <w:t>在优化后</w:t>
      </w:r>
      <w:r>
        <w:t>的</w:t>
      </w:r>
      <w:r>
        <w:rPr>
          <w:rFonts w:hint="eastAsia"/>
        </w:rPr>
        <w:t>结构参数（</w:t>
      </w:r>
      <w:r w:rsidR="00116D15">
        <w:rPr>
          <w:i/>
          <w:iCs/>
        </w:rPr>
        <w:t>S</w:t>
      </w:r>
      <w:r>
        <w:rPr>
          <w:vertAlign w:val="subscript"/>
        </w:rPr>
        <w:t>1</w:t>
      </w:r>
      <w:r>
        <w:rPr>
          <w:rFonts w:hint="eastAsia"/>
        </w:rPr>
        <w:t>＝</w:t>
      </w:r>
      <w:r>
        <w:t>25.65 μm</w:t>
      </w:r>
      <w:r>
        <w:rPr>
          <w:rFonts w:hint="eastAsia"/>
        </w:rPr>
        <w:t>，</w:t>
      </w:r>
      <w:r w:rsidR="00116D15">
        <w:rPr>
          <w:i/>
          <w:iCs/>
        </w:rPr>
        <w:t>S</w:t>
      </w:r>
      <w:r>
        <w:rPr>
          <w:vertAlign w:val="subscript"/>
        </w:rPr>
        <w:t>2</w:t>
      </w:r>
      <w:r>
        <w:rPr>
          <w:rFonts w:hint="eastAsia"/>
        </w:rPr>
        <w:t>＝</w:t>
      </w:r>
      <w:r>
        <w:t>−28</w:t>
      </w:r>
      <w:r>
        <w:rPr>
          <w:rFonts w:hint="eastAsia"/>
        </w:rPr>
        <w:t>.</w:t>
      </w:r>
      <w:r>
        <w:t>15 μm</w:t>
      </w:r>
      <w:r>
        <w:rPr>
          <w:rFonts w:hint="eastAsia"/>
        </w:rPr>
        <w:t>）下的输出透过率及</w:t>
      </w:r>
      <w:r>
        <w:t>性能参数</w:t>
      </w:r>
      <w:r w:rsidR="00116D15">
        <w:rPr>
          <w:rFonts w:hint="eastAsia"/>
        </w:rPr>
        <w:t>。</w:t>
      </w:r>
      <w:r>
        <w:t>可以</w:t>
      </w:r>
      <w:r w:rsidR="00116D15">
        <w:rPr>
          <w:rFonts w:hint="eastAsia"/>
        </w:rPr>
        <w:t>看出</w:t>
      </w:r>
      <w:r>
        <w:t>，逻辑</w:t>
      </w:r>
      <w:r>
        <w:rPr>
          <w:rFonts w:hint="eastAsia"/>
        </w:rPr>
        <w:t>“</w:t>
      </w:r>
      <w:r>
        <w:rPr>
          <w:rFonts w:hint="eastAsia"/>
        </w:rPr>
        <w:t>1</w:t>
      </w:r>
      <w:r>
        <w:rPr>
          <w:rFonts w:hint="eastAsia"/>
        </w:rPr>
        <w:t>”</w:t>
      </w:r>
      <w:r>
        <w:t>透过率的最低值（</w:t>
      </w:r>
      <w:r>
        <w:rPr>
          <w:i/>
          <w:iCs/>
        </w:rPr>
        <w:t>P</w:t>
      </w:r>
      <w:r>
        <w:rPr>
          <w:vertAlign w:val="subscript"/>
        </w:rPr>
        <w:t>1</w:t>
      </w:r>
      <w:r>
        <w:t>）由</w:t>
      </w:r>
      <w:r>
        <w:t>44.22</w:t>
      </w:r>
      <w:r>
        <w:rPr>
          <w:rFonts w:hint="eastAsia"/>
        </w:rPr>
        <w:t>%</w:t>
      </w:r>
      <w:r>
        <w:t>提高至</w:t>
      </w:r>
      <w:r>
        <w:t>49.69</w:t>
      </w:r>
      <w:r>
        <w:rPr>
          <w:rFonts w:hint="eastAsia"/>
        </w:rPr>
        <w:t>%</w:t>
      </w:r>
      <w:r>
        <w:t>，逻辑</w:t>
      </w:r>
      <w:r>
        <w:rPr>
          <w:rFonts w:hint="eastAsia"/>
        </w:rPr>
        <w:t>“</w:t>
      </w:r>
      <w:r>
        <w:rPr>
          <w:rFonts w:hint="eastAsia"/>
        </w:rPr>
        <w:t>0</w:t>
      </w:r>
      <w:r>
        <w:rPr>
          <w:rFonts w:hint="eastAsia"/>
        </w:rPr>
        <w:t>”</w:t>
      </w:r>
      <w:r>
        <w:t>的透过率的最高值（</w:t>
      </w:r>
      <w:r>
        <w:rPr>
          <w:i/>
          <w:iCs/>
        </w:rPr>
        <w:t>P</w:t>
      </w:r>
      <w:r>
        <w:rPr>
          <w:vertAlign w:val="subscript"/>
        </w:rPr>
        <w:t>0</w:t>
      </w:r>
      <w:r>
        <w:t>）由</w:t>
      </w:r>
      <w:r>
        <w:t>0.68%</w:t>
      </w:r>
      <w:r>
        <w:t>降为</w:t>
      </w:r>
      <w:r>
        <w:t xml:space="preserve">0.22% </w:t>
      </w:r>
      <w:r>
        <w:t>。根据式（</w:t>
      </w:r>
      <w:r>
        <w:t>1</w:t>
      </w:r>
      <w:r>
        <w:t>）计算得到此时编码</w:t>
      </w:r>
      <w:r>
        <w:lastRenderedPageBreak/>
        <w:t>器的对比度提高到了</w:t>
      </w:r>
      <w:r>
        <w:t>23.54 dB</w:t>
      </w:r>
      <w:r>
        <w:t>。</w:t>
      </w:r>
    </w:p>
    <w:p w14:paraId="53021FA1" w14:textId="77777777" w:rsidR="00C66954" w:rsidRDefault="00A773EE">
      <w:pPr>
        <w:autoSpaceDE w:val="0"/>
        <w:autoSpaceDN w:val="0"/>
        <w:jc w:val="center"/>
        <w:rPr>
          <w:rFonts w:ascii="黑体" w:eastAsia="黑体" w:hAnsi="黑体"/>
          <w:sz w:val="18"/>
          <w:szCs w:val="18"/>
        </w:rPr>
      </w:pPr>
      <w:r>
        <w:rPr>
          <w:rFonts w:ascii="黑体" w:eastAsia="黑体" w:hAnsi="黑体"/>
          <w:sz w:val="18"/>
          <w:szCs w:val="18"/>
        </w:rPr>
        <w:t>表</w:t>
      </w:r>
      <w:r>
        <w:rPr>
          <w:rFonts w:ascii="黑体" w:eastAsia="黑体" w:hAnsi="黑体" w:hint="eastAsia"/>
          <w:sz w:val="18"/>
          <w:szCs w:val="18"/>
        </w:rPr>
        <w:t xml:space="preserve"> </w:t>
      </w:r>
      <w:r>
        <w:rPr>
          <w:rFonts w:ascii="黑体" w:eastAsia="黑体" w:hAnsi="黑体"/>
          <w:sz w:val="18"/>
          <w:szCs w:val="18"/>
        </w:rPr>
        <w:t>2 优化后的对称型太赫兹波4×2编码器的透过率及性能参数</w:t>
      </w:r>
    </w:p>
    <w:tbl>
      <w:tblPr>
        <w:tblStyle w:val="af"/>
        <w:tblpPr w:leftFromText="180" w:rightFromText="180" w:vertAnchor="text" w:tblpXSpec="center" w:tblpY="1"/>
        <w:tblOverlap w:val="never"/>
        <w:tblW w:w="9214" w:type="dxa"/>
        <w:tblBorders>
          <w:top w:val="single" w:sz="12" w:space="0" w:color="auto"/>
          <w:left w:val="none" w:sz="0" w:space="0" w:color="auto"/>
          <w:bottom w:val="single" w:sz="12" w:space="0" w:color="auto"/>
          <w:right w:val="none" w:sz="0" w:space="0" w:color="auto"/>
          <w:insideH w:val="none" w:sz="0" w:space="0" w:color="auto"/>
          <w:insideV w:val="none" w:sz="0" w:space="0" w:color="auto"/>
        </w:tblBorders>
        <w:tblLook w:val="04A0" w:firstRow="1" w:lastRow="0" w:firstColumn="1" w:lastColumn="0" w:noHBand="0" w:noVBand="1"/>
      </w:tblPr>
      <w:tblGrid>
        <w:gridCol w:w="1068"/>
        <w:gridCol w:w="921"/>
        <w:gridCol w:w="922"/>
        <w:gridCol w:w="922"/>
        <w:gridCol w:w="922"/>
        <w:gridCol w:w="922"/>
        <w:gridCol w:w="2256"/>
        <w:gridCol w:w="1281"/>
      </w:tblGrid>
      <w:tr w:rsidR="00C66954" w:rsidRPr="00116D15" w14:paraId="18C7269D" w14:textId="77777777">
        <w:tc>
          <w:tcPr>
            <w:tcW w:w="3833" w:type="dxa"/>
            <w:gridSpan w:val="4"/>
            <w:tcBorders>
              <w:top w:val="single" w:sz="8" w:space="0" w:color="auto"/>
              <w:bottom w:val="single" w:sz="4" w:space="0" w:color="auto"/>
              <w:right w:val="single" w:sz="48" w:space="0" w:color="FFFFFF" w:themeColor="background1"/>
            </w:tcBorders>
            <w:vAlign w:val="center"/>
          </w:tcPr>
          <w:p w14:paraId="13845229" w14:textId="77777777" w:rsidR="00C66954" w:rsidRPr="00116D15" w:rsidRDefault="00A773EE">
            <w:pPr>
              <w:jc w:val="center"/>
              <w:rPr>
                <w:sz w:val="15"/>
                <w:szCs w:val="15"/>
              </w:rPr>
            </w:pPr>
            <w:r w:rsidRPr="00116D15">
              <w:rPr>
                <w:rFonts w:hint="eastAsia"/>
                <w:sz w:val="15"/>
                <w:szCs w:val="15"/>
              </w:rPr>
              <w:t>输入端口</w:t>
            </w:r>
          </w:p>
        </w:tc>
        <w:tc>
          <w:tcPr>
            <w:tcW w:w="1844" w:type="dxa"/>
            <w:gridSpan w:val="2"/>
            <w:tcBorders>
              <w:top w:val="single" w:sz="8" w:space="0" w:color="auto"/>
              <w:left w:val="single" w:sz="48" w:space="0" w:color="FFFFFF" w:themeColor="background1"/>
              <w:bottom w:val="single" w:sz="4" w:space="0" w:color="auto"/>
              <w:right w:val="single" w:sz="48" w:space="0" w:color="FFFFFF" w:themeColor="background1"/>
            </w:tcBorders>
            <w:vAlign w:val="center"/>
          </w:tcPr>
          <w:p w14:paraId="5650AD3C" w14:textId="77777777" w:rsidR="00C66954" w:rsidRPr="00116D15" w:rsidRDefault="00A773EE">
            <w:pPr>
              <w:jc w:val="center"/>
              <w:rPr>
                <w:sz w:val="15"/>
                <w:szCs w:val="15"/>
              </w:rPr>
            </w:pPr>
            <w:r w:rsidRPr="00116D15">
              <w:rPr>
                <w:rFonts w:hint="eastAsia"/>
                <w:sz w:val="15"/>
                <w:szCs w:val="15"/>
              </w:rPr>
              <w:t>输出透过率</w:t>
            </w:r>
            <w:r w:rsidRPr="00116D15">
              <w:rPr>
                <w:sz w:val="15"/>
                <w:szCs w:val="15"/>
              </w:rPr>
              <w:t xml:space="preserve"> /%</w:t>
            </w:r>
          </w:p>
        </w:tc>
        <w:tc>
          <w:tcPr>
            <w:tcW w:w="3537" w:type="dxa"/>
            <w:gridSpan w:val="2"/>
            <w:tcBorders>
              <w:top w:val="single" w:sz="8" w:space="0" w:color="auto"/>
              <w:left w:val="single" w:sz="48" w:space="0" w:color="FFFFFF" w:themeColor="background1"/>
              <w:bottom w:val="single" w:sz="4" w:space="0" w:color="auto"/>
            </w:tcBorders>
            <w:vAlign w:val="center"/>
          </w:tcPr>
          <w:p w14:paraId="7012B56E" w14:textId="77777777" w:rsidR="00C66954" w:rsidRPr="00116D15" w:rsidRDefault="00A773EE">
            <w:pPr>
              <w:jc w:val="center"/>
              <w:rPr>
                <w:sz w:val="15"/>
                <w:szCs w:val="15"/>
              </w:rPr>
            </w:pPr>
            <w:r w:rsidRPr="00116D15">
              <w:rPr>
                <w:rFonts w:hint="eastAsia"/>
                <w:sz w:val="15"/>
                <w:szCs w:val="15"/>
              </w:rPr>
              <w:t>性能</w:t>
            </w:r>
          </w:p>
        </w:tc>
      </w:tr>
      <w:tr w:rsidR="00C66954" w:rsidRPr="00116D15" w14:paraId="755082AE" w14:textId="77777777">
        <w:tc>
          <w:tcPr>
            <w:tcW w:w="1068" w:type="dxa"/>
            <w:tcBorders>
              <w:top w:val="single" w:sz="4" w:space="0" w:color="auto"/>
              <w:bottom w:val="single" w:sz="4" w:space="0" w:color="auto"/>
            </w:tcBorders>
            <w:vAlign w:val="center"/>
          </w:tcPr>
          <w:p w14:paraId="2B210D02" w14:textId="77777777" w:rsidR="00C66954" w:rsidRPr="00116D15" w:rsidRDefault="00A773EE">
            <w:pPr>
              <w:jc w:val="center"/>
              <w:rPr>
                <w:sz w:val="15"/>
                <w:szCs w:val="15"/>
              </w:rPr>
            </w:pPr>
            <w:r w:rsidRPr="00116D15">
              <w:rPr>
                <w:rFonts w:hint="eastAsia"/>
                <w:i/>
                <w:iCs/>
                <w:sz w:val="15"/>
                <w:szCs w:val="15"/>
              </w:rPr>
              <w:t>I</w:t>
            </w:r>
            <w:r w:rsidRPr="00116D15">
              <w:rPr>
                <w:sz w:val="15"/>
                <w:szCs w:val="15"/>
                <w:vertAlign w:val="subscript"/>
              </w:rPr>
              <w:t>0</w:t>
            </w:r>
          </w:p>
        </w:tc>
        <w:tc>
          <w:tcPr>
            <w:tcW w:w="921" w:type="dxa"/>
            <w:tcBorders>
              <w:top w:val="single" w:sz="4" w:space="0" w:color="auto"/>
              <w:bottom w:val="single" w:sz="4" w:space="0" w:color="auto"/>
            </w:tcBorders>
            <w:vAlign w:val="center"/>
          </w:tcPr>
          <w:p w14:paraId="2DFCD381" w14:textId="77777777" w:rsidR="00C66954" w:rsidRPr="00116D15" w:rsidRDefault="00A773EE">
            <w:pPr>
              <w:jc w:val="center"/>
              <w:rPr>
                <w:sz w:val="15"/>
                <w:szCs w:val="15"/>
              </w:rPr>
            </w:pPr>
            <w:r w:rsidRPr="00116D15">
              <w:rPr>
                <w:rFonts w:hint="eastAsia"/>
                <w:i/>
                <w:iCs/>
                <w:sz w:val="15"/>
                <w:szCs w:val="15"/>
              </w:rPr>
              <w:t>I</w:t>
            </w:r>
            <w:r w:rsidRPr="00116D15">
              <w:rPr>
                <w:sz w:val="15"/>
                <w:szCs w:val="15"/>
                <w:vertAlign w:val="subscript"/>
              </w:rPr>
              <w:t>1</w:t>
            </w:r>
          </w:p>
        </w:tc>
        <w:tc>
          <w:tcPr>
            <w:tcW w:w="922" w:type="dxa"/>
            <w:tcBorders>
              <w:top w:val="single" w:sz="4" w:space="0" w:color="auto"/>
              <w:bottom w:val="single" w:sz="4" w:space="0" w:color="auto"/>
            </w:tcBorders>
            <w:vAlign w:val="center"/>
          </w:tcPr>
          <w:p w14:paraId="574AC42B" w14:textId="77777777" w:rsidR="00C66954" w:rsidRPr="00116D15" w:rsidRDefault="00A773EE">
            <w:pPr>
              <w:jc w:val="center"/>
              <w:rPr>
                <w:sz w:val="15"/>
                <w:szCs w:val="15"/>
              </w:rPr>
            </w:pPr>
            <w:r w:rsidRPr="00116D15">
              <w:rPr>
                <w:rFonts w:hint="eastAsia"/>
                <w:i/>
                <w:iCs/>
                <w:sz w:val="15"/>
                <w:szCs w:val="15"/>
              </w:rPr>
              <w:t>I</w:t>
            </w:r>
            <w:r w:rsidRPr="00116D15">
              <w:rPr>
                <w:sz w:val="15"/>
                <w:szCs w:val="15"/>
                <w:vertAlign w:val="subscript"/>
              </w:rPr>
              <w:t>2</w:t>
            </w:r>
          </w:p>
        </w:tc>
        <w:tc>
          <w:tcPr>
            <w:tcW w:w="922" w:type="dxa"/>
            <w:tcBorders>
              <w:top w:val="single" w:sz="4" w:space="0" w:color="auto"/>
              <w:bottom w:val="single" w:sz="4" w:space="0" w:color="auto"/>
              <w:right w:val="single" w:sz="48" w:space="0" w:color="FFFFFF" w:themeColor="background1"/>
            </w:tcBorders>
            <w:vAlign w:val="center"/>
          </w:tcPr>
          <w:p w14:paraId="6A548A53" w14:textId="77777777" w:rsidR="00C66954" w:rsidRPr="00116D15" w:rsidRDefault="00A773EE">
            <w:pPr>
              <w:jc w:val="center"/>
              <w:rPr>
                <w:sz w:val="15"/>
                <w:szCs w:val="15"/>
              </w:rPr>
            </w:pPr>
            <w:r w:rsidRPr="00116D15">
              <w:rPr>
                <w:rFonts w:hint="eastAsia"/>
                <w:i/>
                <w:iCs/>
                <w:sz w:val="15"/>
                <w:szCs w:val="15"/>
              </w:rPr>
              <w:t>I</w:t>
            </w:r>
            <w:r w:rsidRPr="00116D15">
              <w:rPr>
                <w:sz w:val="15"/>
                <w:szCs w:val="15"/>
                <w:vertAlign w:val="subscript"/>
              </w:rPr>
              <w:t>3</w:t>
            </w:r>
          </w:p>
        </w:tc>
        <w:tc>
          <w:tcPr>
            <w:tcW w:w="922" w:type="dxa"/>
            <w:tcBorders>
              <w:top w:val="single" w:sz="4" w:space="0" w:color="auto"/>
              <w:left w:val="single" w:sz="48" w:space="0" w:color="FFFFFF" w:themeColor="background1"/>
              <w:bottom w:val="single" w:sz="4" w:space="0" w:color="auto"/>
            </w:tcBorders>
            <w:vAlign w:val="center"/>
          </w:tcPr>
          <w:p w14:paraId="484B70C9" w14:textId="77777777" w:rsidR="00C66954" w:rsidRPr="00116D15" w:rsidRDefault="00A773EE">
            <w:pPr>
              <w:jc w:val="center"/>
              <w:rPr>
                <w:sz w:val="15"/>
                <w:szCs w:val="15"/>
              </w:rPr>
            </w:pPr>
            <w:r w:rsidRPr="00116D15">
              <w:rPr>
                <w:rFonts w:hint="eastAsia"/>
                <w:i/>
                <w:iCs/>
                <w:sz w:val="15"/>
                <w:szCs w:val="15"/>
              </w:rPr>
              <w:t>O</w:t>
            </w:r>
            <w:r w:rsidRPr="00116D15">
              <w:rPr>
                <w:sz w:val="15"/>
                <w:szCs w:val="15"/>
                <w:vertAlign w:val="subscript"/>
              </w:rPr>
              <w:t>1</w:t>
            </w:r>
          </w:p>
        </w:tc>
        <w:tc>
          <w:tcPr>
            <w:tcW w:w="922" w:type="dxa"/>
            <w:tcBorders>
              <w:top w:val="single" w:sz="4" w:space="0" w:color="auto"/>
              <w:bottom w:val="single" w:sz="4" w:space="0" w:color="auto"/>
              <w:right w:val="single" w:sz="48" w:space="0" w:color="FFFFFF" w:themeColor="background1"/>
            </w:tcBorders>
            <w:vAlign w:val="center"/>
          </w:tcPr>
          <w:p w14:paraId="1132B8AC" w14:textId="77777777" w:rsidR="00C66954" w:rsidRPr="00116D15" w:rsidRDefault="00A773EE">
            <w:pPr>
              <w:jc w:val="center"/>
              <w:rPr>
                <w:sz w:val="15"/>
                <w:szCs w:val="15"/>
              </w:rPr>
            </w:pPr>
            <w:r w:rsidRPr="00116D15">
              <w:rPr>
                <w:rFonts w:hint="eastAsia"/>
                <w:i/>
                <w:iCs/>
                <w:sz w:val="15"/>
                <w:szCs w:val="15"/>
              </w:rPr>
              <w:t>O</w:t>
            </w:r>
            <w:r w:rsidRPr="00116D15">
              <w:rPr>
                <w:sz w:val="15"/>
                <w:szCs w:val="15"/>
                <w:vertAlign w:val="subscript"/>
              </w:rPr>
              <w:t>0</w:t>
            </w:r>
          </w:p>
        </w:tc>
        <w:tc>
          <w:tcPr>
            <w:tcW w:w="2256" w:type="dxa"/>
            <w:tcBorders>
              <w:top w:val="single" w:sz="4" w:space="0" w:color="auto"/>
              <w:left w:val="single" w:sz="48" w:space="0" w:color="FFFFFF" w:themeColor="background1"/>
              <w:bottom w:val="single" w:sz="4" w:space="0" w:color="auto"/>
            </w:tcBorders>
            <w:vAlign w:val="center"/>
          </w:tcPr>
          <w:p w14:paraId="61E3564E" w14:textId="77777777" w:rsidR="00C66954" w:rsidRPr="00116D15" w:rsidRDefault="00A773EE">
            <w:pPr>
              <w:jc w:val="center"/>
              <w:rPr>
                <w:sz w:val="15"/>
                <w:szCs w:val="15"/>
              </w:rPr>
            </w:pPr>
            <w:r w:rsidRPr="00116D15">
              <w:rPr>
                <w:rFonts w:hint="eastAsia"/>
                <w:sz w:val="15"/>
                <w:szCs w:val="15"/>
              </w:rPr>
              <w:t>响应时间</w:t>
            </w:r>
            <w:r w:rsidRPr="00116D15">
              <w:rPr>
                <w:sz w:val="15"/>
                <w:szCs w:val="15"/>
              </w:rPr>
              <w:t xml:space="preserve"> </w:t>
            </w:r>
            <w:r w:rsidRPr="00116D15">
              <w:rPr>
                <w:rFonts w:hint="eastAsia"/>
                <w:sz w:val="15"/>
                <w:szCs w:val="15"/>
              </w:rPr>
              <w:t>/</w:t>
            </w:r>
            <w:r w:rsidRPr="00116D15">
              <w:rPr>
                <w:sz w:val="15"/>
                <w:szCs w:val="15"/>
              </w:rPr>
              <w:t>ps</w:t>
            </w:r>
          </w:p>
        </w:tc>
        <w:tc>
          <w:tcPr>
            <w:tcW w:w="1281" w:type="dxa"/>
            <w:tcBorders>
              <w:top w:val="single" w:sz="4" w:space="0" w:color="auto"/>
              <w:bottom w:val="single" w:sz="4" w:space="0" w:color="auto"/>
            </w:tcBorders>
            <w:vAlign w:val="center"/>
          </w:tcPr>
          <w:p w14:paraId="6972D489" w14:textId="77777777" w:rsidR="00C66954" w:rsidRPr="00116D15" w:rsidRDefault="00A773EE">
            <w:pPr>
              <w:jc w:val="center"/>
              <w:rPr>
                <w:sz w:val="15"/>
                <w:szCs w:val="15"/>
              </w:rPr>
            </w:pPr>
            <w:r w:rsidRPr="00116D15">
              <w:rPr>
                <w:rFonts w:hint="eastAsia"/>
                <w:sz w:val="15"/>
                <w:szCs w:val="15"/>
              </w:rPr>
              <w:t>对比度</w:t>
            </w:r>
            <w:r w:rsidRPr="00116D15">
              <w:rPr>
                <w:sz w:val="15"/>
                <w:szCs w:val="15"/>
              </w:rPr>
              <w:t xml:space="preserve"> /dB</w:t>
            </w:r>
          </w:p>
        </w:tc>
      </w:tr>
      <w:tr w:rsidR="00C66954" w:rsidRPr="00116D15" w14:paraId="774AAB85" w14:textId="77777777">
        <w:tc>
          <w:tcPr>
            <w:tcW w:w="1068" w:type="dxa"/>
            <w:tcBorders>
              <w:top w:val="single" w:sz="4" w:space="0" w:color="auto"/>
            </w:tcBorders>
            <w:vAlign w:val="center"/>
          </w:tcPr>
          <w:p w14:paraId="2CB2312B" w14:textId="77777777" w:rsidR="00C66954" w:rsidRPr="00116D15" w:rsidRDefault="00A773EE">
            <w:pPr>
              <w:jc w:val="center"/>
              <w:rPr>
                <w:sz w:val="15"/>
                <w:szCs w:val="15"/>
              </w:rPr>
            </w:pPr>
            <w:r w:rsidRPr="00116D15">
              <w:rPr>
                <w:rFonts w:hint="eastAsia"/>
                <w:sz w:val="15"/>
                <w:szCs w:val="15"/>
              </w:rPr>
              <w:t>1</w:t>
            </w:r>
          </w:p>
        </w:tc>
        <w:tc>
          <w:tcPr>
            <w:tcW w:w="921" w:type="dxa"/>
            <w:tcBorders>
              <w:top w:val="single" w:sz="4" w:space="0" w:color="auto"/>
            </w:tcBorders>
            <w:vAlign w:val="center"/>
          </w:tcPr>
          <w:p w14:paraId="4B14FE16" w14:textId="77777777" w:rsidR="00C66954" w:rsidRPr="00116D15" w:rsidRDefault="00A773EE">
            <w:pPr>
              <w:jc w:val="center"/>
              <w:rPr>
                <w:sz w:val="15"/>
                <w:szCs w:val="15"/>
              </w:rPr>
            </w:pPr>
            <w:r w:rsidRPr="00116D15">
              <w:rPr>
                <w:rFonts w:hint="eastAsia"/>
                <w:sz w:val="15"/>
                <w:szCs w:val="15"/>
              </w:rPr>
              <w:t>0</w:t>
            </w:r>
          </w:p>
        </w:tc>
        <w:tc>
          <w:tcPr>
            <w:tcW w:w="922" w:type="dxa"/>
            <w:tcBorders>
              <w:top w:val="single" w:sz="4" w:space="0" w:color="auto"/>
            </w:tcBorders>
            <w:vAlign w:val="center"/>
          </w:tcPr>
          <w:p w14:paraId="7F64660F" w14:textId="77777777" w:rsidR="00C66954" w:rsidRPr="00116D15" w:rsidRDefault="00A773EE">
            <w:pPr>
              <w:jc w:val="center"/>
              <w:rPr>
                <w:sz w:val="15"/>
                <w:szCs w:val="15"/>
              </w:rPr>
            </w:pPr>
            <w:r w:rsidRPr="00116D15">
              <w:rPr>
                <w:rFonts w:hint="eastAsia"/>
                <w:sz w:val="15"/>
                <w:szCs w:val="15"/>
              </w:rPr>
              <w:t>0</w:t>
            </w:r>
          </w:p>
        </w:tc>
        <w:tc>
          <w:tcPr>
            <w:tcW w:w="922" w:type="dxa"/>
            <w:tcBorders>
              <w:top w:val="single" w:sz="4" w:space="0" w:color="auto"/>
            </w:tcBorders>
            <w:vAlign w:val="center"/>
          </w:tcPr>
          <w:p w14:paraId="49AC4602" w14:textId="77777777" w:rsidR="00C66954" w:rsidRPr="00116D15" w:rsidRDefault="00A773EE">
            <w:pPr>
              <w:jc w:val="center"/>
              <w:rPr>
                <w:sz w:val="15"/>
                <w:szCs w:val="15"/>
              </w:rPr>
            </w:pPr>
            <w:r w:rsidRPr="00116D15">
              <w:rPr>
                <w:rFonts w:hint="eastAsia"/>
                <w:sz w:val="15"/>
                <w:szCs w:val="15"/>
              </w:rPr>
              <w:t>0</w:t>
            </w:r>
          </w:p>
        </w:tc>
        <w:tc>
          <w:tcPr>
            <w:tcW w:w="922" w:type="dxa"/>
            <w:tcBorders>
              <w:top w:val="single" w:sz="4" w:space="0" w:color="auto"/>
            </w:tcBorders>
            <w:vAlign w:val="center"/>
          </w:tcPr>
          <w:p w14:paraId="71069E9A" w14:textId="77777777" w:rsidR="00C66954" w:rsidRPr="00116D15" w:rsidRDefault="00A773EE">
            <w:pPr>
              <w:jc w:val="center"/>
              <w:rPr>
                <w:sz w:val="15"/>
                <w:szCs w:val="15"/>
              </w:rPr>
            </w:pPr>
            <w:r w:rsidRPr="00116D15">
              <w:rPr>
                <w:rFonts w:hint="eastAsia"/>
                <w:sz w:val="15"/>
                <w:szCs w:val="15"/>
              </w:rPr>
              <w:t>0</w:t>
            </w:r>
          </w:p>
        </w:tc>
        <w:tc>
          <w:tcPr>
            <w:tcW w:w="922" w:type="dxa"/>
            <w:tcBorders>
              <w:top w:val="single" w:sz="4" w:space="0" w:color="auto"/>
            </w:tcBorders>
            <w:vAlign w:val="center"/>
          </w:tcPr>
          <w:p w14:paraId="25FF7F05" w14:textId="77777777" w:rsidR="00C66954" w:rsidRPr="00116D15" w:rsidRDefault="00A773EE">
            <w:pPr>
              <w:jc w:val="center"/>
              <w:rPr>
                <w:sz w:val="15"/>
                <w:szCs w:val="15"/>
              </w:rPr>
            </w:pPr>
            <w:r w:rsidRPr="00116D15">
              <w:rPr>
                <w:rFonts w:hint="eastAsia"/>
                <w:sz w:val="15"/>
                <w:szCs w:val="15"/>
              </w:rPr>
              <w:t>0</w:t>
            </w:r>
          </w:p>
        </w:tc>
        <w:tc>
          <w:tcPr>
            <w:tcW w:w="2256" w:type="dxa"/>
            <w:tcBorders>
              <w:top w:val="single" w:sz="4" w:space="0" w:color="auto"/>
            </w:tcBorders>
            <w:vAlign w:val="center"/>
          </w:tcPr>
          <w:p w14:paraId="55B8AD12" w14:textId="77777777" w:rsidR="00C66954" w:rsidRPr="00116D15" w:rsidRDefault="00A773EE">
            <w:pPr>
              <w:jc w:val="center"/>
              <w:rPr>
                <w:sz w:val="15"/>
                <w:szCs w:val="15"/>
              </w:rPr>
            </w:pPr>
            <w:r w:rsidRPr="00116D15">
              <w:rPr>
                <w:sz w:val="15"/>
                <w:szCs w:val="15"/>
              </w:rPr>
              <w:t>−</w:t>
            </w:r>
          </w:p>
        </w:tc>
        <w:tc>
          <w:tcPr>
            <w:tcW w:w="1281" w:type="dxa"/>
            <w:vMerge w:val="restart"/>
            <w:tcBorders>
              <w:top w:val="single" w:sz="4" w:space="0" w:color="auto"/>
            </w:tcBorders>
            <w:vAlign w:val="center"/>
          </w:tcPr>
          <w:p w14:paraId="28D4659B" w14:textId="77777777" w:rsidR="00C66954" w:rsidRPr="00116D15" w:rsidRDefault="00A773EE">
            <w:pPr>
              <w:jc w:val="center"/>
              <w:rPr>
                <w:sz w:val="15"/>
                <w:szCs w:val="15"/>
              </w:rPr>
            </w:pPr>
            <w:r w:rsidRPr="00116D15">
              <w:rPr>
                <w:sz w:val="15"/>
                <w:szCs w:val="15"/>
              </w:rPr>
              <w:t>23.54</w:t>
            </w:r>
          </w:p>
        </w:tc>
      </w:tr>
      <w:tr w:rsidR="00C66954" w:rsidRPr="00116D15" w14:paraId="3CCED502" w14:textId="77777777">
        <w:tc>
          <w:tcPr>
            <w:tcW w:w="1068" w:type="dxa"/>
            <w:vAlign w:val="center"/>
          </w:tcPr>
          <w:p w14:paraId="06A300B6" w14:textId="77777777" w:rsidR="00C66954" w:rsidRPr="00116D15" w:rsidRDefault="00A773EE">
            <w:pPr>
              <w:jc w:val="center"/>
              <w:rPr>
                <w:sz w:val="15"/>
                <w:szCs w:val="15"/>
              </w:rPr>
            </w:pPr>
            <w:r w:rsidRPr="00116D15">
              <w:rPr>
                <w:rFonts w:hint="eastAsia"/>
                <w:sz w:val="15"/>
                <w:szCs w:val="15"/>
              </w:rPr>
              <w:t>0</w:t>
            </w:r>
          </w:p>
        </w:tc>
        <w:tc>
          <w:tcPr>
            <w:tcW w:w="921" w:type="dxa"/>
            <w:vAlign w:val="center"/>
          </w:tcPr>
          <w:p w14:paraId="365EEF1B" w14:textId="77777777" w:rsidR="00C66954" w:rsidRPr="00116D15" w:rsidRDefault="00A773EE">
            <w:pPr>
              <w:jc w:val="center"/>
              <w:rPr>
                <w:sz w:val="15"/>
                <w:szCs w:val="15"/>
              </w:rPr>
            </w:pPr>
            <w:r w:rsidRPr="00116D15">
              <w:rPr>
                <w:rFonts w:hint="eastAsia"/>
                <w:sz w:val="15"/>
                <w:szCs w:val="15"/>
              </w:rPr>
              <w:t>1</w:t>
            </w:r>
          </w:p>
        </w:tc>
        <w:tc>
          <w:tcPr>
            <w:tcW w:w="922" w:type="dxa"/>
            <w:vAlign w:val="center"/>
          </w:tcPr>
          <w:p w14:paraId="73079FFE" w14:textId="77777777" w:rsidR="00C66954" w:rsidRPr="00116D15" w:rsidRDefault="00A773EE">
            <w:pPr>
              <w:jc w:val="center"/>
              <w:rPr>
                <w:sz w:val="15"/>
                <w:szCs w:val="15"/>
              </w:rPr>
            </w:pPr>
            <w:r w:rsidRPr="00116D15">
              <w:rPr>
                <w:rFonts w:hint="eastAsia"/>
                <w:sz w:val="15"/>
                <w:szCs w:val="15"/>
              </w:rPr>
              <w:t>0</w:t>
            </w:r>
          </w:p>
        </w:tc>
        <w:tc>
          <w:tcPr>
            <w:tcW w:w="922" w:type="dxa"/>
            <w:vAlign w:val="center"/>
          </w:tcPr>
          <w:p w14:paraId="0691D487" w14:textId="77777777" w:rsidR="00C66954" w:rsidRPr="00116D15" w:rsidRDefault="00A773EE">
            <w:pPr>
              <w:jc w:val="center"/>
              <w:rPr>
                <w:sz w:val="15"/>
                <w:szCs w:val="15"/>
              </w:rPr>
            </w:pPr>
            <w:r w:rsidRPr="00116D15">
              <w:rPr>
                <w:rFonts w:hint="eastAsia"/>
                <w:sz w:val="15"/>
                <w:szCs w:val="15"/>
              </w:rPr>
              <w:t>0</w:t>
            </w:r>
          </w:p>
        </w:tc>
        <w:tc>
          <w:tcPr>
            <w:tcW w:w="922" w:type="dxa"/>
            <w:vAlign w:val="center"/>
          </w:tcPr>
          <w:p w14:paraId="2392FF42" w14:textId="77777777" w:rsidR="00C66954" w:rsidRPr="00116D15" w:rsidRDefault="00A773EE">
            <w:pPr>
              <w:jc w:val="center"/>
              <w:rPr>
                <w:sz w:val="15"/>
                <w:szCs w:val="15"/>
              </w:rPr>
            </w:pPr>
            <w:r w:rsidRPr="00116D15">
              <w:rPr>
                <w:sz w:val="15"/>
                <w:szCs w:val="15"/>
              </w:rPr>
              <w:t>0.22</w:t>
            </w:r>
          </w:p>
        </w:tc>
        <w:tc>
          <w:tcPr>
            <w:tcW w:w="922" w:type="dxa"/>
            <w:vAlign w:val="center"/>
          </w:tcPr>
          <w:p w14:paraId="59575400" w14:textId="77777777" w:rsidR="00C66954" w:rsidRPr="00116D15" w:rsidRDefault="00A773EE">
            <w:pPr>
              <w:jc w:val="center"/>
              <w:rPr>
                <w:sz w:val="15"/>
                <w:szCs w:val="15"/>
              </w:rPr>
            </w:pPr>
            <w:r w:rsidRPr="00116D15">
              <w:rPr>
                <w:sz w:val="15"/>
                <w:szCs w:val="15"/>
              </w:rPr>
              <w:t>97.22</w:t>
            </w:r>
          </w:p>
        </w:tc>
        <w:tc>
          <w:tcPr>
            <w:tcW w:w="2256" w:type="dxa"/>
            <w:vAlign w:val="center"/>
          </w:tcPr>
          <w:p w14:paraId="063E79B7" w14:textId="77777777" w:rsidR="00C66954" w:rsidRPr="00116D15" w:rsidRDefault="00A773EE">
            <w:pPr>
              <w:jc w:val="center"/>
              <w:rPr>
                <w:sz w:val="15"/>
                <w:szCs w:val="15"/>
              </w:rPr>
            </w:pPr>
            <w:r w:rsidRPr="00116D15">
              <w:rPr>
                <w:rFonts w:hint="eastAsia"/>
                <w:sz w:val="15"/>
                <w:szCs w:val="15"/>
              </w:rPr>
              <w:t>1</w:t>
            </w:r>
            <w:r w:rsidRPr="00116D15">
              <w:rPr>
                <w:sz w:val="15"/>
                <w:szCs w:val="15"/>
              </w:rPr>
              <w:t>6.04</w:t>
            </w:r>
          </w:p>
        </w:tc>
        <w:tc>
          <w:tcPr>
            <w:tcW w:w="1281" w:type="dxa"/>
            <w:vMerge/>
            <w:vAlign w:val="center"/>
          </w:tcPr>
          <w:p w14:paraId="25D022AC" w14:textId="77777777" w:rsidR="00C66954" w:rsidRPr="00116D15" w:rsidRDefault="00C66954">
            <w:pPr>
              <w:jc w:val="left"/>
              <w:rPr>
                <w:sz w:val="15"/>
                <w:szCs w:val="15"/>
              </w:rPr>
            </w:pPr>
          </w:p>
        </w:tc>
      </w:tr>
      <w:tr w:rsidR="00C66954" w:rsidRPr="00116D15" w14:paraId="7D0D1272" w14:textId="77777777">
        <w:tc>
          <w:tcPr>
            <w:tcW w:w="1068" w:type="dxa"/>
            <w:vAlign w:val="center"/>
          </w:tcPr>
          <w:p w14:paraId="65CE943A" w14:textId="77777777" w:rsidR="00C66954" w:rsidRPr="00116D15" w:rsidRDefault="00A773EE">
            <w:pPr>
              <w:jc w:val="center"/>
              <w:rPr>
                <w:sz w:val="15"/>
                <w:szCs w:val="15"/>
              </w:rPr>
            </w:pPr>
            <w:r w:rsidRPr="00116D15">
              <w:rPr>
                <w:rFonts w:hint="eastAsia"/>
                <w:sz w:val="15"/>
                <w:szCs w:val="15"/>
              </w:rPr>
              <w:t>0</w:t>
            </w:r>
          </w:p>
        </w:tc>
        <w:tc>
          <w:tcPr>
            <w:tcW w:w="921" w:type="dxa"/>
            <w:vAlign w:val="center"/>
          </w:tcPr>
          <w:p w14:paraId="4119617E" w14:textId="77777777" w:rsidR="00C66954" w:rsidRPr="00116D15" w:rsidRDefault="00A773EE">
            <w:pPr>
              <w:jc w:val="center"/>
              <w:rPr>
                <w:sz w:val="15"/>
                <w:szCs w:val="15"/>
              </w:rPr>
            </w:pPr>
            <w:r w:rsidRPr="00116D15">
              <w:rPr>
                <w:rFonts w:hint="eastAsia"/>
                <w:sz w:val="15"/>
                <w:szCs w:val="15"/>
              </w:rPr>
              <w:t>0</w:t>
            </w:r>
          </w:p>
        </w:tc>
        <w:tc>
          <w:tcPr>
            <w:tcW w:w="922" w:type="dxa"/>
            <w:vAlign w:val="center"/>
          </w:tcPr>
          <w:p w14:paraId="05BDF23F" w14:textId="77777777" w:rsidR="00C66954" w:rsidRPr="00116D15" w:rsidRDefault="00A773EE">
            <w:pPr>
              <w:jc w:val="center"/>
              <w:rPr>
                <w:sz w:val="15"/>
                <w:szCs w:val="15"/>
              </w:rPr>
            </w:pPr>
            <w:r w:rsidRPr="00116D15">
              <w:rPr>
                <w:rFonts w:hint="eastAsia"/>
                <w:sz w:val="15"/>
                <w:szCs w:val="15"/>
              </w:rPr>
              <w:t>1</w:t>
            </w:r>
          </w:p>
        </w:tc>
        <w:tc>
          <w:tcPr>
            <w:tcW w:w="922" w:type="dxa"/>
            <w:vAlign w:val="center"/>
          </w:tcPr>
          <w:p w14:paraId="63031BB3" w14:textId="77777777" w:rsidR="00C66954" w:rsidRPr="00116D15" w:rsidRDefault="00A773EE">
            <w:pPr>
              <w:jc w:val="center"/>
              <w:rPr>
                <w:sz w:val="15"/>
                <w:szCs w:val="15"/>
              </w:rPr>
            </w:pPr>
            <w:r w:rsidRPr="00116D15">
              <w:rPr>
                <w:rFonts w:hint="eastAsia"/>
                <w:sz w:val="15"/>
                <w:szCs w:val="15"/>
              </w:rPr>
              <w:t>0</w:t>
            </w:r>
          </w:p>
        </w:tc>
        <w:tc>
          <w:tcPr>
            <w:tcW w:w="922" w:type="dxa"/>
            <w:vAlign w:val="center"/>
          </w:tcPr>
          <w:p w14:paraId="094A8071" w14:textId="77777777" w:rsidR="00C66954" w:rsidRPr="00116D15" w:rsidRDefault="00A773EE">
            <w:pPr>
              <w:jc w:val="center"/>
              <w:rPr>
                <w:sz w:val="15"/>
                <w:szCs w:val="15"/>
              </w:rPr>
            </w:pPr>
            <w:r w:rsidRPr="00116D15">
              <w:rPr>
                <w:sz w:val="15"/>
                <w:szCs w:val="15"/>
              </w:rPr>
              <w:t>97.22</w:t>
            </w:r>
          </w:p>
        </w:tc>
        <w:tc>
          <w:tcPr>
            <w:tcW w:w="922" w:type="dxa"/>
            <w:vAlign w:val="center"/>
          </w:tcPr>
          <w:p w14:paraId="0A2E1D6F" w14:textId="77777777" w:rsidR="00C66954" w:rsidRPr="00116D15" w:rsidRDefault="00A773EE">
            <w:pPr>
              <w:jc w:val="center"/>
              <w:rPr>
                <w:sz w:val="15"/>
                <w:szCs w:val="15"/>
              </w:rPr>
            </w:pPr>
            <w:r w:rsidRPr="00116D15">
              <w:rPr>
                <w:sz w:val="15"/>
                <w:szCs w:val="15"/>
              </w:rPr>
              <w:t>0.22</w:t>
            </w:r>
          </w:p>
        </w:tc>
        <w:tc>
          <w:tcPr>
            <w:tcW w:w="2256" w:type="dxa"/>
            <w:vAlign w:val="center"/>
          </w:tcPr>
          <w:p w14:paraId="262BEF83" w14:textId="77777777" w:rsidR="00C66954" w:rsidRPr="00116D15" w:rsidRDefault="00A773EE">
            <w:pPr>
              <w:jc w:val="center"/>
              <w:rPr>
                <w:sz w:val="15"/>
                <w:szCs w:val="15"/>
              </w:rPr>
            </w:pPr>
            <w:r w:rsidRPr="00116D15">
              <w:rPr>
                <w:sz w:val="15"/>
                <w:szCs w:val="15"/>
              </w:rPr>
              <w:t>16.04</w:t>
            </w:r>
          </w:p>
        </w:tc>
        <w:tc>
          <w:tcPr>
            <w:tcW w:w="1281" w:type="dxa"/>
            <w:vMerge/>
            <w:vAlign w:val="center"/>
          </w:tcPr>
          <w:p w14:paraId="7E90334D" w14:textId="77777777" w:rsidR="00C66954" w:rsidRPr="00116D15" w:rsidRDefault="00C66954">
            <w:pPr>
              <w:jc w:val="left"/>
              <w:rPr>
                <w:sz w:val="15"/>
                <w:szCs w:val="15"/>
              </w:rPr>
            </w:pPr>
          </w:p>
        </w:tc>
      </w:tr>
      <w:tr w:rsidR="00C66954" w:rsidRPr="00116D15" w14:paraId="5862FF6A" w14:textId="77777777">
        <w:tc>
          <w:tcPr>
            <w:tcW w:w="1068" w:type="dxa"/>
            <w:tcBorders>
              <w:bottom w:val="single" w:sz="8" w:space="0" w:color="auto"/>
            </w:tcBorders>
            <w:vAlign w:val="center"/>
          </w:tcPr>
          <w:p w14:paraId="79899AD1" w14:textId="77777777" w:rsidR="00C66954" w:rsidRPr="00116D15" w:rsidRDefault="00A773EE">
            <w:pPr>
              <w:jc w:val="center"/>
              <w:rPr>
                <w:sz w:val="15"/>
                <w:szCs w:val="15"/>
              </w:rPr>
            </w:pPr>
            <w:r w:rsidRPr="00116D15">
              <w:rPr>
                <w:rFonts w:hint="eastAsia"/>
                <w:sz w:val="15"/>
                <w:szCs w:val="15"/>
              </w:rPr>
              <w:t>0</w:t>
            </w:r>
          </w:p>
        </w:tc>
        <w:tc>
          <w:tcPr>
            <w:tcW w:w="921" w:type="dxa"/>
            <w:tcBorders>
              <w:bottom w:val="single" w:sz="8" w:space="0" w:color="auto"/>
            </w:tcBorders>
            <w:vAlign w:val="center"/>
          </w:tcPr>
          <w:p w14:paraId="2F054A6C" w14:textId="77777777" w:rsidR="00C66954" w:rsidRPr="00116D15" w:rsidRDefault="00A773EE">
            <w:pPr>
              <w:jc w:val="center"/>
              <w:rPr>
                <w:sz w:val="15"/>
                <w:szCs w:val="15"/>
              </w:rPr>
            </w:pPr>
            <w:r w:rsidRPr="00116D15">
              <w:rPr>
                <w:rFonts w:hint="eastAsia"/>
                <w:sz w:val="15"/>
                <w:szCs w:val="15"/>
              </w:rPr>
              <w:t>0</w:t>
            </w:r>
          </w:p>
        </w:tc>
        <w:tc>
          <w:tcPr>
            <w:tcW w:w="922" w:type="dxa"/>
            <w:tcBorders>
              <w:bottom w:val="single" w:sz="8" w:space="0" w:color="auto"/>
            </w:tcBorders>
            <w:vAlign w:val="center"/>
          </w:tcPr>
          <w:p w14:paraId="7904ECDE" w14:textId="77777777" w:rsidR="00C66954" w:rsidRPr="00116D15" w:rsidRDefault="00A773EE">
            <w:pPr>
              <w:jc w:val="center"/>
              <w:rPr>
                <w:sz w:val="15"/>
                <w:szCs w:val="15"/>
              </w:rPr>
            </w:pPr>
            <w:r w:rsidRPr="00116D15">
              <w:rPr>
                <w:rFonts w:hint="eastAsia"/>
                <w:sz w:val="15"/>
                <w:szCs w:val="15"/>
              </w:rPr>
              <w:t>0</w:t>
            </w:r>
          </w:p>
        </w:tc>
        <w:tc>
          <w:tcPr>
            <w:tcW w:w="922" w:type="dxa"/>
            <w:tcBorders>
              <w:bottom w:val="single" w:sz="8" w:space="0" w:color="auto"/>
            </w:tcBorders>
            <w:vAlign w:val="center"/>
          </w:tcPr>
          <w:p w14:paraId="4D000678" w14:textId="77777777" w:rsidR="00C66954" w:rsidRPr="00116D15" w:rsidRDefault="00A773EE">
            <w:pPr>
              <w:jc w:val="center"/>
              <w:rPr>
                <w:sz w:val="15"/>
                <w:szCs w:val="15"/>
              </w:rPr>
            </w:pPr>
            <w:r w:rsidRPr="00116D15">
              <w:rPr>
                <w:rFonts w:hint="eastAsia"/>
                <w:sz w:val="15"/>
                <w:szCs w:val="15"/>
              </w:rPr>
              <w:t>1</w:t>
            </w:r>
          </w:p>
        </w:tc>
        <w:tc>
          <w:tcPr>
            <w:tcW w:w="922" w:type="dxa"/>
            <w:tcBorders>
              <w:bottom w:val="single" w:sz="8" w:space="0" w:color="auto"/>
            </w:tcBorders>
            <w:vAlign w:val="center"/>
          </w:tcPr>
          <w:p w14:paraId="15051352" w14:textId="77777777" w:rsidR="00C66954" w:rsidRPr="00116D15" w:rsidRDefault="00A773EE">
            <w:pPr>
              <w:jc w:val="center"/>
              <w:rPr>
                <w:sz w:val="15"/>
                <w:szCs w:val="15"/>
              </w:rPr>
            </w:pPr>
            <w:r w:rsidRPr="00116D15">
              <w:rPr>
                <w:rFonts w:hint="eastAsia"/>
                <w:sz w:val="15"/>
                <w:szCs w:val="15"/>
              </w:rPr>
              <w:t>4</w:t>
            </w:r>
            <w:r w:rsidRPr="00116D15">
              <w:rPr>
                <w:sz w:val="15"/>
                <w:szCs w:val="15"/>
              </w:rPr>
              <w:t>9.69</w:t>
            </w:r>
          </w:p>
        </w:tc>
        <w:tc>
          <w:tcPr>
            <w:tcW w:w="922" w:type="dxa"/>
            <w:tcBorders>
              <w:bottom w:val="single" w:sz="8" w:space="0" w:color="auto"/>
            </w:tcBorders>
            <w:vAlign w:val="center"/>
          </w:tcPr>
          <w:p w14:paraId="7EC2EF93" w14:textId="77777777" w:rsidR="00C66954" w:rsidRPr="00116D15" w:rsidRDefault="00A773EE">
            <w:pPr>
              <w:jc w:val="center"/>
              <w:rPr>
                <w:sz w:val="15"/>
                <w:szCs w:val="15"/>
              </w:rPr>
            </w:pPr>
            <w:r w:rsidRPr="00116D15">
              <w:rPr>
                <w:sz w:val="15"/>
                <w:szCs w:val="15"/>
              </w:rPr>
              <w:t>49.69</w:t>
            </w:r>
          </w:p>
        </w:tc>
        <w:tc>
          <w:tcPr>
            <w:tcW w:w="2256" w:type="dxa"/>
            <w:tcBorders>
              <w:bottom w:val="single" w:sz="8" w:space="0" w:color="auto"/>
            </w:tcBorders>
            <w:vAlign w:val="center"/>
          </w:tcPr>
          <w:p w14:paraId="176DE2D9" w14:textId="77777777" w:rsidR="00C66954" w:rsidRPr="00116D15" w:rsidRDefault="00A773EE">
            <w:pPr>
              <w:jc w:val="center"/>
              <w:rPr>
                <w:sz w:val="15"/>
                <w:szCs w:val="15"/>
              </w:rPr>
            </w:pPr>
            <w:r w:rsidRPr="00116D15">
              <w:rPr>
                <w:sz w:val="15"/>
                <w:szCs w:val="15"/>
              </w:rPr>
              <w:t>12.45</w:t>
            </w:r>
          </w:p>
        </w:tc>
        <w:tc>
          <w:tcPr>
            <w:tcW w:w="1281" w:type="dxa"/>
            <w:vMerge/>
            <w:tcBorders>
              <w:bottom w:val="single" w:sz="8" w:space="0" w:color="auto"/>
            </w:tcBorders>
            <w:vAlign w:val="center"/>
          </w:tcPr>
          <w:p w14:paraId="6DA46FD4" w14:textId="77777777" w:rsidR="00C66954" w:rsidRPr="00116D15" w:rsidRDefault="00C66954">
            <w:pPr>
              <w:jc w:val="left"/>
              <w:rPr>
                <w:sz w:val="15"/>
                <w:szCs w:val="15"/>
              </w:rPr>
            </w:pPr>
          </w:p>
        </w:tc>
      </w:tr>
    </w:tbl>
    <w:p w14:paraId="68ED78D2" w14:textId="77777777" w:rsidR="00C66954" w:rsidRPr="00116D15" w:rsidRDefault="00A773EE">
      <w:pPr>
        <w:rPr>
          <w:rFonts w:ascii="黑体" w:eastAsia="黑体" w:hAnsi="黑体"/>
          <w:b/>
        </w:rPr>
      </w:pPr>
      <w:r w:rsidRPr="00116D15">
        <w:rPr>
          <w:rFonts w:ascii="宋体" w:hAnsi="宋体"/>
          <w:b/>
        </w:rPr>
        <w:t xml:space="preserve">2.4 </w:t>
      </w:r>
      <w:r w:rsidRPr="00116D15">
        <w:rPr>
          <w:rFonts w:ascii="宋体" w:hAnsi="宋体" w:hint="eastAsia"/>
          <w:b/>
        </w:rPr>
        <w:t>适用波段分析</w:t>
      </w:r>
    </w:p>
    <w:p w14:paraId="7940FF08" w14:textId="202786A9" w:rsidR="00C66954" w:rsidRDefault="00180C50">
      <w:pPr>
        <w:ind w:firstLineChars="200" w:firstLine="420"/>
        <w:rPr>
          <w:color w:val="FF0000"/>
        </w:rPr>
      </w:pPr>
      <w:r>
        <w:rPr>
          <w:rFonts w:hint="eastAsia"/>
        </w:rPr>
        <w:t>本文</w:t>
      </w:r>
      <w:r w:rsidR="00A773EE">
        <w:rPr>
          <w:rFonts w:hint="eastAsia"/>
        </w:rPr>
        <w:t>通过仿真得到编码器在输入编码为</w:t>
      </w:r>
      <w:r w:rsidR="00A773EE">
        <w:rPr>
          <w:rFonts w:hint="eastAsia"/>
        </w:rPr>
        <w:t>0</w:t>
      </w:r>
      <w:r w:rsidR="00A773EE">
        <w:t>100</w:t>
      </w:r>
      <w:r w:rsidR="00A773EE">
        <w:rPr>
          <w:rFonts w:hint="eastAsia"/>
        </w:rPr>
        <w:t>和</w:t>
      </w:r>
      <w:r w:rsidR="00A773EE">
        <w:rPr>
          <w:rFonts w:hint="eastAsia"/>
        </w:rPr>
        <w:t>0</w:t>
      </w:r>
      <w:r w:rsidR="00A773EE">
        <w:t>001</w:t>
      </w:r>
      <w:r w:rsidR="00A773EE">
        <w:rPr>
          <w:rFonts w:hint="eastAsia"/>
        </w:rPr>
        <w:t>时，输出端口</w:t>
      </w:r>
      <w:r w:rsidR="00A773EE">
        <w:rPr>
          <w:rFonts w:hint="eastAsia"/>
          <w:i/>
          <w:iCs/>
        </w:rPr>
        <w:t>O</w:t>
      </w:r>
      <w:r w:rsidR="00A773EE">
        <w:rPr>
          <w:vertAlign w:val="subscript"/>
        </w:rPr>
        <w:t>1</w:t>
      </w:r>
      <w:r w:rsidR="00A773EE">
        <w:rPr>
          <w:rFonts w:hint="eastAsia"/>
        </w:rPr>
        <w:t>的透过率</w:t>
      </w:r>
      <w:r>
        <w:rPr>
          <w:rFonts w:hint="eastAsia"/>
        </w:rPr>
        <w:t>、</w:t>
      </w:r>
      <w:r w:rsidR="00A773EE">
        <w:rPr>
          <w:rFonts w:hint="eastAsia"/>
        </w:rPr>
        <w:t>对比度在不同波长条件下的结果如图</w:t>
      </w:r>
      <w:r w:rsidR="00A773EE">
        <w:t>6</w:t>
      </w:r>
      <w:r w:rsidR="00A773EE">
        <w:rPr>
          <w:rFonts w:hint="eastAsia"/>
        </w:rPr>
        <w:t>所示。</w:t>
      </w:r>
      <w:r w:rsidR="00A773EE">
        <w:t>从图</w:t>
      </w:r>
      <w:r w:rsidR="00A773EE">
        <w:t>6</w:t>
      </w:r>
      <w:r w:rsidR="00A773EE">
        <w:rPr>
          <w:rFonts w:hint="eastAsia"/>
        </w:rPr>
        <w:t>（</w:t>
      </w:r>
      <w:r w:rsidR="00A773EE">
        <w:rPr>
          <w:rFonts w:hint="eastAsia"/>
        </w:rPr>
        <w:t>a</w:t>
      </w:r>
      <w:r w:rsidR="00A773EE">
        <w:rPr>
          <w:rFonts w:hint="eastAsia"/>
        </w:rPr>
        <w:t>）</w:t>
      </w:r>
      <w:r w:rsidR="00A773EE">
        <w:t>可以看出，</w:t>
      </w:r>
      <w:r w:rsidR="000E129D">
        <w:rPr>
          <w:rFonts w:ascii="Segoe UI" w:hAnsi="Segoe UI" w:cs="Segoe UI"/>
          <w:color w:val="1E1F24"/>
          <w:shd w:val="clear" w:color="auto" w:fill="FFFFFF"/>
        </w:rPr>
        <w:t>在</w:t>
      </w:r>
      <w:r w:rsidR="000E129D">
        <w:rPr>
          <w:rFonts w:ascii="Segoe UI" w:hAnsi="Segoe UI" w:cs="Segoe UI"/>
          <w:color w:val="1E1F24"/>
          <w:shd w:val="clear" w:color="auto" w:fill="FFFFFF"/>
        </w:rPr>
        <w:t>100</w:t>
      </w:r>
      <w:r w:rsidR="000E129D">
        <w:rPr>
          <w:rFonts w:ascii="Segoe UI" w:hAnsi="Segoe UI" w:cs="Segoe UI"/>
          <w:color w:val="1E1F24"/>
          <w:shd w:val="clear" w:color="auto" w:fill="FFFFFF"/>
        </w:rPr>
        <w:t>～</w:t>
      </w:r>
      <w:r w:rsidR="000E129D">
        <w:rPr>
          <w:rFonts w:ascii="Segoe UI" w:hAnsi="Segoe UI" w:cs="Segoe UI"/>
          <w:color w:val="1E1F24"/>
          <w:shd w:val="clear" w:color="auto" w:fill="FFFFFF"/>
        </w:rPr>
        <w:t>115 μm</w:t>
      </w:r>
      <w:r w:rsidR="000E129D">
        <w:rPr>
          <w:rFonts w:ascii="Segoe UI" w:hAnsi="Segoe UI" w:cs="Segoe UI"/>
          <w:color w:val="1E1F24"/>
          <w:shd w:val="clear" w:color="auto" w:fill="FFFFFF"/>
        </w:rPr>
        <w:t>的波长范围内，当输入编码为</w:t>
      </w:r>
      <w:r w:rsidR="000E129D">
        <w:rPr>
          <w:rFonts w:ascii="Segoe UI" w:hAnsi="Segoe UI" w:cs="Segoe UI"/>
          <w:color w:val="1E1F24"/>
          <w:shd w:val="clear" w:color="auto" w:fill="FFFFFF"/>
        </w:rPr>
        <w:t>0100</w:t>
      </w:r>
      <w:r w:rsidR="000E129D">
        <w:rPr>
          <w:rFonts w:ascii="Segoe UI" w:hAnsi="Segoe UI" w:cs="Segoe UI"/>
          <w:color w:val="1E1F24"/>
          <w:shd w:val="clear" w:color="auto" w:fill="FFFFFF"/>
        </w:rPr>
        <w:t>时，端口</w:t>
      </w:r>
      <w:r w:rsidR="000E129D">
        <w:rPr>
          <w:rFonts w:hint="eastAsia"/>
          <w:i/>
          <w:iCs/>
        </w:rPr>
        <w:t>O</w:t>
      </w:r>
      <w:r w:rsidR="000E129D">
        <w:rPr>
          <w:vertAlign w:val="subscript"/>
        </w:rPr>
        <w:t>1</w:t>
      </w:r>
      <w:r w:rsidR="000E129D">
        <w:rPr>
          <w:rFonts w:ascii="Segoe UI" w:hAnsi="Segoe UI" w:cs="Segoe UI"/>
          <w:color w:val="1E1F24"/>
          <w:shd w:val="clear" w:color="auto" w:fill="FFFFFF"/>
        </w:rPr>
        <w:t>的透过率在</w:t>
      </w:r>
      <w:r w:rsidR="000E129D">
        <w:rPr>
          <w:rFonts w:ascii="Segoe UI" w:hAnsi="Segoe UI" w:cs="Segoe UI"/>
          <w:color w:val="1E1F24"/>
          <w:shd w:val="clear" w:color="auto" w:fill="FFFFFF"/>
        </w:rPr>
        <w:t>0</w:t>
      </w:r>
      <w:r w:rsidR="000E129D">
        <w:rPr>
          <w:rFonts w:ascii="Segoe UI" w:hAnsi="Segoe UI" w:cs="Segoe UI"/>
          <w:color w:val="1E1F24"/>
          <w:shd w:val="clear" w:color="auto" w:fill="FFFFFF"/>
        </w:rPr>
        <w:t>～</w:t>
      </w:r>
      <w:r w:rsidR="000E129D">
        <w:rPr>
          <w:rFonts w:ascii="Segoe UI" w:hAnsi="Segoe UI" w:cs="Segoe UI"/>
          <w:color w:val="1E1F24"/>
          <w:shd w:val="clear" w:color="auto" w:fill="FFFFFF"/>
        </w:rPr>
        <w:t>5%</w:t>
      </w:r>
      <w:r w:rsidR="000E129D">
        <w:rPr>
          <w:rFonts w:ascii="Segoe UI" w:hAnsi="Segoe UI" w:cs="Segoe UI"/>
          <w:color w:val="1E1F24"/>
          <w:shd w:val="clear" w:color="auto" w:fill="FFFFFF"/>
        </w:rPr>
        <w:t>的范围内波动，此范围内的透过率可判定为逻辑</w:t>
      </w:r>
      <w:r w:rsidR="000E129D">
        <w:rPr>
          <w:rFonts w:ascii="Segoe UI" w:hAnsi="Segoe UI" w:cs="Segoe UI"/>
          <w:color w:val="1E1F24"/>
          <w:shd w:val="clear" w:color="auto" w:fill="FFFFFF"/>
        </w:rPr>
        <w:t>“0”</w:t>
      </w:r>
      <w:r w:rsidR="000E129D">
        <w:rPr>
          <w:rFonts w:ascii="Segoe UI" w:hAnsi="Segoe UI" w:cs="Segoe UI"/>
          <w:color w:val="1E1F24"/>
          <w:shd w:val="clear" w:color="auto" w:fill="FFFFFF"/>
        </w:rPr>
        <w:t>。而当输入编码为</w:t>
      </w:r>
      <w:r w:rsidR="000E129D">
        <w:rPr>
          <w:rFonts w:ascii="Segoe UI" w:hAnsi="Segoe UI" w:cs="Segoe UI"/>
          <w:color w:val="1E1F24"/>
          <w:shd w:val="clear" w:color="auto" w:fill="FFFFFF"/>
        </w:rPr>
        <w:t>0001</w:t>
      </w:r>
      <w:r w:rsidR="000E129D">
        <w:rPr>
          <w:rFonts w:ascii="Segoe UI" w:hAnsi="Segoe UI" w:cs="Segoe UI"/>
          <w:color w:val="1E1F24"/>
          <w:shd w:val="clear" w:color="auto" w:fill="FFFFFF"/>
        </w:rPr>
        <w:t>时，端口</w:t>
      </w:r>
      <w:r w:rsidR="000E129D">
        <w:rPr>
          <w:rFonts w:hint="eastAsia"/>
          <w:i/>
          <w:iCs/>
        </w:rPr>
        <w:t>O</w:t>
      </w:r>
      <w:r w:rsidR="000E129D">
        <w:rPr>
          <w:vertAlign w:val="subscript"/>
        </w:rPr>
        <w:t>1</w:t>
      </w:r>
      <w:r w:rsidR="000E129D">
        <w:rPr>
          <w:rFonts w:ascii="Segoe UI" w:hAnsi="Segoe UI" w:cs="Segoe UI"/>
          <w:color w:val="1E1F24"/>
          <w:shd w:val="clear" w:color="auto" w:fill="FFFFFF"/>
        </w:rPr>
        <w:t>的透过率在</w:t>
      </w:r>
      <w:r w:rsidR="000E129D">
        <w:rPr>
          <w:rFonts w:ascii="Segoe UI" w:hAnsi="Segoe UI" w:cs="Segoe UI"/>
          <w:color w:val="1E1F24"/>
          <w:shd w:val="clear" w:color="auto" w:fill="FFFFFF"/>
        </w:rPr>
        <w:t>103.80</w:t>
      </w:r>
      <w:r w:rsidR="000E129D">
        <w:rPr>
          <w:rFonts w:ascii="Segoe UI" w:hAnsi="Segoe UI" w:cs="Segoe UI"/>
          <w:color w:val="1E1F24"/>
          <w:shd w:val="clear" w:color="auto" w:fill="FFFFFF"/>
        </w:rPr>
        <w:t>～</w:t>
      </w:r>
      <w:r w:rsidR="000E129D">
        <w:rPr>
          <w:rFonts w:ascii="Segoe UI" w:hAnsi="Segoe UI" w:cs="Segoe UI"/>
          <w:color w:val="1E1F24"/>
          <w:shd w:val="clear" w:color="auto" w:fill="FFFFFF"/>
        </w:rPr>
        <w:t>108.57 μm</w:t>
      </w:r>
      <w:r w:rsidR="000E129D">
        <w:rPr>
          <w:rFonts w:ascii="Segoe UI" w:hAnsi="Segoe UI" w:cs="Segoe UI"/>
          <w:color w:val="1E1F24"/>
          <w:shd w:val="clear" w:color="auto" w:fill="FFFFFF"/>
        </w:rPr>
        <w:t>、</w:t>
      </w:r>
      <w:r w:rsidR="000E129D">
        <w:rPr>
          <w:rFonts w:ascii="Segoe UI" w:hAnsi="Segoe UI" w:cs="Segoe UI"/>
          <w:color w:val="1E1F24"/>
          <w:shd w:val="clear" w:color="auto" w:fill="FFFFFF"/>
        </w:rPr>
        <w:t>109.19</w:t>
      </w:r>
      <w:r w:rsidR="000E129D">
        <w:rPr>
          <w:rFonts w:ascii="Segoe UI" w:hAnsi="Segoe UI" w:cs="Segoe UI"/>
          <w:color w:val="1E1F24"/>
          <w:shd w:val="clear" w:color="auto" w:fill="FFFFFF"/>
        </w:rPr>
        <w:t>～</w:t>
      </w:r>
      <w:r w:rsidR="000E129D">
        <w:rPr>
          <w:rFonts w:ascii="Segoe UI" w:hAnsi="Segoe UI" w:cs="Segoe UI"/>
          <w:color w:val="1E1F24"/>
          <w:shd w:val="clear" w:color="auto" w:fill="FFFFFF"/>
        </w:rPr>
        <w:t>111.12</w:t>
      </w:r>
      <w:r w:rsidR="000E129D">
        <w:rPr>
          <w:rFonts w:ascii="Segoe UI" w:hAnsi="Segoe UI" w:cs="Segoe UI"/>
          <w:color w:val="1E1F24"/>
          <w:shd w:val="clear" w:color="auto" w:fill="FFFFFF"/>
        </w:rPr>
        <w:t>以及</w:t>
      </w:r>
      <w:r w:rsidR="000E129D">
        <w:rPr>
          <w:rFonts w:ascii="Segoe UI" w:hAnsi="Segoe UI" w:cs="Segoe UI"/>
          <w:color w:val="1E1F24"/>
          <w:shd w:val="clear" w:color="auto" w:fill="FFFFFF"/>
        </w:rPr>
        <w:t>111.78</w:t>
      </w:r>
      <w:r w:rsidR="000E129D">
        <w:rPr>
          <w:rFonts w:ascii="Segoe UI" w:hAnsi="Segoe UI" w:cs="Segoe UI"/>
          <w:color w:val="1E1F24"/>
          <w:shd w:val="clear" w:color="auto" w:fill="FFFFFF"/>
        </w:rPr>
        <w:t>～</w:t>
      </w:r>
      <w:r w:rsidR="000E129D">
        <w:rPr>
          <w:rFonts w:ascii="Segoe UI" w:hAnsi="Segoe UI" w:cs="Segoe UI"/>
          <w:color w:val="1E1F24"/>
          <w:shd w:val="clear" w:color="auto" w:fill="FFFFFF"/>
        </w:rPr>
        <w:t>114.08 μm</w:t>
      </w:r>
      <w:r w:rsidR="000E129D">
        <w:rPr>
          <w:rFonts w:ascii="Segoe UI" w:hAnsi="Segoe UI" w:cs="Segoe UI"/>
          <w:color w:val="1E1F24"/>
          <w:shd w:val="clear" w:color="auto" w:fill="FFFFFF"/>
        </w:rPr>
        <w:t>的波长范围内大于等于</w:t>
      </w:r>
      <w:r w:rsidR="000E129D">
        <w:rPr>
          <w:rFonts w:ascii="Segoe UI" w:hAnsi="Segoe UI" w:cs="Segoe UI"/>
          <w:color w:val="1E1F24"/>
          <w:shd w:val="clear" w:color="auto" w:fill="FFFFFF"/>
        </w:rPr>
        <w:t>40%</w:t>
      </w:r>
      <w:r w:rsidR="000E129D">
        <w:rPr>
          <w:rFonts w:ascii="Segoe UI" w:hAnsi="Segoe UI" w:cs="Segoe UI"/>
          <w:color w:val="1E1F24"/>
          <w:shd w:val="clear" w:color="auto" w:fill="FFFFFF"/>
        </w:rPr>
        <w:t>，此范围内的透过率可判定为逻辑</w:t>
      </w:r>
      <w:r w:rsidR="000E129D">
        <w:rPr>
          <w:rFonts w:ascii="Segoe UI" w:hAnsi="Segoe UI" w:cs="Segoe UI"/>
          <w:color w:val="1E1F24"/>
          <w:shd w:val="clear" w:color="auto" w:fill="FFFFFF"/>
        </w:rPr>
        <w:t>“1”</w:t>
      </w:r>
      <w:r w:rsidR="000E129D">
        <w:rPr>
          <w:rFonts w:ascii="Segoe UI" w:hAnsi="Segoe UI" w:cs="Segoe UI"/>
          <w:color w:val="1E1F24"/>
          <w:shd w:val="clear" w:color="auto" w:fill="FFFFFF"/>
        </w:rPr>
        <w:t>。</w:t>
      </w:r>
      <w:r w:rsidR="00A773EE">
        <w:rPr>
          <w:rFonts w:hint="eastAsia"/>
        </w:rPr>
        <w:t>所以</w:t>
      </w:r>
      <w:r w:rsidR="00A773EE">
        <w:t>可认为提出的</w:t>
      </w:r>
      <w:r w:rsidR="00A773EE">
        <w:rPr>
          <w:rFonts w:hint="eastAsia"/>
        </w:rPr>
        <w:t>多波段</w:t>
      </w:r>
      <w:r w:rsidR="00A773EE">
        <w:t>光子晶体</w:t>
      </w:r>
      <w:r w:rsidR="00A773EE">
        <w:t>4</w:t>
      </w:r>
      <w:r w:rsidR="00A773EE">
        <w:rPr>
          <w:rFonts w:hint="eastAsia"/>
        </w:rPr>
        <w:t>×</w:t>
      </w:r>
      <w:r w:rsidR="00A773EE">
        <w:t>2</w:t>
      </w:r>
      <w:r w:rsidR="00A773EE">
        <w:t>编码器的</w:t>
      </w:r>
      <w:r w:rsidR="00A773EE">
        <w:rPr>
          <w:rFonts w:hint="eastAsia"/>
        </w:rPr>
        <w:t>工作波段</w:t>
      </w:r>
      <w:r w:rsidR="00A773EE">
        <w:t>范围为</w:t>
      </w:r>
      <w:r w:rsidR="00A773EE">
        <w:t>103.80</w:t>
      </w:r>
      <w:r w:rsidR="00A773EE">
        <w:t>～</w:t>
      </w:r>
      <w:r w:rsidR="00A773EE">
        <w:t>108.57 μm</w:t>
      </w:r>
      <w:r w:rsidR="00A773EE">
        <w:rPr>
          <w:rFonts w:hint="eastAsia"/>
        </w:rPr>
        <w:t>、</w:t>
      </w:r>
      <w:r w:rsidR="00A773EE">
        <w:rPr>
          <w:rFonts w:hint="eastAsia"/>
        </w:rPr>
        <w:t>1</w:t>
      </w:r>
      <w:r w:rsidR="00A773EE">
        <w:t>09.19</w:t>
      </w:r>
      <w:r w:rsidR="00A773EE">
        <w:t>～</w:t>
      </w:r>
      <w:r w:rsidR="00A773EE">
        <w:t>111.12</w:t>
      </w:r>
      <w:r w:rsidR="00A773EE">
        <w:t>以及</w:t>
      </w:r>
      <w:r w:rsidR="00A773EE">
        <w:t>111.94</w:t>
      </w:r>
      <w:r w:rsidR="00A773EE">
        <w:t>～</w:t>
      </w:r>
      <w:r w:rsidR="00A773EE">
        <w:t>114.08 μm</w:t>
      </w:r>
      <w:r w:rsidR="00A773EE">
        <w:rPr>
          <w:rFonts w:hint="eastAsia"/>
        </w:rPr>
        <w:t>，分别记为工作波段</w:t>
      </w:r>
      <w:r w:rsidR="00A773EE">
        <w:t>I</w:t>
      </w:r>
      <w:r w:rsidR="00A773EE">
        <w:rPr>
          <w:rFonts w:hint="eastAsia"/>
        </w:rPr>
        <w:t>、</w:t>
      </w:r>
      <w:r w:rsidR="00A773EE">
        <w:t>II</w:t>
      </w:r>
      <w:r w:rsidR="00A773EE">
        <w:rPr>
          <w:rFonts w:hint="eastAsia"/>
        </w:rPr>
        <w:t>、</w:t>
      </w:r>
      <w:r w:rsidR="00A773EE">
        <w:t>III</w:t>
      </w:r>
      <w:r w:rsidR="00A773EE">
        <w:rPr>
          <w:rFonts w:hint="eastAsia"/>
        </w:rPr>
        <w:t>。</w:t>
      </w:r>
      <w:r w:rsidR="00A773EE">
        <w:rPr>
          <w:color w:val="FF0000"/>
        </w:rPr>
        <w:t xml:space="preserve"> </w:t>
      </w:r>
    </w:p>
    <w:p w14:paraId="4D84C194" w14:textId="5433F2C0" w:rsidR="00C66954" w:rsidRDefault="003F3C6A">
      <w:pPr>
        <w:jc w:val="center"/>
      </w:pPr>
      <w:r>
        <w:object w:dxaOrig="4605" w:dyaOrig="3645" w14:anchorId="5A401233">
          <v:shape id="_x0000_i1042" type="#_x0000_t75" style="width:199.5pt;height:157.5pt" o:ole="">
            <v:imagedata r:id="rId42" o:title=""/>
          </v:shape>
          <o:OLEObject Type="Embed" ProgID="Visio.Drawing.15" ShapeID="_x0000_i1042" DrawAspect="Content" ObjectID="_1756703762" r:id="rId43"/>
        </w:object>
      </w:r>
      <w:r w:rsidR="00865FC8">
        <w:t xml:space="preserve"> </w:t>
      </w:r>
      <w:r w:rsidR="00855C52">
        <w:t xml:space="preserve"> </w:t>
      </w:r>
      <w:r w:rsidR="005C4E78">
        <w:object w:dxaOrig="4321" w:dyaOrig="3430" w14:anchorId="46FCD41E">
          <v:shape id="_x0000_i1043" type="#_x0000_t75" style="width:200pt;height:158.5pt" o:ole="">
            <v:imagedata r:id="rId44" o:title=""/>
          </v:shape>
          <o:OLEObject Type="Embed" ProgID="Visio.Drawing.15" ShapeID="_x0000_i1043" DrawAspect="Content" ObjectID="_1756703763" r:id="rId45"/>
        </w:object>
      </w:r>
    </w:p>
    <w:p w14:paraId="7903255A" w14:textId="1664C793" w:rsidR="00C66954" w:rsidRDefault="00A773EE">
      <w:pPr>
        <w:jc w:val="center"/>
      </w:pPr>
      <w:r>
        <w:rPr>
          <w:sz w:val="15"/>
          <w:szCs w:val="15"/>
        </w:rPr>
        <w:t xml:space="preserve">      </w:t>
      </w:r>
      <w:r>
        <w:rPr>
          <w:rFonts w:hint="eastAsia"/>
          <w:sz w:val="15"/>
          <w:szCs w:val="15"/>
        </w:rPr>
        <w:t>(</w:t>
      </w:r>
      <w:r>
        <w:rPr>
          <w:sz w:val="15"/>
          <w:szCs w:val="15"/>
        </w:rPr>
        <w:t>a)</w:t>
      </w:r>
      <w:r>
        <w:rPr>
          <w:sz w:val="16"/>
          <w:szCs w:val="16"/>
        </w:rPr>
        <w:t xml:space="preserve"> </w:t>
      </w:r>
      <w:r w:rsidR="00180C50">
        <w:rPr>
          <w:rFonts w:eastAsia="黑体"/>
          <w:sz w:val="15"/>
          <w:szCs w:val="15"/>
        </w:rPr>
        <w:t>透过率随波长变化</w:t>
      </w:r>
      <w:r w:rsidR="00180C50">
        <w:rPr>
          <w:rFonts w:eastAsia="黑体" w:hint="eastAsia"/>
          <w:sz w:val="15"/>
          <w:szCs w:val="15"/>
        </w:rPr>
        <w:t>情况</w:t>
      </w:r>
      <w:r>
        <w:rPr>
          <w:sz w:val="16"/>
          <w:szCs w:val="16"/>
        </w:rPr>
        <w:t xml:space="preserve">                                </w:t>
      </w:r>
      <w:r>
        <w:rPr>
          <w:sz w:val="15"/>
          <w:szCs w:val="15"/>
        </w:rPr>
        <w:t xml:space="preserve"> (b)</w:t>
      </w:r>
      <w:r w:rsidR="00180C50" w:rsidRPr="00180C50">
        <w:rPr>
          <w:rFonts w:eastAsia="黑体"/>
          <w:sz w:val="15"/>
          <w:szCs w:val="15"/>
        </w:rPr>
        <w:t xml:space="preserve"> </w:t>
      </w:r>
      <w:r w:rsidR="00180C50">
        <w:rPr>
          <w:rFonts w:eastAsia="黑体"/>
          <w:sz w:val="15"/>
          <w:szCs w:val="15"/>
        </w:rPr>
        <w:t>对比度随波长变化</w:t>
      </w:r>
      <w:r w:rsidR="00180C50">
        <w:rPr>
          <w:rFonts w:eastAsia="黑体" w:hint="eastAsia"/>
          <w:sz w:val="15"/>
          <w:szCs w:val="15"/>
        </w:rPr>
        <w:t>情况</w:t>
      </w:r>
    </w:p>
    <w:p w14:paraId="08BCDEB1" w14:textId="5AA391A4" w:rsidR="00C66954" w:rsidRPr="00180C50" w:rsidRDefault="00A773EE">
      <w:pPr>
        <w:autoSpaceDE w:val="0"/>
        <w:autoSpaceDN w:val="0"/>
        <w:jc w:val="center"/>
        <w:rPr>
          <w:rFonts w:ascii="黑体" w:eastAsia="黑体" w:hAnsi="黑体"/>
          <w:b/>
          <w:sz w:val="15"/>
          <w:szCs w:val="15"/>
        </w:rPr>
      </w:pPr>
      <w:r w:rsidRPr="00180C50">
        <w:rPr>
          <w:rFonts w:ascii="黑体" w:eastAsia="黑体" w:hAnsi="黑体"/>
          <w:b/>
          <w:sz w:val="15"/>
          <w:szCs w:val="15"/>
        </w:rPr>
        <w:t>图</w:t>
      </w:r>
      <w:r w:rsidRPr="00180C50">
        <w:rPr>
          <w:rFonts w:ascii="黑体" w:eastAsia="黑体" w:hAnsi="黑体" w:hint="eastAsia"/>
          <w:b/>
          <w:sz w:val="15"/>
          <w:szCs w:val="15"/>
        </w:rPr>
        <w:t xml:space="preserve"> </w:t>
      </w:r>
      <w:r w:rsidRPr="00180C50">
        <w:rPr>
          <w:rFonts w:ascii="黑体" w:eastAsia="黑体" w:hAnsi="黑体"/>
          <w:b/>
          <w:sz w:val="15"/>
          <w:szCs w:val="15"/>
        </w:rPr>
        <w:t xml:space="preserve">6 </w:t>
      </w:r>
      <w:r w:rsidR="00180C50" w:rsidRPr="00180C50">
        <w:rPr>
          <w:rFonts w:hint="eastAsia"/>
          <w:b/>
          <w:sz w:val="15"/>
          <w:szCs w:val="15"/>
        </w:rPr>
        <w:t>输出端口</w:t>
      </w:r>
      <w:r w:rsidR="00180C50" w:rsidRPr="00180C50">
        <w:rPr>
          <w:rFonts w:hint="eastAsia"/>
          <w:b/>
          <w:i/>
          <w:iCs/>
          <w:sz w:val="15"/>
          <w:szCs w:val="15"/>
        </w:rPr>
        <w:t>O</w:t>
      </w:r>
      <w:r w:rsidR="00180C50" w:rsidRPr="00180C50">
        <w:rPr>
          <w:b/>
          <w:sz w:val="15"/>
          <w:szCs w:val="15"/>
          <w:vertAlign w:val="subscript"/>
        </w:rPr>
        <w:t>1</w:t>
      </w:r>
      <w:r w:rsidR="00180C50" w:rsidRPr="00180C50">
        <w:rPr>
          <w:rFonts w:hint="eastAsia"/>
          <w:b/>
          <w:sz w:val="15"/>
          <w:szCs w:val="15"/>
        </w:rPr>
        <w:t>的透过率、对比度在不同波长条件下的结果</w:t>
      </w:r>
    </w:p>
    <w:p w14:paraId="38922CA8" w14:textId="5EAD106F" w:rsidR="00C66954" w:rsidRDefault="00A773EE">
      <w:pPr>
        <w:ind w:firstLineChars="200" w:firstLine="420"/>
      </w:pPr>
      <w:r>
        <w:t>由</w:t>
      </w:r>
      <w:r w:rsidR="00116D15">
        <w:t>式</w:t>
      </w:r>
      <w:r>
        <w:rPr>
          <w:rFonts w:hint="eastAsia"/>
        </w:rPr>
        <w:t>（</w:t>
      </w:r>
      <w:r>
        <w:rPr>
          <w:rFonts w:hint="eastAsia"/>
        </w:rPr>
        <w:t>1</w:t>
      </w:r>
      <w:r>
        <w:rPr>
          <w:rFonts w:hint="eastAsia"/>
        </w:rPr>
        <w:t>）</w:t>
      </w:r>
      <w:r>
        <w:t>计算得到在</w:t>
      </w:r>
      <w:r>
        <w:rPr>
          <w:rFonts w:hint="eastAsia"/>
        </w:rPr>
        <w:t>1</w:t>
      </w:r>
      <w:r>
        <w:t>03.8</w:t>
      </w:r>
      <w:r>
        <w:t>～</w:t>
      </w:r>
      <w:r>
        <w:t>114.08 μm</w:t>
      </w:r>
      <w:r>
        <w:rPr>
          <w:rFonts w:hint="eastAsia"/>
        </w:rPr>
        <w:t>的</w:t>
      </w:r>
      <w:r>
        <w:t>波长范围内</w:t>
      </w:r>
      <w:r>
        <w:rPr>
          <w:rFonts w:hint="eastAsia"/>
        </w:rPr>
        <w:t>，编码器的</w:t>
      </w:r>
      <w:r>
        <w:t>对比度</w:t>
      </w:r>
      <w:r>
        <w:rPr>
          <w:rFonts w:hint="eastAsia"/>
        </w:rPr>
        <w:t>在不同</w:t>
      </w:r>
      <w:r>
        <w:t>波长</w:t>
      </w:r>
      <w:r>
        <w:rPr>
          <w:rFonts w:hint="eastAsia"/>
        </w:rPr>
        <w:t>下的对应</w:t>
      </w:r>
      <w:r>
        <w:t>关系，结果如图</w:t>
      </w:r>
      <w:r>
        <w:t>6</w:t>
      </w:r>
      <w:r>
        <w:t>（</w:t>
      </w:r>
      <w:r>
        <w:t>b</w:t>
      </w:r>
      <w:r>
        <w:t>）所示。可以看出，在工作波段</w:t>
      </w:r>
      <w:r>
        <w:t>I</w:t>
      </w:r>
      <w:r>
        <w:t>内，编码器的对比度最高值为</w:t>
      </w:r>
      <w:r>
        <w:t>23.51 dB</w:t>
      </w:r>
      <w:r>
        <w:t>，最低值为</w:t>
      </w:r>
      <w:r>
        <w:t>10.05 dB</w:t>
      </w:r>
      <w:r>
        <w:rPr>
          <w:rFonts w:hint="eastAsia"/>
        </w:rPr>
        <w:t>；</w:t>
      </w:r>
      <w:r>
        <w:t>在工作波段</w:t>
      </w:r>
      <w:r>
        <w:t>II</w:t>
      </w:r>
      <w:r>
        <w:t>内，编码器的对比度最高值为</w:t>
      </w:r>
      <w:r>
        <w:t>29.47 dB</w:t>
      </w:r>
      <w:r>
        <w:t>，最低值为</w:t>
      </w:r>
      <w:r>
        <w:t>11.55 dB</w:t>
      </w:r>
      <w:r>
        <w:rPr>
          <w:rFonts w:hint="eastAsia"/>
        </w:rPr>
        <w:t>；</w:t>
      </w:r>
      <w:r>
        <w:t>在工作波段</w:t>
      </w:r>
      <w:r>
        <w:t>III</w:t>
      </w:r>
      <w:r>
        <w:t>内，编码器的对比度最高值为</w:t>
      </w:r>
      <w:r>
        <w:t>28.73 dB</w:t>
      </w:r>
      <w:r>
        <w:t>，最</w:t>
      </w:r>
      <w:r>
        <w:rPr>
          <w:rFonts w:hint="eastAsia"/>
        </w:rPr>
        <w:t>低</w:t>
      </w:r>
      <w:r>
        <w:t>值为</w:t>
      </w:r>
      <w:r>
        <w:t>9.30 dB</w:t>
      </w:r>
      <w:r>
        <w:t>。并且编码器在</w:t>
      </w:r>
      <w:r>
        <w:t>103.80</w:t>
      </w:r>
      <w:r>
        <w:t>～</w:t>
      </w:r>
      <w:r>
        <w:t>107.18 μm</w:t>
      </w:r>
      <w:r>
        <w:t>、</w:t>
      </w:r>
      <w:r>
        <w:t>109.30</w:t>
      </w:r>
      <w:r>
        <w:t>～</w:t>
      </w:r>
      <w:r>
        <w:t>110.44 μm</w:t>
      </w:r>
      <w:r>
        <w:t>以及</w:t>
      </w:r>
      <w:r>
        <w:t>112.32</w:t>
      </w:r>
      <w:r>
        <w:t>～</w:t>
      </w:r>
      <w:r>
        <w:t>112.67 μm</w:t>
      </w:r>
      <w:r>
        <w:t>波段内的对比度</w:t>
      </w:r>
      <w:r>
        <w:rPr>
          <w:rFonts w:hint="eastAsia"/>
        </w:rPr>
        <w:t>能够达到</w:t>
      </w:r>
      <w:r>
        <w:t>15 dB</w:t>
      </w:r>
      <w:r>
        <w:rPr>
          <w:rFonts w:hint="eastAsia"/>
        </w:rPr>
        <w:t>以上，能够在一定的太赫兹波段范围内实现多波段的高对比度</w:t>
      </w:r>
      <w:r>
        <w:rPr>
          <w:rFonts w:hint="eastAsia"/>
        </w:rPr>
        <w:t>4</w:t>
      </w:r>
      <w:r>
        <w:rPr>
          <w:rFonts w:hint="eastAsia"/>
        </w:rPr>
        <w:t>×</w:t>
      </w:r>
      <w:r>
        <w:t>2</w:t>
      </w:r>
      <w:r>
        <w:rPr>
          <w:rFonts w:hint="eastAsia"/>
        </w:rPr>
        <w:t>编码逻辑功能。</w:t>
      </w:r>
    </w:p>
    <w:p w14:paraId="5AC7F7EE" w14:textId="77777777" w:rsidR="00C66954" w:rsidRDefault="00C66954">
      <w:pPr>
        <w:ind w:firstLineChars="200" w:firstLine="420"/>
      </w:pPr>
    </w:p>
    <w:p w14:paraId="447F4991" w14:textId="0CEBD0AB" w:rsidR="00C66954" w:rsidRPr="0095076F" w:rsidRDefault="00A773EE">
      <w:pPr>
        <w:jc w:val="left"/>
        <w:rPr>
          <w:rFonts w:ascii="宋体" w:hAnsi="宋体"/>
          <w:b/>
          <w:sz w:val="24"/>
          <w:szCs w:val="24"/>
        </w:rPr>
      </w:pPr>
      <w:r w:rsidRPr="0095076F">
        <w:rPr>
          <w:rFonts w:ascii="宋体" w:hAnsi="宋体"/>
          <w:b/>
          <w:sz w:val="24"/>
          <w:szCs w:val="24"/>
        </w:rPr>
        <w:t xml:space="preserve">3 </w:t>
      </w:r>
      <w:r w:rsidRPr="0095076F">
        <w:rPr>
          <w:rFonts w:ascii="宋体" w:hAnsi="宋体" w:hint="eastAsia"/>
          <w:b/>
          <w:sz w:val="24"/>
          <w:szCs w:val="24"/>
        </w:rPr>
        <w:t>结</w:t>
      </w:r>
      <w:r w:rsidR="0095076F" w:rsidRPr="0095076F">
        <w:rPr>
          <w:rFonts w:ascii="宋体" w:hAnsi="宋体" w:hint="eastAsia"/>
          <w:b/>
          <w:sz w:val="24"/>
          <w:szCs w:val="24"/>
        </w:rPr>
        <w:t>束语</w:t>
      </w:r>
    </w:p>
    <w:p w14:paraId="4E9AC45A" w14:textId="3EBE28CF" w:rsidR="00C66954" w:rsidRDefault="00F276B3">
      <w:pPr>
        <w:rPr>
          <w:rFonts w:ascii="Segoe UI" w:hAnsi="Segoe UI" w:cs="Segoe UI"/>
          <w:color w:val="1E1F24"/>
          <w:shd w:val="clear" w:color="auto" w:fill="FFFFFF"/>
        </w:rPr>
      </w:pPr>
      <w:r>
        <w:rPr>
          <w:rFonts w:ascii="Segoe UI" w:hAnsi="Segoe UI" w:cs="Segoe UI"/>
          <w:color w:val="1E1F24"/>
          <w:shd w:val="clear" w:color="auto" w:fill="FFFFFF"/>
        </w:rPr>
        <w:t>在完整的二维正方晶格方形碲介质柱光子晶体中，本文通过引入线缺陷波导和调整介质柱的横向偏移量，提出了一种可工作于多个太赫兹波段的高对比度</w:t>
      </w:r>
      <w:r>
        <w:rPr>
          <w:rFonts w:ascii="Segoe UI" w:hAnsi="Segoe UI" w:cs="Segoe UI"/>
          <w:color w:val="1E1F24"/>
          <w:shd w:val="clear" w:color="auto" w:fill="FFFFFF"/>
        </w:rPr>
        <w:t>4×2</w:t>
      </w:r>
      <w:r>
        <w:rPr>
          <w:rFonts w:ascii="Segoe UI" w:hAnsi="Segoe UI" w:cs="Segoe UI"/>
          <w:color w:val="1E1F24"/>
          <w:shd w:val="clear" w:color="auto" w:fill="FFFFFF"/>
        </w:rPr>
        <w:t>编码器。上下对称分布的输入输出波导结构也使得器件结构紧凑，尺寸仅为</w:t>
      </w:r>
      <w:r>
        <w:rPr>
          <w:rFonts w:ascii="Segoe UI" w:hAnsi="Segoe UI" w:cs="Segoe UI"/>
          <w:color w:val="1E1F24"/>
          <w:shd w:val="clear" w:color="auto" w:fill="FFFFFF"/>
        </w:rPr>
        <w:t>1.08 mm×1.04 mm</w:t>
      </w:r>
      <w:r>
        <w:rPr>
          <w:rFonts w:ascii="Segoe UI" w:hAnsi="Segoe UI" w:cs="Segoe UI"/>
          <w:color w:val="1E1F24"/>
          <w:shd w:val="clear" w:color="auto" w:fill="FFFFFF"/>
        </w:rPr>
        <w:t>。为优化编码器的性能，提高对比度，本文对所提出的太赫兹波</w:t>
      </w:r>
      <w:r>
        <w:rPr>
          <w:rFonts w:ascii="Segoe UI" w:hAnsi="Segoe UI" w:cs="Segoe UI"/>
          <w:color w:val="1E1F24"/>
          <w:shd w:val="clear" w:color="auto" w:fill="FFFFFF"/>
        </w:rPr>
        <w:t>4×2</w:t>
      </w:r>
      <w:r>
        <w:rPr>
          <w:rFonts w:ascii="Segoe UI" w:hAnsi="Segoe UI" w:cs="Segoe UI"/>
          <w:color w:val="1E1F24"/>
          <w:shd w:val="clear" w:color="auto" w:fill="FFFFFF"/>
        </w:rPr>
        <w:t>编码器的结构参数进行了详细的分析和研究。研究表明：编码器波导分支处介质柱的横向偏移量</w:t>
      </w:r>
      <w:r w:rsidRPr="00F276B3">
        <w:rPr>
          <w:rFonts w:ascii="Segoe UI" w:hAnsi="Segoe UI" w:cs="Segoe UI"/>
          <w:i/>
          <w:color w:val="1E1F24"/>
          <w:shd w:val="clear" w:color="auto" w:fill="FFFFFF"/>
        </w:rPr>
        <w:t>S</w:t>
      </w:r>
      <w:r w:rsidRPr="00F276B3">
        <w:rPr>
          <w:rFonts w:ascii="Segoe UI" w:hAnsi="Segoe UI" w:cs="Segoe UI"/>
          <w:color w:val="1E1F24"/>
          <w:shd w:val="clear" w:color="auto" w:fill="FFFFFF"/>
          <w:vertAlign w:val="subscript"/>
        </w:rPr>
        <w:t>1</w:t>
      </w:r>
      <w:r>
        <w:rPr>
          <w:rFonts w:ascii="Segoe UI" w:hAnsi="Segoe UI" w:cs="Segoe UI"/>
          <w:color w:val="1E1F24"/>
          <w:shd w:val="clear" w:color="auto" w:fill="FFFFFF"/>
        </w:rPr>
        <w:t>和</w:t>
      </w:r>
      <w:r w:rsidRPr="00F276B3">
        <w:rPr>
          <w:rFonts w:ascii="Segoe UI" w:hAnsi="Segoe UI" w:cs="Segoe UI"/>
          <w:i/>
          <w:color w:val="1E1F24"/>
          <w:shd w:val="clear" w:color="auto" w:fill="FFFFFF"/>
        </w:rPr>
        <w:t>S</w:t>
      </w:r>
      <w:r w:rsidRPr="00F276B3">
        <w:rPr>
          <w:rFonts w:ascii="Segoe UI" w:hAnsi="Segoe UI" w:cs="Segoe UI"/>
          <w:color w:val="1E1F24"/>
          <w:shd w:val="clear" w:color="auto" w:fill="FFFFFF"/>
          <w:vertAlign w:val="subscript"/>
        </w:rPr>
        <w:t>2</w:t>
      </w:r>
      <w:r>
        <w:rPr>
          <w:rFonts w:ascii="Segoe UI" w:hAnsi="Segoe UI" w:cs="Segoe UI"/>
          <w:color w:val="1E1F24"/>
          <w:shd w:val="clear" w:color="auto" w:fill="FFFFFF"/>
        </w:rPr>
        <w:t>对编码器输出端口的透过率有重要影响，因此通过合理调整这些参数可以提高输出端口的透过率。经过优化调整</w:t>
      </w:r>
      <w:r>
        <w:rPr>
          <w:rFonts w:ascii="Segoe UI" w:hAnsi="Segoe UI" w:cs="Segoe UI"/>
          <w:color w:val="1E1F24"/>
          <w:shd w:val="clear" w:color="auto" w:fill="FFFFFF"/>
        </w:rPr>
        <w:lastRenderedPageBreak/>
        <w:t>后的</w:t>
      </w:r>
      <w:r>
        <w:rPr>
          <w:rFonts w:ascii="Segoe UI" w:hAnsi="Segoe UI" w:cs="Segoe UI"/>
          <w:color w:val="1E1F24"/>
          <w:shd w:val="clear" w:color="auto" w:fill="FFFFFF"/>
        </w:rPr>
        <w:t>4×2</w:t>
      </w:r>
      <w:r>
        <w:rPr>
          <w:rFonts w:ascii="Segoe UI" w:hAnsi="Segoe UI" w:cs="Segoe UI"/>
          <w:color w:val="1E1F24"/>
          <w:shd w:val="clear" w:color="auto" w:fill="FFFFFF"/>
        </w:rPr>
        <w:t>编码器能够在</w:t>
      </w:r>
      <w:r>
        <w:rPr>
          <w:rFonts w:ascii="Segoe UI" w:hAnsi="Segoe UI" w:cs="Segoe UI"/>
          <w:color w:val="1E1F24"/>
          <w:shd w:val="clear" w:color="auto" w:fill="FFFFFF"/>
        </w:rPr>
        <w:t>103.80</w:t>
      </w:r>
      <w:r>
        <w:rPr>
          <w:rFonts w:ascii="Segoe UI" w:hAnsi="Segoe UI" w:cs="Segoe UI"/>
          <w:color w:val="1E1F24"/>
          <w:shd w:val="clear" w:color="auto" w:fill="FFFFFF"/>
        </w:rPr>
        <w:t>～</w:t>
      </w:r>
      <w:r>
        <w:rPr>
          <w:rFonts w:ascii="Segoe UI" w:hAnsi="Segoe UI" w:cs="Segoe UI"/>
          <w:color w:val="1E1F24"/>
          <w:shd w:val="clear" w:color="auto" w:fill="FFFFFF"/>
        </w:rPr>
        <w:t>108.57 μm</w:t>
      </w:r>
      <w:r>
        <w:rPr>
          <w:rFonts w:ascii="Segoe UI" w:hAnsi="Segoe UI" w:cs="Segoe UI"/>
          <w:color w:val="1E1F24"/>
          <w:shd w:val="clear" w:color="auto" w:fill="FFFFFF"/>
        </w:rPr>
        <w:t>、</w:t>
      </w:r>
      <w:r>
        <w:rPr>
          <w:rFonts w:ascii="Segoe UI" w:hAnsi="Segoe UI" w:cs="Segoe UI"/>
          <w:color w:val="1E1F24"/>
          <w:shd w:val="clear" w:color="auto" w:fill="FFFFFF"/>
        </w:rPr>
        <w:t>109.19</w:t>
      </w:r>
      <w:r>
        <w:rPr>
          <w:rFonts w:ascii="Segoe UI" w:hAnsi="Segoe UI" w:cs="Segoe UI"/>
          <w:color w:val="1E1F24"/>
          <w:shd w:val="clear" w:color="auto" w:fill="FFFFFF"/>
        </w:rPr>
        <w:t>～</w:t>
      </w:r>
      <w:r>
        <w:rPr>
          <w:rFonts w:ascii="Segoe UI" w:hAnsi="Segoe UI" w:cs="Segoe UI"/>
          <w:color w:val="1E1F24"/>
          <w:shd w:val="clear" w:color="auto" w:fill="FFFFFF"/>
        </w:rPr>
        <w:t>111.12 μm</w:t>
      </w:r>
      <w:r>
        <w:rPr>
          <w:rFonts w:ascii="Segoe UI" w:hAnsi="Segoe UI" w:cs="Segoe UI"/>
          <w:color w:val="1E1F24"/>
          <w:shd w:val="clear" w:color="auto" w:fill="FFFFFF"/>
        </w:rPr>
        <w:t>以及</w:t>
      </w:r>
      <w:r>
        <w:rPr>
          <w:rFonts w:ascii="Segoe UI" w:hAnsi="Segoe UI" w:cs="Segoe UI"/>
          <w:color w:val="1E1F24"/>
          <w:shd w:val="clear" w:color="auto" w:fill="FFFFFF"/>
        </w:rPr>
        <w:t>111.94</w:t>
      </w:r>
      <w:r>
        <w:rPr>
          <w:rFonts w:ascii="Segoe UI" w:hAnsi="Segoe UI" w:cs="Segoe UI"/>
          <w:color w:val="1E1F24"/>
          <w:shd w:val="clear" w:color="auto" w:fill="FFFFFF"/>
        </w:rPr>
        <w:t>～</w:t>
      </w:r>
      <w:r>
        <w:rPr>
          <w:rFonts w:ascii="Segoe UI" w:hAnsi="Segoe UI" w:cs="Segoe UI"/>
          <w:color w:val="1E1F24"/>
          <w:shd w:val="clear" w:color="auto" w:fill="FFFFFF"/>
        </w:rPr>
        <w:t>114.08 μm</w:t>
      </w:r>
      <w:r>
        <w:rPr>
          <w:rFonts w:ascii="Segoe UI" w:hAnsi="Segoe UI" w:cs="Segoe UI"/>
          <w:color w:val="1E1F24"/>
          <w:shd w:val="clear" w:color="auto" w:fill="FFFFFF"/>
        </w:rPr>
        <w:t>的波长范围内实现</w:t>
      </w:r>
      <w:r>
        <w:rPr>
          <w:rFonts w:ascii="Segoe UI" w:hAnsi="Segoe UI" w:cs="Segoe UI"/>
          <w:color w:val="1E1F24"/>
          <w:shd w:val="clear" w:color="auto" w:fill="FFFFFF"/>
        </w:rPr>
        <w:t>4×2</w:t>
      </w:r>
      <w:r>
        <w:rPr>
          <w:rFonts w:ascii="Segoe UI" w:hAnsi="Segoe UI" w:cs="Segoe UI"/>
          <w:color w:val="1E1F24"/>
          <w:shd w:val="clear" w:color="auto" w:fill="FFFFFF"/>
        </w:rPr>
        <w:t>编码逻辑功能，且在这</w:t>
      </w:r>
      <w:r>
        <w:rPr>
          <w:rFonts w:ascii="Segoe UI" w:hAnsi="Segoe UI" w:cs="Segoe UI"/>
          <w:color w:val="1E1F24"/>
          <w:shd w:val="clear" w:color="auto" w:fill="FFFFFF"/>
        </w:rPr>
        <w:t>3</w:t>
      </w:r>
      <w:r>
        <w:rPr>
          <w:rFonts w:ascii="Segoe UI" w:hAnsi="Segoe UI" w:cs="Segoe UI"/>
          <w:color w:val="1E1F24"/>
          <w:shd w:val="clear" w:color="auto" w:fill="FFFFFF"/>
        </w:rPr>
        <w:t>段工作范围内的对比度不低于</w:t>
      </w:r>
      <w:r>
        <w:rPr>
          <w:rFonts w:ascii="Segoe UI" w:hAnsi="Segoe UI" w:cs="Segoe UI"/>
          <w:color w:val="1E1F24"/>
          <w:shd w:val="clear" w:color="auto" w:fill="FFFFFF"/>
        </w:rPr>
        <w:t>9.30 dB</w:t>
      </w:r>
      <w:r>
        <w:rPr>
          <w:rFonts w:ascii="Segoe UI" w:hAnsi="Segoe UI" w:cs="Segoe UI"/>
          <w:color w:val="1E1F24"/>
          <w:shd w:val="clear" w:color="auto" w:fill="FFFFFF"/>
        </w:rPr>
        <w:t>，最高可达到</w:t>
      </w:r>
      <w:r>
        <w:rPr>
          <w:rFonts w:ascii="Segoe UI" w:hAnsi="Segoe UI" w:cs="Segoe UI"/>
          <w:color w:val="1E1F24"/>
          <w:shd w:val="clear" w:color="auto" w:fill="FFFFFF"/>
        </w:rPr>
        <w:t>29.47 dB</w:t>
      </w:r>
      <w:r>
        <w:rPr>
          <w:rFonts w:ascii="Segoe UI" w:hAnsi="Segoe UI" w:cs="Segoe UI"/>
          <w:color w:val="1E1F24"/>
          <w:shd w:val="clear" w:color="auto" w:fill="FFFFFF"/>
        </w:rPr>
        <w:t>，响应时间不超过</w:t>
      </w:r>
      <w:r>
        <w:rPr>
          <w:rFonts w:ascii="Segoe UI" w:hAnsi="Segoe UI" w:cs="Segoe UI"/>
          <w:color w:val="1E1F24"/>
          <w:shd w:val="clear" w:color="auto" w:fill="FFFFFF"/>
        </w:rPr>
        <w:t>16.04 ps</w:t>
      </w:r>
      <w:r>
        <w:rPr>
          <w:rFonts w:ascii="Segoe UI" w:hAnsi="Segoe UI" w:cs="Segoe UI"/>
          <w:color w:val="1E1F24"/>
          <w:shd w:val="clear" w:color="auto" w:fill="FFFFFF"/>
        </w:rPr>
        <w:t>。本文所提出的基于光子晶体的多波段太赫兹波</w:t>
      </w:r>
      <w:r>
        <w:rPr>
          <w:rFonts w:ascii="Segoe UI" w:hAnsi="Segoe UI" w:cs="Segoe UI"/>
          <w:color w:val="1E1F24"/>
          <w:shd w:val="clear" w:color="auto" w:fill="FFFFFF"/>
        </w:rPr>
        <w:t>4×2</w:t>
      </w:r>
      <w:r>
        <w:rPr>
          <w:rFonts w:ascii="Segoe UI" w:hAnsi="Segoe UI" w:cs="Segoe UI"/>
          <w:color w:val="1E1F24"/>
          <w:shd w:val="clear" w:color="auto" w:fill="FFFFFF"/>
        </w:rPr>
        <w:t>编码器具有结构紧凑、对比度高、响应速度快、适用波段宽等优点，在未来集成光信号处理系统和太赫兹波通信领域中具有很大的应用潜力和价值。</w:t>
      </w:r>
    </w:p>
    <w:p w14:paraId="2030579B" w14:textId="77777777" w:rsidR="00F276B3" w:rsidRDefault="00F276B3">
      <w:pPr>
        <w:rPr>
          <w:rFonts w:ascii="黑体" w:eastAsia="黑体" w:hAnsi="黑体"/>
          <w:b/>
          <w:bCs/>
        </w:rPr>
      </w:pPr>
    </w:p>
    <w:p w14:paraId="226B8BE3" w14:textId="77777777" w:rsidR="00C66954" w:rsidRDefault="00A773EE">
      <w:pPr>
        <w:rPr>
          <w:rFonts w:ascii="黑体" w:eastAsia="黑体" w:hAnsi="黑体"/>
          <w:b/>
          <w:bCs/>
        </w:rPr>
      </w:pPr>
      <w:r>
        <w:rPr>
          <w:rFonts w:ascii="黑体" w:eastAsia="黑体" w:hAnsi="黑体" w:hint="eastAsia"/>
          <w:b/>
          <w:bCs/>
        </w:rPr>
        <w:t>参考文献：</w:t>
      </w:r>
    </w:p>
    <w:p w14:paraId="4DE949D0" w14:textId="5BF0AAD2" w:rsidR="00893FA7" w:rsidRDefault="00893FA7" w:rsidP="00893FA7">
      <w:r>
        <w:rPr>
          <w:rFonts w:hint="eastAsia"/>
        </w:rPr>
        <w:t>[1]</w:t>
      </w:r>
      <w:r w:rsidR="00D85F9D">
        <w:t xml:space="preserve"> </w:t>
      </w:r>
      <w:r>
        <w:rPr>
          <w:rFonts w:hint="eastAsia"/>
        </w:rPr>
        <w:t>PIESIEWICZ R, KLEINE-OSTMANN T, KRUMBHOLZ N, et al. Short</w:t>
      </w:r>
      <w:r w:rsidR="00D85F9D">
        <w:t>-range ultra-broadband terahertz communications: concepts and pe</w:t>
      </w:r>
      <w:r>
        <w:rPr>
          <w:rFonts w:hint="eastAsia"/>
        </w:rPr>
        <w:t>rspectives[J]. IEEE Antennas and Propagation Magazine, 2007, 49</w:t>
      </w:r>
      <w:r>
        <w:rPr>
          <w:rFonts w:hint="eastAsia"/>
        </w:rPr>
        <w:t>（</w:t>
      </w:r>
      <w:r>
        <w:rPr>
          <w:rFonts w:hint="eastAsia"/>
        </w:rPr>
        <w:t>6</w:t>
      </w:r>
      <w:r>
        <w:rPr>
          <w:rFonts w:hint="eastAsia"/>
        </w:rPr>
        <w:t>）</w:t>
      </w:r>
      <w:r>
        <w:rPr>
          <w:rFonts w:hint="eastAsia"/>
        </w:rPr>
        <w:t>: 24-39.</w:t>
      </w:r>
    </w:p>
    <w:p w14:paraId="09C18B4E" w14:textId="77777777" w:rsidR="00893FA7" w:rsidRDefault="00893FA7" w:rsidP="00893FA7">
      <w:r>
        <w:rPr>
          <w:rFonts w:hint="eastAsia"/>
        </w:rPr>
        <w:t>[2]</w:t>
      </w:r>
      <w:r>
        <w:rPr>
          <w:rFonts w:hint="eastAsia"/>
        </w:rPr>
        <w:t>吕治辉，张栋文，赵增秀，等</w:t>
      </w:r>
      <w:r>
        <w:rPr>
          <w:rFonts w:hint="eastAsia"/>
        </w:rPr>
        <w:t xml:space="preserve">. </w:t>
      </w:r>
      <w:r>
        <w:rPr>
          <w:rFonts w:hint="eastAsia"/>
        </w:rPr>
        <w:t>太赫兹雷达技术研究</w:t>
      </w:r>
      <w:r>
        <w:rPr>
          <w:rFonts w:hint="eastAsia"/>
        </w:rPr>
        <w:t xml:space="preserve">[J]. </w:t>
      </w:r>
      <w:r>
        <w:rPr>
          <w:rFonts w:hint="eastAsia"/>
        </w:rPr>
        <w:t>国防科技，</w:t>
      </w:r>
      <w:r>
        <w:rPr>
          <w:rFonts w:hint="eastAsia"/>
        </w:rPr>
        <w:t>2015</w:t>
      </w:r>
      <w:r>
        <w:rPr>
          <w:rFonts w:hint="eastAsia"/>
        </w:rPr>
        <w:t>，</w:t>
      </w:r>
      <w:r>
        <w:rPr>
          <w:rFonts w:hint="eastAsia"/>
        </w:rPr>
        <w:t>36</w:t>
      </w:r>
      <w:r>
        <w:rPr>
          <w:rFonts w:hint="eastAsia"/>
        </w:rPr>
        <w:t>（</w:t>
      </w:r>
      <w:r>
        <w:rPr>
          <w:rFonts w:hint="eastAsia"/>
        </w:rPr>
        <w:t>2</w:t>
      </w:r>
      <w:r>
        <w:rPr>
          <w:rFonts w:hint="eastAsia"/>
        </w:rPr>
        <w:t>）：</w:t>
      </w:r>
      <w:r>
        <w:rPr>
          <w:rFonts w:hint="eastAsia"/>
        </w:rPr>
        <w:t>23-26.</w:t>
      </w:r>
    </w:p>
    <w:p w14:paraId="6109E189" w14:textId="6AC06573" w:rsidR="00893FA7" w:rsidRDefault="00893FA7" w:rsidP="00893FA7">
      <w:r>
        <w:t>[3]</w:t>
      </w:r>
      <w:r w:rsidR="00D85F9D">
        <w:t xml:space="preserve"> </w:t>
      </w:r>
      <w:r>
        <w:t>TRIBE W R , NEWNHAM D A, TADAY P F. Hidden object detection: security applications of terahertz technology[C]</w:t>
      </w:r>
      <w:r w:rsidR="00A00960">
        <w:t>//</w:t>
      </w:r>
      <w:r>
        <w:t>SPIE</w:t>
      </w:r>
      <w:r w:rsidR="009F4DDB">
        <w:t xml:space="preserve">. </w:t>
      </w:r>
      <w:r w:rsidR="00A56F1B" w:rsidRPr="00A56F1B">
        <w:rPr>
          <w:color w:val="333333"/>
          <w:shd w:val="clear" w:color="auto" w:fill="FFFFFF"/>
        </w:rPr>
        <w:t>Terahertz and Gigahertz Electronics and Photonics III</w:t>
      </w:r>
      <w:r w:rsidR="009F4DDB">
        <w:t>. San Jose, CA</w:t>
      </w:r>
      <w:r w:rsidR="006B4EF9">
        <w:t>: SPIE,</w:t>
      </w:r>
      <w:r>
        <w:t xml:space="preserve"> 2004: 168-176.</w:t>
      </w:r>
    </w:p>
    <w:p w14:paraId="531E396F" w14:textId="356F5CBF" w:rsidR="00893FA7" w:rsidRDefault="00893FA7" w:rsidP="00893FA7">
      <w:r>
        <w:rPr>
          <w:rFonts w:hint="eastAsia"/>
        </w:rPr>
        <w:t>[4]</w:t>
      </w:r>
      <w:r w:rsidR="00EC79D7">
        <w:t xml:space="preserve"> </w:t>
      </w:r>
      <w:r>
        <w:rPr>
          <w:rFonts w:hint="eastAsia"/>
        </w:rPr>
        <w:t>PICKWELL E, WALLACE V P. Biomedical applications of terahertz technology[J]. Journal of Physics D Applied Physics, 2006, 39</w:t>
      </w:r>
      <w:r>
        <w:rPr>
          <w:rFonts w:hint="eastAsia"/>
        </w:rPr>
        <w:t>（</w:t>
      </w:r>
      <w:r>
        <w:rPr>
          <w:rFonts w:hint="eastAsia"/>
        </w:rPr>
        <w:t>17</w:t>
      </w:r>
      <w:r>
        <w:rPr>
          <w:rFonts w:hint="eastAsia"/>
        </w:rPr>
        <w:t>）</w:t>
      </w:r>
      <w:r>
        <w:rPr>
          <w:rFonts w:hint="eastAsia"/>
        </w:rPr>
        <w:t>: R301.</w:t>
      </w:r>
    </w:p>
    <w:p w14:paraId="498E2A0B" w14:textId="69C16298" w:rsidR="00893FA7" w:rsidRDefault="00893FA7" w:rsidP="00893FA7">
      <w:r>
        <w:t>[5]</w:t>
      </w:r>
      <w:r w:rsidR="00EC79D7">
        <w:t xml:space="preserve"> </w:t>
      </w:r>
      <w:r w:rsidRPr="00AE6F6D">
        <w:t>SIEGEL P H. Terahertz technology in biology and medicine[</w:t>
      </w:r>
      <w:r w:rsidR="009145CD" w:rsidRPr="00AE6F6D">
        <w:t>J</w:t>
      </w:r>
      <w:r w:rsidRPr="00AE6F6D">
        <w:t xml:space="preserve">]. </w:t>
      </w:r>
      <w:r w:rsidR="009145CD" w:rsidRPr="00AE6F6D">
        <w:rPr>
          <w:color w:val="auto"/>
        </w:rPr>
        <w:t xml:space="preserve">IEEE </w:t>
      </w:r>
      <w:r w:rsidR="0052261A" w:rsidRPr="00AE6F6D">
        <w:rPr>
          <w:rFonts w:eastAsia="TeXGyreTermesX-Regular"/>
          <w:color w:val="auto"/>
        </w:rPr>
        <w:t>transactions on microwave theory techniques</w:t>
      </w:r>
      <w:r w:rsidRPr="00AE6F6D">
        <w:t>, 2004</w:t>
      </w:r>
      <w:r w:rsidR="009145CD" w:rsidRPr="00AE6F6D">
        <w:t xml:space="preserve">, </w:t>
      </w:r>
      <w:r w:rsidR="0052261A" w:rsidRPr="00AE6F6D">
        <w:t>52</w:t>
      </w:r>
      <w:r w:rsidR="0052261A" w:rsidRPr="00AE6F6D">
        <w:rPr>
          <w:rFonts w:hint="eastAsia"/>
        </w:rPr>
        <w:t>（</w:t>
      </w:r>
      <w:r w:rsidR="0052261A" w:rsidRPr="00AE6F6D">
        <w:rPr>
          <w:rFonts w:hint="eastAsia"/>
        </w:rPr>
        <w:t>1</w:t>
      </w:r>
      <w:r w:rsidR="0052261A" w:rsidRPr="00AE6F6D">
        <w:t>0</w:t>
      </w:r>
      <w:r w:rsidR="0052261A" w:rsidRPr="00AE6F6D">
        <w:rPr>
          <w:rFonts w:hint="eastAsia"/>
        </w:rPr>
        <w:t>）</w:t>
      </w:r>
      <w:r w:rsidRPr="00AE6F6D">
        <w:t xml:space="preserve">: </w:t>
      </w:r>
      <w:r w:rsidR="0052261A" w:rsidRPr="00AE6F6D">
        <w:t>2438</w:t>
      </w:r>
      <w:r w:rsidRPr="00AE6F6D">
        <w:t>-</w:t>
      </w:r>
      <w:r w:rsidR="0052261A" w:rsidRPr="00AE6F6D">
        <w:t>2447</w:t>
      </w:r>
      <w:r w:rsidRPr="00AE6F6D">
        <w:t>.</w:t>
      </w:r>
    </w:p>
    <w:p w14:paraId="6DEFD637" w14:textId="55881C00" w:rsidR="00893FA7" w:rsidRDefault="00893FA7" w:rsidP="00893FA7">
      <w:r>
        <w:rPr>
          <w:rFonts w:hint="eastAsia"/>
        </w:rPr>
        <w:t>[6]</w:t>
      </w:r>
      <w:r w:rsidR="00EC79D7">
        <w:t xml:space="preserve"> </w:t>
      </w:r>
      <w:r>
        <w:rPr>
          <w:rFonts w:hint="eastAsia"/>
        </w:rPr>
        <w:t>戚祖敏</w:t>
      </w:r>
      <w:r>
        <w:rPr>
          <w:rFonts w:hint="eastAsia"/>
        </w:rPr>
        <w:t xml:space="preserve">. </w:t>
      </w:r>
      <w:r>
        <w:rPr>
          <w:rFonts w:hint="eastAsia"/>
        </w:rPr>
        <w:t>太赫兹波在军事领域中的应用研究</w:t>
      </w:r>
      <w:r>
        <w:rPr>
          <w:rFonts w:hint="eastAsia"/>
        </w:rPr>
        <w:t xml:space="preserve">[J]. </w:t>
      </w:r>
      <w:r>
        <w:rPr>
          <w:rFonts w:hint="eastAsia"/>
        </w:rPr>
        <w:t>红外，</w:t>
      </w:r>
      <w:r>
        <w:rPr>
          <w:rFonts w:hint="eastAsia"/>
        </w:rPr>
        <w:t>2008</w:t>
      </w:r>
      <w:r>
        <w:rPr>
          <w:rFonts w:hint="eastAsia"/>
        </w:rPr>
        <w:t>，</w:t>
      </w:r>
      <w:r>
        <w:rPr>
          <w:rFonts w:hint="eastAsia"/>
        </w:rPr>
        <w:t>29</w:t>
      </w:r>
      <w:r>
        <w:rPr>
          <w:rFonts w:hint="eastAsia"/>
        </w:rPr>
        <w:t>（</w:t>
      </w:r>
      <w:r>
        <w:rPr>
          <w:rFonts w:hint="eastAsia"/>
        </w:rPr>
        <w:t>12</w:t>
      </w:r>
      <w:r>
        <w:rPr>
          <w:rFonts w:hint="eastAsia"/>
        </w:rPr>
        <w:t>）：</w:t>
      </w:r>
      <w:r>
        <w:rPr>
          <w:rFonts w:hint="eastAsia"/>
        </w:rPr>
        <w:t>1-4.</w:t>
      </w:r>
    </w:p>
    <w:p w14:paraId="24F9DD3D" w14:textId="5EC20D61" w:rsidR="00893FA7" w:rsidRDefault="00893FA7" w:rsidP="00893FA7">
      <w:r>
        <w:rPr>
          <w:rFonts w:hint="eastAsia"/>
        </w:rPr>
        <w:t>[7]</w:t>
      </w:r>
      <w:r w:rsidR="00EC79D7">
        <w:t xml:space="preserve"> </w:t>
      </w:r>
      <w:r>
        <w:rPr>
          <w:rFonts w:hint="eastAsia"/>
        </w:rPr>
        <w:t>姜宗丹，李培丽，徐光跃</w:t>
      </w:r>
      <w:r>
        <w:rPr>
          <w:rFonts w:hint="eastAsia"/>
        </w:rPr>
        <w:t xml:space="preserve">. </w:t>
      </w:r>
      <w:r>
        <w:rPr>
          <w:rFonts w:hint="eastAsia"/>
        </w:rPr>
        <w:t>基于光子晶体的太赫兹波</w:t>
      </w:r>
      <w:r>
        <w:rPr>
          <w:rFonts w:hint="eastAsia"/>
        </w:rPr>
        <w:t>4-2</w:t>
      </w:r>
      <w:r>
        <w:rPr>
          <w:rFonts w:hint="eastAsia"/>
        </w:rPr>
        <w:t>编码器</w:t>
      </w:r>
      <w:r>
        <w:rPr>
          <w:rFonts w:hint="eastAsia"/>
        </w:rPr>
        <w:t xml:space="preserve">[J]. </w:t>
      </w:r>
      <w:r>
        <w:rPr>
          <w:rFonts w:hint="eastAsia"/>
        </w:rPr>
        <w:t>中国激光，</w:t>
      </w:r>
      <w:r>
        <w:rPr>
          <w:rFonts w:hint="eastAsia"/>
        </w:rPr>
        <w:t>2021</w:t>
      </w:r>
      <w:r>
        <w:rPr>
          <w:rFonts w:hint="eastAsia"/>
        </w:rPr>
        <w:t>，</w:t>
      </w:r>
      <w:r>
        <w:rPr>
          <w:rFonts w:hint="eastAsia"/>
        </w:rPr>
        <w:t>48</w:t>
      </w:r>
      <w:r>
        <w:rPr>
          <w:rFonts w:hint="eastAsia"/>
        </w:rPr>
        <w:t>（</w:t>
      </w:r>
      <w:r>
        <w:rPr>
          <w:rFonts w:hint="eastAsia"/>
        </w:rPr>
        <w:t>20</w:t>
      </w:r>
      <w:r>
        <w:rPr>
          <w:rFonts w:hint="eastAsia"/>
        </w:rPr>
        <w:t>）：</w:t>
      </w:r>
      <w:r>
        <w:rPr>
          <w:rFonts w:hint="eastAsia"/>
        </w:rPr>
        <w:t>186-193.</w:t>
      </w:r>
    </w:p>
    <w:p w14:paraId="20A93E4F" w14:textId="19E419E4" w:rsidR="00893FA7" w:rsidRDefault="00893FA7" w:rsidP="00893FA7">
      <w:r>
        <w:rPr>
          <w:rFonts w:hint="eastAsia"/>
        </w:rPr>
        <w:t>[8]</w:t>
      </w:r>
      <w:r w:rsidR="00EC79D7">
        <w:t xml:space="preserve"> </w:t>
      </w:r>
      <w:r>
        <w:rPr>
          <w:rFonts w:hint="eastAsia"/>
        </w:rPr>
        <w:t>刘振，吴蓉，严清博，等</w:t>
      </w:r>
      <w:r>
        <w:rPr>
          <w:rFonts w:hint="eastAsia"/>
        </w:rPr>
        <w:t xml:space="preserve">. </w:t>
      </w:r>
      <w:r>
        <w:rPr>
          <w:rFonts w:hint="eastAsia"/>
        </w:rPr>
        <w:t>二维光子晶体全光逻辑门的设计与仿真</w:t>
      </w:r>
      <w:r>
        <w:rPr>
          <w:rFonts w:hint="eastAsia"/>
        </w:rPr>
        <w:t xml:space="preserve">[J]. </w:t>
      </w:r>
      <w:r>
        <w:rPr>
          <w:rFonts w:hint="eastAsia"/>
        </w:rPr>
        <w:t>激光与光电子学进展，</w:t>
      </w:r>
      <w:r>
        <w:rPr>
          <w:rFonts w:hint="eastAsia"/>
        </w:rPr>
        <w:t>2019</w:t>
      </w:r>
      <w:r>
        <w:rPr>
          <w:rFonts w:hint="eastAsia"/>
        </w:rPr>
        <w:t>，</w:t>
      </w:r>
      <w:r>
        <w:rPr>
          <w:rFonts w:hint="eastAsia"/>
        </w:rPr>
        <w:t>56</w:t>
      </w:r>
      <w:r>
        <w:rPr>
          <w:rFonts w:hint="eastAsia"/>
        </w:rPr>
        <w:t>（</w:t>
      </w:r>
      <w:r>
        <w:rPr>
          <w:rFonts w:hint="eastAsia"/>
        </w:rPr>
        <w:t>18</w:t>
      </w:r>
      <w:r>
        <w:rPr>
          <w:rFonts w:hint="eastAsia"/>
        </w:rPr>
        <w:t>）：</w:t>
      </w:r>
      <w:r>
        <w:rPr>
          <w:rFonts w:hint="eastAsia"/>
        </w:rPr>
        <w:t>238-245.</w:t>
      </w:r>
    </w:p>
    <w:p w14:paraId="17C82BAD" w14:textId="2AB5C21A" w:rsidR="00893FA7" w:rsidRDefault="00893FA7" w:rsidP="00893FA7">
      <w:r>
        <w:rPr>
          <w:rFonts w:hint="eastAsia"/>
        </w:rPr>
        <w:t>[9]</w:t>
      </w:r>
      <w:r w:rsidR="00EC79D7">
        <w:t xml:space="preserve"> </w:t>
      </w:r>
      <w:r>
        <w:rPr>
          <w:rFonts w:hint="eastAsia"/>
        </w:rPr>
        <w:t>YABLONOVITCH</w:t>
      </w:r>
      <w:r w:rsidR="00EC79D7">
        <w:t xml:space="preserve"> </w:t>
      </w:r>
      <w:r>
        <w:rPr>
          <w:rFonts w:hint="eastAsia"/>
        </w:rPr>
        <w:t xml:space="preserve">E. Inhibited </w:t>
      </w:r>
      <w:r w:rsidR="00EC79D7">
        <w:t>spontaneous emission in solid-state physics and e</w:t>
      </w:r>
      <w:r>
        <w:rPr>
          <w:rFonts w:hint="eastAsia"/>
        </w:rPr>
        <w:t xml:space="preserve">lectronics[J]. Physical </w:t>
      </w:r>
      <w:r w:rsidR="00EC79D7">
        <w:t>R</w:t>
      </w:r>
      <w:r>
        <w:rPr>
          <w:rFonts w:hint="eastAsia"/>
        </w:rPr>
        <w:t xml:space="preserve">eview </w:t>
      </w:r>
      <w:r w:rsidR="00EC79D7">
        <w:t>L</w:t>
      </w:r>
      <w:r>
        <w:rPr>
          <w:rFonts w:hint="eastAsia"/>
        </w:rPr>
        <w:t>etters, 1987, 58</w:t>
      </w:r>
      <w:r>
        <w:rPr>
          <w:rFonts w:hint="eastAsia"/>
        </w:rPr>
        <w:t>（</w:t>
      </w:r>
      <w:r>
        <w:rPr>
          <w:rFonts w:hint="eastAsia"/>
        </w:rPr>
        <w:t>20</w:t>
      </w:r>
      <w:r>
        <w:rPr>
          <w:rFonts w:hint="eastAsia"/>
        </w:rPr>
        <w:t>）</w:t>
      </w:r>
      <w:r>
        <w:rPr>
          <w:rFonts w:hint="eastAsia"/>
        </w:rPr>
        <w:t>: 2059-2062.</w:t>
      </w:r>
    </w:p>
    <w:p w14:paraId="7540508E" w14:textId="71A4AB4B" w:rsidR="00893FA7" w:rsidRDefault="00893FA7" w:rsidP="00893FA7">
      <w:r>
        <w:t>[10]</w:t>
      </w:r>
      <w:r w:rsidR="00EC79D7">
        <w:t xml:space="preserve"> </w:t>
      </w:r>
      <w:r w:rsidRPr="00223063">
        <w:t>LEE K Y, YANG Y C, LIN Y J, et al. The designs of 4×2 encoder based on photonic crystals[C]</w:t>
      </w:r>
      <w:r w:rsidR="00DA167E" w:rsidRPr="00223063">
        <w:t>//</w:t>
      </w:r>
      <w:r w:rsidR="00223063" w:rsidRPr="00223063">
        <w:t>SPIE</w:t>
      </w:r>
      <w:r w:rsidRPr="00223063">
        <w:t xml:space="preserve">. </w:t>
      </w:r>
      <w:r w:rsidR="00223063" w:rsidRPr="00223063">
        <w:rPr>
          <w:color w:val="000000"/>
          <w:shd w:val="clear" w:color="auto" w:fill="FFFFFF"/>
        </w:rPr>
        <w:t xml:space="preserve">Passive Components and Fiber-based Devices VI. Shanghai, China: </w:t>
      </w:r>
      <w:r w:rsidR="00E13758">
        <w:rPr>
          <w:color w:val="000000"/>
          <w:shd w:val="clear" w:color="auto" w:fill="FFFFFF"/>
        </w:rPr>
        <w:t>Optica Publishing Group</w:t>
      </w:r>
      <w:r w:rsidR="00223063" w:rsidRPr="00223063">
        <w:rPr>
          <w:color w:val="000000"/>
          <w:shd w:val="clear" w:color="auto" w:fill="FFFFFF"/>
        </w:rPr>
        <w:t xml:space="preserve">, </w:t>
      </w:r>
      <w:r w:rsidRPr="00223063">
        <w:t>2009: 1-2.</w:t>
      </w:r>
    </w:p>
    <w:p w14:paraId="3F5F4714" w14:textId="73911F5C" w:rsidR="00893FA7" w:rsidRDefault="00893FA7" w:rsidP="00893FA7">
      <w:r>
        <w:rPr>
          <w:rFonts w:hint="eastAsia"/>
        </w:rPr>
        <w:t>[11]</w:t>
      </w:r>
      <w:r w:rsidR="00EC79D7">
        <w:t xml:space="preserve"> </w:t>
      </w:r>
      <w:r>
        <w:rPr>
          <w:rFonts w:hint="eastAsia"/>
        </w:rPr>
        <w:t xml:space="preserve">RAJASEKAR R, RAJA G T, JAYABARATHAN J K, et al. High </w:t>
      </w:r>
      <w:r w:rsidR="00EC79D7">
        <w:t>speed nano-optical encoder using photonic crystal ring re</w:t>
      </w:r>
      <w:r>
        <w:rPr>
          <w:rFonts w:hint="eastAsia"/>
        </w:rPr>
        <w:t>sonator[J]. Photonic Network Communications, 2020, 40</w:t>
      </w:r>
      <w:r>
        <w:rPr>
          <w:rFonts w:hint="eastAsia"/>
        </w:rPr>
        <w:t>（</w:t>
      </w:r>
      <w:r>
        <w:rPr>
          <w:rFonts w:hint="eastAsia"/>
        </w:rPr>
        <w:t>1</w:t>
      </w:r>
      <w:r>
        <w:rPr>
          <w:rFonts w:hint="eastAsia"/>
        </w:rPr>
        <w:t>）</w:t>
      </w:r>
      <w:r>
        <w:rPr>
          <w:rFonts w:hint="eastAsia"/>
        </w:rPr>
        <w:t>: 1-9.</w:t>
      </w:r>
    </w:p>
    <w:p w14:paraId="4536AEE5" w14:textId="66A21875" w:rsidR="00893FA7" w:rsidRDefault="00893FA7" w:rsidP="00893FA7">
      <w:r>
        <w:t>[12]</w:t>
      </w:r>
      <w:r w:rsidR="00EC79D7">
        <w:t xml:space="preserve"> </w:t>
      </w:r>
      <w:r>
        <w:t>NAGHIZADE S, KHOSHSIMA H. Low Inpu</w:t>
      </w:r>
      <w:r w:rsidR="00EC79D7">
        <w:t>t power an all optical 4 × 2 encoder based on triangular lattice shape photonic cr</w:t>
      </w:r>
      <w:r>
        <w:t>ystal[J]. Journal of Optical Communications, 2018, 42</w:t>
      </w:r>
      <w:r>
        <w:rPr>
          <w:rFonts w:hint="eastAsia"/>
        </w:rPr>
        <w:t>（</w:t>
      </w:r>
      <w:r>
        <w:t>1</w:t>
      </w:r>
      <w:r>
        <w:rPr>
          <w:rFonts w:hint="eastAsia"/>
        </w:rPr>
        <w:t>）</w:t>
      </w:r>
      <w:r>
        <w:t>: 17-24.</w:t>
      </w:r>
    </w:p>
    <w:p w14:paraId="5DE05EDB" w14:textId="216D0AFA" w:rsidR="00893FA7" w:rsidRDefault="00893FA7" w:rsidP="00893FA7">
      <w:r>
        <w:rPr>
          <w:rFonts w:hint="eastAsia"/>
        </w:rPr>
        <w:t>[13]</w:t>
      </w:r>
      <w:r w:rsidR="00EC79D7">
        <w:t xml:space="preserve"> </w:t>
      </w:r>
      <w:r>
        <w:rPr>
          <w:rFonts w:hint="eastAsia"/>
        </w:rPr>
        <w:t>LATHA K, ARUNKUMAR R, PRABHA K R, et al. Performance</w:t>
      </w:r>
      <w:r w:rsidR="00EC79D7">
        <w:t xml:space="preserve"> analysis of all optical 4</w:t>
      </w:r>
      <w:r w:rsidR="00EC79D7">
        <w:rPr>
          <w:rFonts w:hint="eastAsia"/>
        </w:rPr>
        <w:t>×</w:t>
      </w:r>
      <w:r w:rsidR="00EC79D7">
        <w:t>2 and 8</w:t>
      </w:r>
      <w:r w:rsidR="00EC79D7">
        <w:rPr>
          <w:rFonts w:hint="eastAsia"/>
        </w:rPr>
        <w:t>×</w:t>
      </w:r>
      <w:r w:rsidR="00EC79D7">
        <w:t>3 encoder using two dimensional photonic crystals w</w:t>
      </w:r>
      <w:r>
        <w:rPr>
          <w:rFonts w:hint="eastAsia"/>
        </w:rPr>
        <w:t>aveguides[J]. Silicon, 2021, 14</w:t>
      </w:r>
      <w:r>
        <w:rPr>
          <w:rFonts w:hint="eastAsia"/>
        </w:rPr>
        <w:t>（</w:t>
      </w:r>
      <w:r>
        <w:rPr>
          <w:rFonts w:hint="eastAsia"/>
        </w:rPr>
        <w:t>7</w:t>
      </w:r>
      <w:r>
        <w:rPr>
          <w:rFonts w:hint="eastAsia"/>
        </w:rPr>
        <w:t>）</w:t>
      </w:r>
      <w:r>
        <w:rPr>
          <w:rFonts w:hint="eastAsia"/>
        </w:rPr>
        <w:t>: 1-14.</w:t>
      </w:r>
    </w:p>
    <w:p w14:paraId="03A3E555" w14:textId="6F4AEAB7" w:rsidR="00893FA7" w:rsidRDefault="00893FA7" w:rsidP="00893FA7">
      <w:r>
        <w:rPr>
          <w:rFonts w:hint="eastAsia"/>
        </w:rPr>
        <w:t>[14]</w:t>
      </w:r>
      <w:r w:rsidR="00EC79D7">
        <w:t xml:space="preserve"> </w:t>
      </w:r>
      <w:r>
        <w:rPr>
          <w:rFonts w:hint="eastAsia"/>
        </w:rPr>
        <w:t>MOSTAFA T S, MOHAMMED N A, EL-RABAIE E S M. Ultracompact ultrafast-switching-speed all-optical 4</w:t>
      </w:r>
      <w:r>
        <w:rPr>
          <w:rFonts w:hint="eastAsia"/>
        </w:rPr>
        <w:t>×</w:t>
      </w:r>
      <w:r>
        <w:rPr>
          <w:rFonts w:hint="eastAsia"/>
        </w:rPr>
        <w:t>2 encoder based on photonic crystal[J]. Journal of Computational Electronics, 2019, 18</w:t>
      </w:r>
      <w:r>
        <w:rPr>
          <w:rFonts w:hint="eastAsia"/>
        </w:rPr>
        <w:t>（</w:t>
      </w:r>
      <w:r>
        <w:rPr>
          <w:rFonts w:hint="eastAsia"/>
        </w:rPr>
        <w:t>1</w:t>
      </w:r>
      <w:r>
        <w:rPr>
          <w:rFonts w:hint="eastAsia"/>
        </w:rPr>
        <w:t>）</w:t>
      </w:r>
      <w:r>
        <w:rPr>
          <w:rFonts w:hint="eastAsia"/>
        </w:rPr>
        <w:t>: 1-14.</w:t>
      </w:r>
    </w:p>
    <w:p w14:paraId="41A1A553" w14:textId="281B5CC7" w:rsidR="00893FA7" w:rsidRDefault="00893FA7" w:rsidP="00893FA7">
      <w:r>
        <w:t>[15]</w:t>
      </w:r>
      <w:r w:rsidR="00EC79D7">
        <w:t xml:space="preserve"> </w:t>
      </w:r>
      <w:r>
        <w:t>ALIPOUR-BANAEI H, RABATI M G, ABDOLLAHZADEH-BADELBOU P, et al. Application of self-collimated Beams to realization of all optical photonic crystal encoder[J]. Physica E: Low-dimensional Systems and Nanostructures, 2016, 75: 77-85.</w:t>
      </w:r>
    </w:p>
    <w:p w14:paraId="71504AE0" w14:textId="3CC30028" w:rsidR="00893FA7" w:rsidRDefault="00893FA7" w:rsidP="00893FA7">
      <w:r>
        <w:rPr>
          <w:rFonts w:hint="eastAsia"/>
        </w:rPr>
        <w:t>[16]</w:t>
      </w:r>
      <w:r w:rsidR="00EC79D7">
        <w:t xml:space="preserve"> </w:t>
      </w:r>
      <w:r>
        <w:rPr>
          <w:rFonts w:hint="eastAsia"/>
        </w:rPr>
        <w:t>HASSANGHOLIZADEH-KASHTIBAN M, SABBAGHI-NADOOSHAN R, ALIPOUR-</w:t>
      </w:r>
      <w:r>
        <w:rPr>
          <w:rFonts w:hint="eastAsia"/>
        </w:rPr>
        <w:lastRenderedPageBreak/>
        <w:t>BANAEI H. A novel all optical reversible 4</w:t>
      </w:r>
      <w:r>
        <w:rPr>
          <w:rFonts w:hint="eastAsia"/>
        </w:rPr>
        <w:t>×</w:t>
      </w:r>
      <w:r>
        <w:rPr>
          <w:rFonts w:hint="eastAsia"/>
        </w:rPr>
        <w:t>2 encoder based on photonic crystals[J]. Optik - International Journal for Light and Electron Optics, 2015, 126</w:t>
      </w:r>
      <w:r>
        <w:rPr>
          <w:rFonts w:hint="eastAsia"/>
        </w:rPr>
        <w:t>（</w:t>
      </w:r>
      <w:r>
        <w:rPr>
          <w:rFonts w:hint="eastAsia"/>
        </w:rPr>
        <w:t>20</w:t>
      </w:r>
      <w:r>
        <w:rPr>
          <w:rFonts w:hint="eastAsia"/>
        </w:rPr>
        <w:t>）</w:t>
      </w:r>
      <w:r>
        <w:rPr>
          <w:rFonts w:hint="eastAsia"/>
        </w:rPr>
        <w:t>: 2368-2372.</w:t>
      </w:r>
    </w:p>
    <w:p w14:paraId="30555888" w14:textId="6E926D7C" w:rsidR="00893FA7" w:rsidRDefault="00893FA7" w:rsidP="00893FA7">
      <w:r>
        <w:rPr>
          <w:rFonts w:hint="eastAsia"/>
        </w:rPr>
        <w:t>[17]</w:t>
      </w:r>
      <w:r w:rsidR="00EC79D7">
        <w:t xml:space="preserve"> </w:t>
      </w:r>
      <w:r>
        <w:rPr>
          <w:rFonts w:hint="eastAsia"/>
        </w:rPr>
        <w:t>SIAMAK GHOLAMNEJAD, MAHDI ZAVVARI. Design and analysis of all-optical 4</w:t>
      </w:r>
      <w:r>
        <w:rPr>
          <w:rFonts w:hint="eastAsia"/>
        </w:rPr>
        <w:t>–</w:t>
      </w:r>
      <w:r>
        <w:rPr>
          <w:rFonts w:hint="eastAsia"/>
        </w:rPr>
        <w:t>2 binary encoder based on photonic crystal[J]. Optical &amp; Quantum Electronics, 2017, 49</w:t>
      </w:r>
      <w:r>
        <w:rPr>
          <w:rFonts w:hint="eastAsia"/>
        </w:rPr>
        <w:t>（</w:t>
      </w:r>
      <w:r>
        <w:rPr>
          <w:rFonts w:hint="eastAsia"/>
        </w:rPr>
        <w:t>9</w:t>
      </w:r>
      <w:r>
        <w:rPr>
          <w:rFonts w:hint="eastAsia"/>
        </w:rPr>
        <w:t>）</w:t>
      </w:r>
      <w:r>
        <w:rPr>
          <w:rFonts w:hint="eastAsia"/>
        </w:rPr>
        <w:t>: 302</w:t>
      </w:r>
      <w:r w:rsidR="0073579F">
        <w:t>-302</w:t>
      </w:r>
      <w:r>
        <w:rPr>
          <w:rFonts w:hint="eastAsia"/>
        </w:rPr>
        <w:t>.</w:t>
      </w:r>
    </w:p>
    <w:p w14:paraId="55321546" w14:textId="384BF7A7" w:rsidR="00893FA7" w:rsidRDefault="00893FA7" w:rsidP="00893FA7">
      <w:r>
        <w:rPr>
          <w:rFonts w:hint="eastAsia"/>
        </w:rPr>
        <w:t>[18]</w:t>
      </w:r>
      <w:r w:rsidR="00EC79D7">
        <w:t xml:space="preserve"> </w:t>
      </w:r>
      <w:r>
        <w:rPr>
          <w:rFonts w:hint="eastAsia"/>
        </w:rPr>
        <w:t>余佳培</w:t>
      </w:r>
      <w:r>
        <w:rPr>
          <w:rFonts w:hint="eastAsia"/>
        </w:rPr>
        <w:t xml:space="preserve">. </w:t>
      </w:r>
      <w:r>
        <w:rPr>
          <w:rFonts w:hint="eastAsia"/>
        </w:rPr>
        <w:t>光子晶体太赫兹波逻辑器件研究</w:t>
      </w:r>
      <w:r>
        <w:rPr>
          <w:rFonts w:hint="eastAsia"/>
        </w:rPr>
        <w:t>[D].</w:t>
      </w:r>
      <w:r w:rsidR="00A3002F">
        <w:t xml:space="preserve"> </w:t>
      </w:r>
      <w:r>
        <w:rPr>
          <w:rFonts w:hint="eastAsia"/>
        </w:rPr>
        <w:t>杭州：中国计量大学，</w:t>
      </w:r>
      <w:r>
        <w:rPr>
          <w:rFonts w:hint="eastAsia"/>
        </w:rPr>
        <w:t>2018.</w:t>
      </w:r>
    </w:p>
    <w:p w14:paraId="7D66FD49" w14:textId="4D790361" w:rsidR="00893FA7" w:rsidRDefault="00893FA7" w:rsidP="00893FA7">
      <w:r>
        <w:rPr>
          <w:rFonts w:hint="eastAsia"/>
        </w:rPr>
        <w:t>[19]</w:t>
      </w:r>
      <w:r w:rsidR="00EC79D7">
        <w:t xml:space="preserve"> </w:t>
      </w:r>
      <w:r>
        <w:rPr>
          <w:rFonts w:hint="eastAsia"/>
        </w:rPr>
        <w:t>MOHEBZADEH-BAHABADY A, OLYAEE S. All-optical NOT and XOR logic gates using photonic crystal nano-resonator and based on an interference effect[J]. Iet Optoelectronics, 2018, 12</w:t>
      </w:r>
      <w:r>
        <w:rPr>
          <w:rFonts w:hint="eastAsia"/>
        </w:rPr>
        <w:t>（</w:t>
      </w:r>
      <w:r>
        <w:rPr>
          <w:rFonts w:hint="eastAsia"/>
        </w:rPr>
        <w:t>4</w:t>
      </w:r>
      <w:r>
        <w:rPr>
          <w:rFonts w:hint="eastAsia"/>
        </w:rPr>
        <w:t>）</w:t>
      </w:r>
      <w:r>
        <w:rPr>
          <w:rFonts w:hint="eastAsia"/>
        </w:rPr>
        <w:t>: 191-195.</w:t>
      </w:r>
    </w:p>
    <w:p w14:paraId="730FD812" w14:textId="36837A61" w:rsidR="00893FA7" w:rsidRDefault="00893FA7" w:rsidP="00893FA7">
      <w:r>
        <w:rPr>
          <w:rFonts w:hint="eastAsia"/>
        </w:rPr>
        <w:t>[20]</w:t>
      </w:r>
      <w:r w:rsidR="00EC79D7">
        <w:t xml:space="preserve"> </w:t>
      </w:r>
      <w:r>
        <w:rPr>
          <w:rFonts w:hint="eastAsia"/>
        </w:rPr>
        <w:t>MOSTAFA TAMER S, MOHAMMED NAZMI A, EL-RABAIE EL-SAYED M. Ultra-High bit rate all-optical AND/OR logic gates based on photonic crystal with multi-wavelength simultaneous operation[J]. Journal of Modern Optics, 2019, 66</w:t>
      </w:r>
      <w:r>
        <w:rPr>
          <w:rFonts w:hint="eastAsia"/>
        </w:rPr>
        <w:t>（</w:t>
      </w:r>
      <w:r>
        <w:rPr>
          <w:rFonts w:hint="eastAsia"/>
        </w:rPr>
        <w:t>9</w:t>
      </w:r>
      <w:r>
        <w:rPr>
          <w:rFonts w:hint="eastAsia"/>
        </w:rPr>
        <w:t>）</w:t>
      </w:r>
      <w:r>
        <w:rPr>
          <w:rFonts w:hint="eastAsia"/>
        </w:rPr>
        <w:t>: 1005-1016.</w:t>
      </w:r>
    </w:p>
    <w:p w14:paraId="41E122CD" w14:textId="25CEF188" w:rsidR="00893FA7" w:rsidRDefault="00893FA7" w:rsidP="00893FA7">
      <w:r>
        <w:rPr>
          <w:rFonts w:hint="eastAsia"/>
        </w:rPr>
        <w:t>[21]</w:t>
      </w:r>
      <w:r w:rsidR="00EC79D7">
        <w:t xml:space="preserve"> </w:t>
      </w:r>
      <w:r>
        <w:rPr>
          <w:rFonts w:hint="eastAsia"/>
        </w:rPr>
        <w:t>WU C J, LIU C.P, OUYANG Z B. Compact and low-power optical logic NOT gate based on photonic crystal waveguides without optical amplifiers and nonlinear materials[J]. Appl</w:t>
      </w:r>
      <w:r w:rsidR="00C71899">
        <w:t>.</w:t>
      </w:r>
      <w:r>
        <w:rPr>
          <w:rFonts w:hint="eastAsia"/>
        </w:rPr>
        <w:t xml:space="preserve"> Opt</w:t>
      </w:r>
      <w:r w:rsidR="00C71899">
        <w:t>.</w:t>
      </w:r>
      <w:r>
        <w:rPr>
          <w:rFonts w:hint="eastAsia"/>
        </w:rPr>
        <w:t>, 2012, 51</w:t>
      </w:r>
      <w:r>
        <w:rPr>
          <w:rFonts w:hint="eastAsia"/>
        </w:rPr>
        <w:t>（</w:t>
      </w:r>
      <w:r>
        <w:rPr>
          <w:rFonts w:hint="eastAsia"/>
        </w:rPr>
        <w:t>5</w:t>
      </w:r>
      <w:r>
        <w:rPr>
          <w:rFonts w:hint="eastAsia"/>
        </w:rPr>
        <w:t>）</w:t>
      </w:r>
      <w:r>
        <w:rPr>
          <w:rFonts w:hint="eastAsia"/>
        </w:rPr>
        <w:t>: 680-685.</w:t>
      </w:r>
    </w:p>
    <w:p w14:paraId="7500DA7A" w14:textId="6635D223" w:rsidR="00893FA7" w:rsidRDefault="00893FA7" w:rsidP="00893FA7">
      <w:r>
        <w:rPr>
          <w:rFonts w:hint="eastAsia"/>
        </w:rPr>
        <w:t>[22]</w:t>
      </w:r>
      <w:r w:rsidR="00EC79D7">
        <w:t xml:space="preserve"> </w:t>
      </w:r>
      <w:r>
        <w:rPr>
          <w:rFonts w:hint="eastAsia"/>
        </w:rPr>
        <w:t>RANI P, KALRA Y, SINHA R K. Design of all optical logic gates in photonic crystal waveguides[J]. Optik: Zeitschrift fur Licht- und Elektronenoptik: = Journal for Light-and Electronoptic, 2015, 126</w:t>
      </w:r>
      <w:r>
        <w:rPr>
          <w:rFonts w:hint="eastAsia"/>
        </w:rPr>
        <w:t>（</w:t>
      </w:r>
      <w:r>
        <w:rPr>
          <w:rFonts w:hint="eastAsia"/>
        </w:rPr>
        <w:t>9-10</w:t>
      </w:r>
      <w:r>
        <w:rPr>
          <w:rFonts w:hint="eastAsia"/>
        </w:rPr>
        <w:t>）</w:t>
      </w:r>
      <w:r>
        <w:rPr>
          <w:rFonts w:hint="eastAsia"/>
        </w:rPr>
        <w:t>: 950-955.</w:t>
      </w:r>
    </w:p>
    <w:p w14:paraId="3CCA6984" w14:textId="7213AF5F" w:rsidR="00893FA7" w:rsidRPr="003A33DC" w:rsidRDefault="00893FA7" w:rsidP="00893FA7">
      <w:r>
        <w:rPr>
          <w:rFonts w:hint="eastAsia"/>
        </w:rPr>
        <w:t>[23]</w:t>
      </w:r>
      <w:r w:rsidR="00EC79D7">
        <w:t xml:space="preserve"> </w:t>
      </w:r>
      <w:r w:rsidR="00EC79D7">
        <w:rPr>
          <w:rFonts w:hint="eastAsia"/>
        </w:rPr>
        <w:t xml:space="preserve">MOHEBZADEH-BAHABADY </w:t>
      </w:r>
      <w:r>
        <w:rPr>
          <w:rFonts w:hint="eastAsia"/>
        </w:rPr>
        <w:t>A, SAEED O. Designing an ultra-compact all-optical 4-to-2 encoderand investigating its optical power consumption[J]. Appl</w:t>
      </w:r>
      <w:r w:rsidR="00C71899">
        <w:t>.</w:t>
      </w:r>
      <w:r>
        <w:rPr>
          <w:rFonts w:hint="eastAsia"/>
        </w:rPr>
        <w:t xml:space="preserve"> Opt</w:t>
      </w:r>
      <w:r w:rsidR="00C71899">
        <w:t>.</w:t>
      </w:r>
      <w:r>
        <w:rPr>
          <w:rFonts w:hint="eastAsia"/>
        </w:rPr>
        <w:t>, 2020, 59</w:t>
      </w:r>
      <w:r>
        <w:rPr>
          <w:rFonts w:hint="eastAsia"/>
        </w:rPr>
        <w:t>（</w:t>
      </w:r>
      <w:r>
        <w:rPr>
          <w:rFonts w:hint="eastAsia"/>
        </w:rPr>
        <w:t>8</w:t>
      </w:r>
      <w:r>
        <w:rPr>
          <w:rFonts w:hint="eastAsia"/>
        </w:rPr>
        <w:t>）</w:t>
      </w:r>
      <w:r>
        <w:rPr>
          <w:rFonts w:hint="eastAsia"/>
        </w:rPr>
        <w:t>: 2409-2415.</w:t>
      </w:r>
    </w:p>
    <w:p w14:paraId="289E2BD5" w14:textId="345AE86B" w:rsidR="00D80077" w:rsidRDefault="00D80077" w:rsidP="00E71A0D">
      <w:pPr>
        <w:pStyle w:val="EndNoteBibliography"/>
        <w:rPr>
          <w:sz w:val="15"/>
          <w:szCs w:val="15"/>
        </w:rPr>
      </w:pPr>
    </w:p>
    <w:p w14:paraId="4095228A" w14:textId="66A5AB77" w:rsidR="00893FA7" w:rsidRPr="00757BC9" w:rsidRDefault="00757BC9" w:rsidP="00E71A0D">
      <w:pPr>
        <w:pStyle w:val="EndNoteBibliography"/>
        <w:rPr>
          <w:sz w:val="21"/>
        </w:rPr>
      </w:pPr>
      <w:r w:rsidRPr="00757BC9">
        <w:rPr>
          <w:rFonts w:hint="eastAsia"/>
          <w:b/>
          <w:sz w:val="21"/>
        </w:rPr>
        <w:t>收稿</w:t>
      </w:r>
      <w:r w:rsidRPr="00757BC9">
        <w:rPr>
          <w:b/>
          <w:sz w:val="21"/>
        </w:rPr>
        <w:t>日期</w:t>
      </w:r>
      <w:r w:rsidRPr="00757BC9">
        <w:rPr>
          <w:sz w:val="21"/>
        </w:rPr>
        <w:t>：</w:t>
      </w:r>
      <w:r w:rsidRPr="00757BC9">
        <w:rPr>
          <w:rFonts w:hint="eastAsia"/>
          <w:sz w:val="21"/>
        </w:rPr>
        <w:t>2023</w:t>
      </w:r>
      <w:r w:rsidRPr="00757BC9">
        <w:rPr>
          <w:sz w:val="21"/>
        </w:rPr>
        <w:t>-07-08</w:t>
      </w:r>
      <w:r w:rsidRPr="00757BC9">
        <w:rPr>
          <w:rFonts w:hint="eastAsia"/>
          <w:sz w:val="21"/>
        </w:rPr>
        <w:t>。</w:t>
      </w:r>
    </w:p>
    <w:p w14:paraId="02D6CDA1" w14:textId="1AC745CA" w:rsidR="00C66954" w:rsidRDefault="00A773EE">
      <w:r>
        <w:rPr>
          <w:b/>
        </w:rPr>
        <w:t>基金项目：</w:t>
      </w:r>
      <w:r>
        <w:t>国家自然科学基金</w:t>
      </w:r>
      <w:r>
        <w:rPr>
          <w:rFonts w:hint="eastAsia"/>
        </w:rPr>
        <w:t>项目</w:t>
      </w:r>
      <w:r>
        <w:t>（</w:t>
      </w:r>
      <w:r>
        <w:t>62175116</w:t>
      </w:r>
      <w:r>
        <w:t>）</w:t>
      </w:r>
      <w:r>
        <w:rPr>
          <w:rFonts w:hint="eastAsia"/>
        </w:rPr>
        <w:t>资助。</w:t>
      </w:r>
    </w:p>
    <w:p w14:paraId="059B5296" w14:textId="0D2C0A24" w:rsidR="00C66954" w:rsidRDefault="00706F98">
      <w:r>
        <w:rPr>
          <w:noProof/>
        </w:rPr>
        <w:drawing>
          <wp:anchor distT="0" distB="0" distL="114300" distR="114300" simplePos="0" relativeHeight="251659264" behindDoc="1" locked="0" layoutInCell="1" allowOverlap="1" wp14:anchorId="13B0B86D" wp14:editId="0B7A3DAB">
            <wp:simplePos x="0" y="0"/>
            <wp:positionH relativeFrom="column">
              <wp:posOffset>4629150</wp:posOffset>
            </wp:positionH>
            <wp:positionV relativeFrom="paragraph">
              <wp:posOffset>26670</wp:posOffset>
            </wp:positionV>
            <wp:extent cx="723900" cy="1086485"/>
            <wp:effectExtent l="0" t="0" r="0" b="0"/>
            <wp:wrapTight wrapText="bothSides">
              <wp:wrapPolygon edited="0">
                <wp:start x="0" y="0"/>
                <wp:lineTo x="0" y="21209"/>
                <wp:lineTo x="21032" y="21209"/>
                <wp:lineTo x="21032" y="0"/>
                <wp:lineTo x="0" y="0"/>
              </wp:wrapPolygon>
            </wp:wrapTight>
            <wp:docPr id="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孟旭照片.jpg"/>
                    <pic:cNvPicPr/>
                  </pic:nvPicPr>
                  <pic:blipFill>
                    <a:blip r:embed="rId46">
                      <a:extLst>
                        <a:ext uri="{28A0092B-C50C-407E-A947-70E740481C1C}">
                          <a14:useLocalDpi xmlns:a14="http://schemas.microsoft.com/office/drawing/2010/main" val="0"/>
                        </a:ext>
                      </a:extLst>
                    </a:blip>
                    <a:stretch>
                      <a:fillRect/>
                    </a:stretch>
                  </pic:blipFill>
                  <pic:spPr>
                    <a:xfrm>
                      <a:off x="0" y="0"/>
                      <a:ext cx="723900" cy="1086485"/>
                    </a:xfrm>
                    <a:prstGeom prst="rect">
                      <a:avLst/>
                    </a:prstGeom>
                  </pic:spPr>
                </pic:pic>
              </a:graphicData>
            </a:graphic>
            <wp14:sizeRelH relativeFrom="page">
              <wp14:pctWidth>0</wp14:pctWidth>
            </wp14:sizeRelH>
            <wp14:sizeRelV relativeFrom="page">
              <wp14:pctHeight>0</wp14:pctHeight>
            </wp14:sizeRelV>
          </wp:anchor>
        </w:drawing>
      </w:r>
      <w:r w:rsidR="00A773EE">
        <w:rPr>
          <w:b/>
        </w:rPr>
        <w:t>作者简介：</w:t>
      </w:r>
      <w:r w:rsidR="00A773EE">
        <w:rPr>
          <w:rFonts w:hint="eastAsia"/>
        </w:rPr>
        <w:t>孟旭</w:t>
      </w:r>
      <w:r w:rsidR="00A773EE">
        <w:t>（</w:t>
      </w:r>
      <w:r w:rsidR="00A773EE">
        <w:t>1999—</w:t>
      </w:r>
      <w:r w:rsidR="00A773EE">
        <w:t>），</w:t>
      </w:r>
      <w:r w:rsidR="00A773EE">
        <w:rPr>
          <w:rFonts w:hint="eastAsia"/>
        </w:rPr>
        <w:t>男</w:t>
      </w:r>
      <w:r w:rsidR="00A773EE">
        <w:t>，</w:t>
      </w:r>
      <w:r w:rsidR="00825525">
        <w:rPr>
          <w:rFonts w:hint="eastAsia"/>
        </w:rPr>
        <w:t>江苏盐城人，</w:t>
      </w:r>
      <w:r w:rsidR="00A773EE">
        <w:t>硕士</w:t>
      </w:r>
      <w:r w:rsidR="00A773EE">
        <w:rPr>
          <w:rFonts w:hint="eastAsia"/>
        </w:rPr>
        <w:t>研究</w:t>
      </w:r>
      <w:r w:rsidR="00A773EE">
        <w:t>生，现就读于</w:t>
      </w:r>
      <w:r w:rsidR="00A773EE">
        <w:rPr>
          <w:rFonts w:hint="eastAsia"/>
        </w:rPr>
        <w:t>南京邮电大学电子与光学工程学院、柔性电子（未来技术）学院电子信息</w:t>
      </w:r>
      <w:r w:rsidR="00A773EE">
        <w:t>专业</w:t>
      </w:r>
      <w:r w:rsidR="00A773EE">
        <w:rPr>
          <w:rFonts w:hint="eastAsia"/>
        </w:rPr>
        <w:t>，</w:t>
      </w:r>
      <w:r w:rsidR="00A773EE">
        <w:t>主要从事</w:t>
      </w:r>
      <w:r w:rsidR="006436B7">
        <w:rPr>
          <w:rFonts w:hint="eastAsia"/>
        </w:rPr>
        <w:t>太赫兹波段的</w:t>
      </w:r>
      <w:r w:rsidR="00A773EE">
        <w:rPr>
          <w:rFonts w:hint="eastAsia"/>
        </w:rPr>
        <w:t>二维光子晶体逻辑器件的设计与研究工作，在校期间</w:t>
      </w:r>
      <w:r w:rsidR="00825525">
        <w:rPr>
          <w:rFonts w:hint="eastAsia"/>
        </w:rPr>
        <w:t>已</w:t>
      </w:r>
      <w:r w:rsidR="00A773EE">
        <w:rPr>
          <w:rFonts w:hint="eastAsia"/>
        </w:rPr>
        <w:t>连续</w:t>
      </w:r>
      <w:r w:rsidR="004630DB">
        <w:rPr>
          <w:rFonts w:hint="eastAsia"/>
        </w:rPr>
        <w:t>2</w:t>
      </w:r>
      <w:r w:rsidR="00A773EE">
        <w:rPr>
          <w:rFonts w:hint="eastAsia"/>
        </w:rPr>
        <w:t>年获得一等学业奖学金</w:t>
      </w:r>
      <w:r w:rsidR="00543F69">
        <w:rPr>
          <w:rFonts w:hint="eastAsia"/>
        </w:rPr>
        <w:t>和一次优秀研究生奖项。</w:t>
      </w:r>
    </w:p>
    <w:p w14:paraId="72807299" w14:textId="03F1D309" w:rsidR="00C66954" w:rsidRDefault="00A773EE">
      <w:pPr>
        <w:rPr>
          <w:rFonts w:ascii="宋体" w:hAnsi="宋体"/>
        </w:rPr>
      </w:pPr>
      <w:r w:rsidRPr="00FF5A46">
        <w:rPr>
          <w:rFonts w:hint="eastAsia"/>
        </w:rPr>
        <w:t>*</w:t>
      </w:r>
      <w:r w:rsidRPr="00FF5A46">
        <w:rPr>
          <w:rFonts w:hint="eastAsia"/>
          <w:b/>
        </w:rPr>
        <w:t>通信</w:t>
      </w:r>
      <w:r w:rsidRPr="00FF5A46">
        <w:rPr>
          <w:b/>
        </w:rPr>
        <w:t>作者</w:t>
      </w:r>
      <w:r w:rsidRPr="00FF5A46">
        <w:t>：</w:t>
      </w:r>
      <w:r w:rsidRPr="00FF5A46">
        <w:rPr>
          <w:rFonts w:hint="eastAsia"/>
        </w:rPr>
        <w:t>李培丽（</w:t>
      </w:r>
      <w:r w:rsidRPr="00FF5A46">
        <w:rPr>
          <w:rFonts w:hint="eastAsia"/>
        </w:rPr>
        <w:t>197</w:t>
      </w:r>
      <w:r w:rsidRPr="00FF5A46">
        <w:t>2—</w:t>
      </w:r>
      <w:r w:rsidRPr="00FF5A46">
        <w:t>），</w:t>
      </w:r>
      <w:r w:rsidRPr="00FF5A46">
        <w:rPr>
          <w:rFonts w:hint="eastAsia"/>
        </w:rPr>
        <w:t>女</w:t>
      </w:r>
      <w:r w:rsidRPr="00FF5A46">
        <w:t>，博士，教授</w:t>
      </w:r>
      <w:r w:rsidRPr="00FF5A46">
        <w:rPr>
          <w:rFonts w:ascii="宋体" w:hAnsi="宋体"/>
        </w:rPr>
        <w:t>，</w:t>
      </w:r>
      <w:r w:rsidRPr="00FF5A46">
        <w:rPr>
          <w:rFonts w:ascii="宋体" w:hAnsi="宋体" w:hint="eastAsia"/>
        </w:rPr>
        <w:t>主要研究</w:t>
      </w:r>
      <w:r w:rsidRPr="00FF5A46">
        <w:rPr>
          <w:rFonts w:ascii="宋体" w:hAnsi="宋体"/>
        </w:rPr>
        <w:t>方向为全光信号处理与光通信器件、微波光子学。</w:t>
      </w:r>
    </w:p>
    <w:p w14:paraId="6F39A5E2" w14:textId="119DAFFD" w:rsidR="00757BC9" w:rsidRDefault="00757BC9">
      <w:pPr>
        <w:rPr>
          <w:rFonts w:ascii="宋体" w:hAnsi="宋体"/>
        </w:rPr>
      </w:pPr>
    </w:p>
    <w:p w14:paraId="69752B24" w14:textId="4F04E0B0" w:rsidR="00757BC9" w:rsidRDefault="00757BC9">
      <w:pPr>
        <w:rPr>
          <w:rFonts w:ascii="宋体" w:hAnsi="宋体"/>
        </w:rPr>
      </w:pPr>
    </w:p>
    <w:p w14:paraId="092CAD43" w14:textId="11FF9758" w:rsidR="00757BC9" w:rsidRDefault="00757BC9">
      <w:pPr>
        <w:rPr>
          <w:rFonts w:ascii="宋体" w:hAnsi="宋体"/>
        </w:rPr>
      </w:pPr>
      <w:bookmarkStart w:id="0" w:name="_GoBack"/>
      <w:bookmarkEnd w:id="0"/>
    </w:p>
    <w:sectPr w:rsidR="00757BC9">
      <w:pgSz w:w="11906" w:h="16838"/>
      <w:pgMar w:top="1440" w:right="1800" w:bottom="1440" w:left="1800" w:header="851" w:footer="680" w:gutter="0"/>
      <w:cols w:space="425"/>
      <w:titlePg/>
      <w:docGrid w:type="lines" w:linePitch="312"/>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B45C2E" w16cex:dateUtc="2023-09-19T09:43:00Z"/>
  <w16cex:commentExtensible w16cex:durableId="28B44918" w16cex:dateUtc="2023-09-19T08:21:00Z"/>
  <w16cex:commentExtensible w16cex:durableId="28B44FD8" w16cex:dateUtc="2023-09-19T08:50:00Z"/>
  <w16cex:commentExtensible w16cex:durableId="28B45CE1" w16cex:dateUtc="2023-09-19T09:46:00Z"/>
  <w16cex:commentExtensible w16cex:durableId="28B443B5" w16cex:dateUtc="2023-09-19T07:58: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3AE980DD" w16cid:durableId="28B4377D"/>
  <w16cid:commentId w16cid:paraId="39DDE91C" w16cid:durableId="28B45C2E"/>
  <w16cid:commentId w16cid:paraId="03A7CBEA" w16cid:durableId="28B4377E"/>
  <w16cid:commentId w16cid:paraId="68F1B537" w16cid:durableId="28B44918"/>
  <w16cid:commentId w16cid:paraId="6C27E567" w16cid:durableId="28B4377F"/>
  <w16cid:commentId w16cid:paraId="727D795B" w16cid:durableId="28B44FD8"/>
  <w16cid:commentId w16cid:paraId="6312F2AF" w16cid:durableId="28B43780"/>
  <w16cid:commentId w16cid:paraId="4A341362" w16cid:durableId="28B45CE1"/>
  <w16cid:commentId w16cid:paraId="556881A8" w16cid:durableId="28B43781"/>
  <w16cid:commentId w16cid:paraId="2805FAA2" w16cid:durableId="28B443B5"/>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8B97BBA" w14:textId="77777777" w:rsidR="00D859D3" w:rsidRDefault="00D859D3">
      <w:r>
        <w:separator/>
      </w:r>
    </w:p>
  </w:endnote>
  <w:endnote w:type="continuationSeparator" w:id="0">
    <w:p w14:paraId="218C644E" w14:textId="77777777" w:rsidR="00D859D3" w:rsidRDefault="00D859D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AEF" w:usb1="C0007841"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方正书宋简体">
    <w:altName w:val="宋体"/>
    <w:panose1 w:val="03000509000000000000"/>
    <w:charset w:val="00"/>
    <w:family w:val="auto"/>
    <w:pitch w:val="default"/>
  </w:font>
  <w:font w:name="Microsoft YaHei UI">
    <w:panose1 w:val="020B0503020204020204"/>
    <w:charset w:val="86"/>
    <w:family w:val="swiss"/>
    <w:pitch w:val="variable"/>
    <w:sig w:usb0="80000287" w:usb1="28CF3C52" w:usb2="00000016" w:usb3="00000000" w:csb0="0004001F" w:csb1="00000000"/>
  </w:font>
  <w:font w:name="方正楷体简体">
    <w:altName w:val="宋体"/>
    <w:panose1 w:val="03000509000000000000"/>
    <w:charset w:val="86"/>
    <w:family w:val="auto"/>
    <w:pitch w:val="default"/>
    <w:sig w:usb0="00000000" w:usb1="00000000" w:usb2="00000010" w:usb3="00000000" w:csb0="00040000" w:csb1="00000000"/>
  </w:font>
  <w:font w:name="Calibri">
    <w:panose1 w:val="020F0502020204030204"/>
    <w:charset w:val="00"/>
    <w:family w:val="swiss"/>
    <w:pitch w:val="variable"/>
    <w:sig w:usb0="E10002FF" w:usb1="4000ACFF" w:usb2="00000009" w:usb3="00000000" w:csb0="0000019F" w:csb1="00000000"/>
  </w:font>
  <w:font w:name="黑体">
    <w:altName w:val="SimHei"/>
    <w:panose1 w:val="02010609060101010101"/>
    <w:charset w:val="86"/>
    <w:family w:val="modern"/>
    <w:pitch w:val="fixed"/>
    <w:sig w:usb0="800002BF" w:usb1="38CF7CFA"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楷体">
    <w:panose1 w:val="02010609060101010101"/>
    <w:charset w:val="86"/>
    <w:family w:val="modern"/>
    <w:pitch w:val="fixed"/>
    <w:sig w:usb0="800002BF" w:usb1="38CF7CFA" w:usb2="00000016" w:usb3="00000000" w:csb0="00040001" w:csb1="00000000"/>
  </w:font>
  <w:font w:name="等线">
    <w:altName w:val="DengXian"/>
    <w:panose1 w:val="02010600030101010101"/>
    <w:charset w:val="86"/>
    <w:family w:val="auto"/>
    <w:pitch w:val="variable"/>
    <w:sig w:usb0="A00002BF" w:usb1="38CF7CFA" w:usb2="00000016" w:usb3="00000000" w:csb0="0004000F" w:csb1="00000000"/>
  </w:font>
  <w:font w:name="Segoe UI">
    <w:panose1 w:val="020B0502040204020203"/>
    <w:charset w:val="00"/>
    <w:family w:val="swiss"/>
    <w:pitch w:val="variable"/>
    <w:sig w:usb0="E10022FF" w:usb1="C000E47F" w:usb2="00000029" w:usb3="00000000" w:csb0="000001DF" w:csb1="00000000"/>
  </w:font>
  <w:font w:name="Arial">
    <w:panose1 w:val="020B0604020202020204"/>
    <w:charset w:val="00"/>
    <w:family w:val="swiss"/>
    <w:pitch w:val="variable"/>
    <w:sig w:usb0="E0002AFF" w:usb1="C0007843" w:usb2="00000009" w:usb3="00000000" w:csb0="000001FF" w:csb1="00000000"/>
  </w:font>
  <w:font w:name="E-BZ">
    <w:altName w:val="Times New Roman"/>
    <w:charset w:val="00"/>
    <w:family w:val="auto"/>
    <w:pitch w:val="default"/>
    <w:sig w:usb0="00000000" w:usb1="00000000" w:usb2="00000000" w:usb3="00000000" w:csb0="00040001" w:csb1="00000000"/>
  </w:font>
  <w:font w:name="TeXGyreTermesX-Regular">
    <w:altName w:val="微软雅黑"/>
    <w:panose1 w:val="00000000000000000000"/>
    <w:charset w:val="86"/>
    <w:family w:val="auto"/>
    <w:notTrueType/>
    <w:pitch w:val="default"/>
    <w:sig w:usb0="00000001" w:usb1="080E0000" w:usb2="00000010" w:usb3="00000000" w:csb0="00040000" w:csb1="00000000"/>
  </w:font>
  <w:font w:name="等线 Light">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455CB19" w14:textId="77777777" w:rsidR="00D859D3" w:rsidRDefault="00D859D3">
      <w:r>
        <w:separator/>
      </w:r>
    </w:p>
  </w:footnote>
  <w:footnote w:type="continuationSeparator" w:id="0">
    <w:p w14:paraId="4A7B84F9" w14:textId="77777777" w:rsidR="00D859D3" w:rsidRDefault="00D859D3">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50"/>
  <w:bordersDoNotSurroundHeader/>
  <w:bordersDoNotSurroundFooter/>
  <w:defaultTabStop w:val="420"/>
  <w:drawingGridHorizontalSpacing w:val="105"/>
  <w:drawingGridVerticalSpacing w:val="156"/>
  <w:displayHorizontalDrawingGridEvery w:val="0"/>
  <w:displayVerticalDrawingGridEvery w:val="2"/>
  <w:characterSpacingControl w:val="doNotCompress"/>
  <w:hdrShapeDefaults>
    <o:shapedefaults v:ext="edit" spidmax="2049"/>
  </w:hdrShapeDefaults>
  <w:footnotePr>
    <w:footnote w:id="-1"/>
    <w:footnote w:id="0"/>
  </w:footnotePr>
  <w:endnotePr>
    <w:endnote w:id="-1"/>
    <w:endnote w:id="0"/>
  </w:endnotePr>
  <w:compat>
    <w:balanceSingleByteDoubleByteWidth/>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ZDQ1Y2UwZTdkNTliNjQzOTM5NjlmMzAyZmNlZGVhYWMifQ=="/>
    <w:docVar w:name="EN.InstantFormat" w:val="&lt;ENInstantFormat&gt;&lt;Enabled&gt;1&lt;/Enabled&gt;&lt;ScanUnformatted&gt;1&lt;/ScanUnformatted&gt;&lt;ScanChanges&gt;1&lt;/ScanChanges&gt;&lt;Suspended&gt;1&lt;/Suspended&gt;&lt;/ENInstantFormat&gt;"/>
    <w:docVar w:name="EN.Layout" w:val="&lt;ENLayout&gt;&lt;Style&gt;geebinf modified by zz 复制&lt;/Style&gt;&lt;LeftDelim&gt;{&lt;/LeftDelim&gt;&lt;RightDelim&gt;}&lt;/RightDelim&gt;&lt;FontName&gt;Times New Roman&lt;/FontName&gt;&lt;FontSize&gt;8&lt;/FontSize&gt;&lt;ReflistTitle&gt;&lt;/ReflistTitle&gt;&lt;StartingRefnum&gt;1&lt;/StartingRefnum&gt;&lt;FirstLineIndent&gt;0&lt;/FirstLineIndent&gt;&lt;HangingIndent&gt;419&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0ssv2xspr9xve1eaddtpfp9fdx9wp2dxp09t&quot;&gt;files&lt;record-ids&gt;&lt;item&gt;1&lt;/item&gt;&lt;item&gt;2&lt;/item&gt;&lt;item&gt;5&lt;/item&gt;&lt;item&gt;6&lt;/item&gt;&lt;item&gt;8&lt;/item&gt;&lt;item&gt;10&lt;/item&gt;&lt;item&gt;11&lt;/item&gt;&lt;item&gt;14&lt;/item&gt;&lt;item&gt;15&lt;/item&gt;&lt;item&gt;16&lt;/item&gt;&lt;item&gt;17&lt;/item&gt;&lt;item&gt;18&lt;/item&gt;&lt;item&gt;19&lt;/item&gt;&lt;item&gt;21&lt;/item&gt;&lt;item&gt;22&lt;/item&gt;&lt;item&gt;24&lt;/item&gt;&lt;item&gt;25&lt;/item&gt;&lt;item&gt;26&lt;/item&gt;&lt;item&gt;27&lt;/item&gt;&lt;item&gt;28&lt;/item&gt;&lt;item&gt;29&lt;/item&gt;&lt;item&gt;82&lt;/item&gt;&lt;item&gt;83&lt;/item&gt;&lt;/record-ids&gt;&lt;/item&gt;&lt;/Libraries&gt;"/>
  </w:docVars>
  <w:rsids>
    <w:rsidRoot w:val="0047228F"/>
    <w:rsid w:val="00000378"/>
    <w:rsid w:val="000004FD"/>
    <w:rsid w:val="00002E9B"/>
    <w:rsid w:val="00003F23"/>
    <w:rsid w:val="000043A6"/>
    <w:rsid w:val="00005838"/>
    <w:rsid w:val="00011C4B"/>
    <w:rsid w:val="000149CC"/>
    <w:rsid w:val="000153A9"/>
    <w:rsid w:val="00016ACA"/>
    <w:rsid w:val="00016AEC"/>
    <w:rsid w:val="000174DE"/>
    <w:rsid w:val="00017E7E"/>
    <w:rsid w:val="00020525"/>
    <w:rsid w:val="0002154C"/>
    <w:rsid w:val="000251F4"/>
    <w:rsid w:val="0003034D"/>
    <w:rsid w:val="00030597"/>
    <w:rsid w:val="00031774"/>
    <w:rsid w:val="000318B2"/>
    <w:rsid w:val="00031D05"/>
    <w:rsid w:val="00033DF6"/>
    <w:rsid w:val="00034945"/>
    <w:rsid w:val="00037666"/>
    <w:rsid w:val="000426C8"/>
    <w:rsid w:val="0004297A"/>
    <w:rsid w:val="00043465"/>
    <w:rsid w:val="00043609"/>
    <w:rsid w:val="0004397C"/>
    <w:rsid w:val="00044D2B"/>
    <w:rsid w:val="00045617"/>
    <w:rsid w:val="000459B7"/>
    <w:rsid w:val="000473D8"/>
    <w:rsid w:val="00050F33"/>
    <w:rsid w:val="00052A5A"/>
    <w:rsid w:val="000531B7"/>
    <w:rsid w:val="00053EEB"/>
    <w:rsid w:val="00054075"/>
    <w:rsid w:val="00054384"/>
    <w:rsid w:val="00054860"/>
    <w:rsid w:val="00055879"/>
    <w:rsid w:val="00055D5D"/>
    <w:rsid w:val="00060784"/>
    <w:rsid w:val="00060EEE"/>
    <w:rsid w:val="000611F6"/>
    <w:rsid w:val="0006164C"/>
    <w:rsid w:val="0006567C"/>
    <w:rsid w:val="00067B0E"/>
    <w:rsid w:val="0007022C"/>
    <w:rsid w:val="00070BAB"/>
    <w:rsid w:val="00071F86"/>
    <w:rsid w:val="00073069"/>
    <w:rsid w:val="0007458B"/>
    <w:rsid w:val="00075513"/>
    <w:rsid w:val="00076032"/>
    <w:rsid w:val="00076DE2"/>
    <w:rsid w:val="0007756F"/>
    <w:rsid w:val="000801F1"/>
    <w:rsid w:val="00082902"/>
    <w:rsid w:val="00082DA7"/>
    <w:rsid w:val="00084C52"/>
    <w:rsid w:val="00085464"/>
    <w:rsid w:val="000854FE"/>
    <w:rsid w:val="00085861"/>
    <w:rsid w:val="00085BB2"/>
    <w:rsid w:val="000867C5"/>
    <w:rsid w:val="0008707C"/>
    <w:rsid w:val="00087D29"/>
    <w:rsid w:val="000904F5"/>
    <w:rsid w:val="00092CEB"/>
    <w:rsid w:val="00093500"/>
    <w:rsid w:val="0009480C"/>
    <w:rsid w:val="00095CC1"/>
    <w:rsid w:val="00096496"/>
    <w:rsid w:val="00096EFC"/>
    <w:rsid w:val="000971BE"/>
    <w:rsid w:val="00097625"/>
    <w:rsid w:val="000977B8"/>
    <w:rsid w:val="000978ED"/>
    <w:rsid w:val="00097A70"/>
    <w:rsid w:val="00097AD7"/>
    <w:rsid w:val="000A2473"/>
    <w:rsid w:val="000A25B4"/>
    <w:rsid w:val="000A5D89"/>
    <w:rsid w:val="000A706C"/>
    <w:rsid w:val="000A7314"/>
    <w:rsid w:val="000A740C"/>
    <w:rsid w:val="000A770D"/>
    <w:rsid w:val="000B300C"/>
    <w:rsid w:val="000B58D6"/>
    <w:rsid w:val="000B5F3C"/>
    <w:rsid w:val="000B7D1B"/>
    <w:rsid w:val="000C1204"/>
    <w:rsid w:val="000C1FB9"/>
    <w:rsid w:val="000C2C52"/>
    <w:rsid w:val="000C3248"/>
    <w:rsid w:val="000C33BC"/>
    <w:rsid w:val="000C5B4A"/>
    <w:rsid w:val="000C7DF8"/>
    <w:rsid w:val="000D114E"/>
    <w:rsid w:val="000D158F"/>
    <w:rsid w:val="000D1CBF"/>
    <w:rsid w:val="000D211B"/>
    <w:rsid w:val="000D3F48"/>
    <w:rsid w:val="000D5AF7"/>
    <w:rsid w:val="000D6F21"/>
    <w:rsid w:val="000E016F"/>
    <w:rsid w:val="000E11EF"/>
    <w:rsid w:val="000E129D"/>
    <w:rsid w:val="000E170D"/>
    <w:rsid w:val="000E3914"/>
    <w:rsid w:val="000E4B20"/>
    <w:rsid w:val="000E4FBD"/>
    <w:rsid w:val="000E56F2"/>
    <w:rsid w:val="000E58E9"/>
    <w:rsid w:val="000E6851"/>
    <w:rsid w:val="000E7A03"/>
    <w:rsid w:val="000F099E"/>
    <w:rsid w:val="000F141F"/>
    <w:rsid w:val="000F1952"/>
    <w:rsid w:val="000F19FD"/>
    <w:rsid w:val="000F1B94"/>
    <w:rsid w:val="000F2014"/>
    <w:rsid w:val="000F4520"/>
    <w:rsid w:val="000F609A"/>
    <w:rsid w:val="000F6C1C"/>
    <w:rsid w:val="000F717E"/>
    <w:rsid w:val="00100230"/>
    <w:rsid w:val="00100E74"/>
    <w:rsid w:val="001011E4"/>
    <w:rsid w:val="00101FF1"/>
    <w:rsid w:val="00103971"/>
    <w:rsid w:val="00104DDA"/>
    <w:rsid w:val="00105C7D"/>
    <w:rsid w:val="00106E43"/>
    <w:rsid w:val="00107ABA"/>
    <w:rsid w:val="001107AD"/>
    <w:rsid w:val="00115EBE"/>
    <w:rsid w:val="00116D15"/>
    <w:rsid w:val="001207FE"/>
    <w:rsid w:val="00120E3A"/>
    <w:rsid w:val="00120E4D"/>
    <w:rsid w:val="00121517"/>
    <w:rsid w:val="00121C86"/>
    <w:rsid w:val="00122AD7"/>
    <w:rsid w:val="00124361"/>
    <w:rsid w:val="0012446E"/>
    <w:rsid w:val="00126584"/>
    <w:rsid w:val="00126E9F"/>
    <w:rsid w:val="0013166D"/>
    <w:rsid w:val="0013538F"/>
    <w:rsid w:val="00135399"/>
    <w:rsid w:val="0013567C"/>
    <w:rsid w:val="00135738"/>
    <w:rsid w:val="00135F14"/>
    <w:rsid w:val="00136022"/>
    <w:rsid w:val="00136303"/>
    <w:rsid w:val="00136B42"/>
    <w:rsid w:val="00137363"/>
    <w:rsid w:val="00141FFF"/>
    <w:rsid w:val="00143474"/>
    <w:rsid w:val="001449A6"/>
    <w:rsid w:val="00145C69"/>
    <w:rsid w:val="00145ED3"/>
    <w:rsid w:val="0014604C"/>
    <w:rsid w:val="00146CC1"/>
    <w:rsid w:val="00150970"/>
    <w:rsid w:val="001512B1"/>
    <w:rsid w:val="00151B05"/>
    <w:rsid w:val="00154407"/>
    <w:rsid w:val="00155503"/>
    <w:rsid w:val="001555BD"/>
    <w:rsid w:val="00160B04"/>
    <w:rsid w:val="00163FAB"/>
    <w:rsid w:val="00165E43"/>
    <w:rsid w:val="00166A46"/>
    <w:rsid w:val="001712D6"/>
    <w:rsid w:val="0017519E"/>
    <w:rsid w:val="00176A24"/>
    <w:rsid w:val="001772D4"/>
    <w:rsid w:val="00180149"/>
    <w:rsid w:val="00180C50"/>
    <w:rsid w:val="00181520"/>
    <w:rsid w:val="00182391"/>
    <w:rsid w:val="00183F4F"/>
    <w:rsid w:val="00185DCA"/>
    <w:rsid w:val="001871BE"/>
    <w:rsid w:val="001876A0"/>
    <w:rsid w:val="001902B7"/>
    <w:rsid w:val="00190D34"/>
    <w:rsid w:val="001910A7"/>
    <w:rsid w:val="00192285"/>
    <w:rsid w:val="00194490"/>
    <w:rsid w:val="00195949"/>
    <w:rsid w:val="0019604B"/>
    <w:rsid w:val="0019614C"/>
    <w:rsid w:val="0019692B"/>
    <w:rsid w:val="00196F93"/>
    <w:rsid w:val="00197057"/>
    <w:rsid w:val="001A06A3"/>
    <w:rsid w:val="001A1C9F"/>
    <w:rsid w:val="001A1EA8"/>
    <w:rsid w:val="001A205E"/>
    <w:rsid w:val="001A2D1D"/>
    <w:rsid w:val="001A2DFA"/>
    <w:rsid w:val="001A3098"/>
    <w:rsid w:val="001A5C9D"/>
    <w:rsid w:val="001A6267"/>
    <w:rsid w:val="001A67BF"/>
    <w:rsid w:val="001A69D6"/>
    <w:rsid w:val="001B1B9C"/>
    <w:rsid w:val="001B3D5F"/>
    <w:rsid w:val="001B437E"/>
    <w:rsid w:val="001B4F30"/>
    <w:rsid w:val="001B6335"/>
    <w:rsid w:val="001B6404"/>
    <w:rsid w:val="001B659B"/>
    <w:rsid w:val="001C05AA"/>
    <w:rsid w:val="001C05BA"/>
    <w:rsid w:val="001C2982"/>
    <w:rsid w:val="001C398B"/>
    <w:rsid w:val="001C3D9A"/>
    <w:rsid w:val="001C4005"/>
    <w:rsid w:val="001C4926"/>
    <w:rsid w:val="001C4ECC"/>
    <w:rsid w:val="001D1C07"/>
    <w:rsid w:val="001D4308"/>
    <w:rsid w:val="001D6382"/>
    <w:rsid w:val="001D6EBE"/>
    <w:rsid w:val="001E14CF"/>
    <w:rsid w:val="001E1E99"/>
    <w:rsid w:val="001E218F"/>
    <w:rsid w:val="001E44FA"/>
    <w:rsid w:val="001E4BAD"/>
    <w:rsid w:val="001E5BC6"/>
    <w:rsid w:val="001E643B"/>
    <w:rsid w:val="001E7DCA"/>
    <w:rsid w:val="001F05AA"/>
    <w:rsid w:val="001F2972"/>
    <w:rsid w:val="001F2C39"/>
    <w:rsid w:val="001F555C"/>
    <w:rsid w:val="001F7758"/>
    <w:rsid w:val="001F7FF3"/>
    <w:rsid w:val="002008A3"/>
    <w:rsid w:val="00202ACA"/>
    <w:rsid w:val="002039C2"/>
    <w:rsid w:val="00203BC2"/>
    <w:rsid w:val="0020441F"/>
    <w:rsid w:val="00204BF3"/>
    <w:rsid w:val="00206936"/>
    <w:rsid w:val="0020780B"/>
    <w:rsid w:val="00207CC0"/>
    <w:rsid w:val="00207D34"/>
    <w:rsid w:val="00210549"/>
    <w:rsid w:val="00210658"/>
    <w:rsid w:val="00212231"/>
    <w:rsid w:val="00212EF9"/>
    <w:rsid w:val="00214860"/>
    <w:rsid w:val="00214C55"/>
    <w:rsid w:val="0021586C"/>
    <w:rsid w:val="002161F4"/>
    <w:rsid w:val="00216320"/>
    <w:rsid w:val="00216788"/>
    <w:rsid w:val="00216AAF"/>
    <w:rsid w:val="00217505"/>
    <w:rsid w:val="00217667"/>
    <w:rsid w:val="00217C9F"/>
    <w:rsid w:val="0022004B"/>
    <w:rsid w:val="00221C65"/>
    <w:rsid w:val="00222CF9"/>
    <w:rsid w:val="00223063"/>
    <w:rsid w:val="00225765"/>
    <w:rsid w:val="00225D9E"/>
    <w:rsid w:val="00225EF4"/>
    <w:rsid w:val="002262E3"/>
    <w:rsid w:val="00230177"/>
    <w:rsid w:val="002317B5"/>
    <w:rsid w:val="00234B72"/>
    <w:rsid w:val="002350AF"/>
    <w:rsid w:val="00235147"/>
    <w:rsid w:val="00235AD6"/>
    <w:rsid w:val="0023688D"/>
    <w:rsid w:val="0024055B"/>
    <w:rsid w:val="002405E8"/>
    <w:rsid w:val="0024144B"/>
    <w:rsid w:val="00243694"/>
    <w:rsid w:val="00244038"/>
    <w:rsid w:val="002455C4"/>
    <w:rsid w:val="00247A78"/>
    <w:rsid w:val="002506BA"/>
    <w:rsid w:val="002517F8"/>
    <w:rsid w:val="00252227"/>
    <w:rsid w:val="0025644B"/>
    <w:rsid w:val="0025705D"/>
    <w:rsid w:val="002570B2"/>
    <w:rsid w:val="00257294"/>
    <w:rsid w:val="00260C54"/>
    <w:rsid w:val="00263361"/>
    <w:rsid w:val="00264102"/>
    <w:rsid w:val="00264297"/>
    <w:rsid w:val="00264383"/>
    <w:rsid w:val="002645BB"/>
    <w:rsid w:val="00264F82"/>
    <w:rsid w:val="0026581E"/>
    <w:rsid w:val="00265C85"/>
    <w:rsid w:val="00266811"/>
    <w:rsid w:val="00266859"/>
    <w:rsid w:val="002675FD"/>
    <w:rsid w:val="002709CD"/>
    <w:rsid w:val="002709DC"/>
    <w:rsid w:val="00271A9D"/>
    <w:rsid w:val="002736F4"/>
    <w:rsid w:val="00274E62"/>
    <w:rsid w:val="002766AE"/>
    <w:rsid w:val="0027748D"/>
    <w:rsid w:val="002801BF"/>
    <w:rsid w:val="00283333"/>
    <w:rsid w:val="00283519"/>
    <w:rsid w:val="0028367A"/>
    <w:rsid w:val="00283A6C"/>
    <w:rsid w:val="00285199"/>
    <w:rsid w:val="00292D05"/>
    <w:rsid w:val="00293777"/>
    <w:rsid w:val="00294B48"/>
    <w:rsid w:val="00294FBD"/>
    <w:rsid w:val="00295287"/>
    <w:rsid w:val="00295B94"/>
    <w:rsid w:val="002968D9"/>
    <w:rsid w:val="0029691A"/>
    <w:rsid w:val="002A3F00"/>
    <w:rsid w:val="002A3FA2"/>
    <w:rsid w:val="002A6E0F"/>
    <w:rsid w:val="002A7FA6"/>
    <w:rsid w:val="002B1216"/>
    <w:rsid w:val="002B17B2"/>
    <w:rsid w:val="002B1FD1"/>
    <w:rsid w:val="002B2A4B"/>
    <w:rsid w:val="002C09A8"/>
    <w:rsid w:val="002C0F9C"/>
    <w:rsid w:val="002C264D"/>
    <w:rsid w:val="002C2A35"/>
    <w:rsid w:val="002C4180"/>
    <w:rsid w:val="002C4D5B"/>
    <w:rsid w:val="002D0263"/>
    <w:rsid w:val="002D0487"/>
    <w:rsid w:val="002D04C6"/>
    <w:rsid w:val="002D0B8B"/>
    <w:rsid w:val="002D0F39"/>
    <w:rsid w:val="002D42AA"/>
    <w:rsid w:val="002D73F9"/>
    <w:rsid w:val="002E0BCC"/>
    <w:rsid w:val="002E0EEF"/>
    <w:rsid w:val="002E2269"/>
    <w:rsid w:val="002E25F7"/>
    <w:rsid w:val="002E26B0"/>
    <w:rsid w:val="002E278F"/>
    <w:rsid w:val="002E2E75"/>
    <w:rsid w:val="002E41C1"/>
    <w:rsid w:val="002E4271"/>
    <w:rsid w:val="002E676A"/>
    <w:rsid w:val="002E6779"/>
    <w:rsid w:val="002E720E"/>
    <w:rsid w:val="002F0998"/>
    <w:rsid w:val="002F2604"/>
    <w:rsid w:val="002F2EEE"/>
    <w:rsid w:val="002F442F"/>
    <w:rsid w:val="002F463B"/>
    <w:rsid w:val="002F6048"/>
    <w:rsid w:val="002F64B6"/>
    <w:rsid w:val="002F701A"/>
    <w:rsid w:val="002F769C"/>
    <w:rsid w:val="00300D7A"/>
    <w:rsid w:val="003019CC"/>
    <w:rsid w:val="00302A97"/>
    <w:rsid w:val="00303235"/>
    <w:rsid w:val="003056A6"/>
    <w:rsid w:val="00306745"/>
    <w:rsid w:val="0030694C"/>
    <w:rsid w:val="00307213"/>
    <w:rsid w:val="00307DC0"/>
    <w:rsid w:val="003105D6"/>
    <w:rsid w:val="00311039"/>
    <w:rsid w:val="0031113C"/>
    <w:rsid w:val="00312BE2"/>
    <w:rsid w:val="00312D5C"/>
    <w:rsid w:val="00313096"/>
    <w:rsid w:val="00314301"/>
    <w:rsid w:val="00316C7F"/>
    <w:rsid w:val="0032140E"/>
    <w:rsid w:val="00322622"/>
    <w:rsid w:val="00323C70"/>
    <w:rsid w:val="00323F72"/>
    <w:rsid w:val="00324074"/>
    <w:rsid w:val="00324E03"/>
    <w:rsid w:val="00325DE1"/>
    <w:rsid w:val="00325F57"/>
    <w:rsid w:val="0032607F"/>
    <w:rsid w:val="00327A6C"/>
    <w:rsid w:val="00327E97"/>
    <w:rsid w:val="00327EDD"/>
    <w:rsid w:val="0033202E"/>
    <w:rsid w:val="00332332"/>
    <w:rsid w:val="0033271E"/>
    <w:rsid w:val="00333AA1"/>
    <w:rsid w:val="00333BC5"/>
    <w:rsid w:val="00340959"/>
    <w:rsid w:val="00341632"/>
    <w:rsid w:val="003430CD"/>
    <w:rsid w:val="003432F4"/>
    <w:rsid w:val="00343C1F"/>
    <w:rsid w:val="00343D83"/>
    <w:rsid w:val="003448E0"/>
    <w:rsid w:val="00346D3F"/>
    <w:rsid w:val="003474C9"/>
    <w:rsid w:val="00347EC5"/>
    <w:rsid w:val="00350C0A"/>
    <w:rsid w:val="00351FCE"/>
    <w:rsid w:val="00352483"/>
    <w:rsid w:val="0035259A"/>
    <w:rsid w:val="003541CD"/>
    <w:rsid w:val="00354C42"/>
    <w:rsid w:val="00355914"/>
    <w:rsid w:val="00356F83"/>
    <w:rsid w:val="003570A3"/>
    <w:rsid w:val="003608D8"/>
    <w:rsid w:val="00362222"/>
    <w:rsid w:val="00364870"/>
    <w:rsid w:val="00365E8F"/>
    <w:rsid w:val="00366512"/>
    <w:rsid w:val="00370A99"/>
    <w:rsid w:val="00370D90"/>
    <w:rsid w:val="00372D37"/>
    <w:rsid w:val="0037664F"/>
    <w:rsid w:val="00380128"/>
    <w:rsid w:val="00381837"/>
    <w:rsid w:val="00382C94"/>
    <w:rsid w:val="003833F5"/>
    <w:rsid w:val="00383E86"/>
    <w:rsid w:val="003841D6"/>
    <w:rsid w:val="00386475"/>
    <w:rsid w:val="0038735B"/>
    <w:rsid w:val="00387793"/>
    <w:rsid w:val="00391005"/>
    <w:rsid w:val="003972E0"/>
    <w:rsid w:val="00397908"/>
    <w:rsid w:val="00397CFD"/>
    <w:rsid w:val="003A000E"/>
    <w:rsid w:val="003A00F6"/>
    <w:rsid w:val="003A0526"/>
    <w:rsid w:val="003A33DC"/>
    <w:rsid w:val="003A3A83"/>
    <w:rsid w:val="003A7388"/>
    <w:rsid w:val="003B0C17"/>
    <w:rsid w:val="003B207B"/>
    <w:rsid w:val="003B3568"/>
    <w:rsid w:val="003B69D1"/>
    <w:rsid w:val="003B7FC9"/>
    <w:rsid w:val="003C3965"/>
    <w:rsid w:val="003C47F4"/>
    <w:rsid w:val="003C4A36"/>
    <w:rsid w:val="003C4CC8"/>
    <w:rsid w:val="003C582E"/>
    <w:rsid w:val="003C75F0"/>
    <w:rsid w:val="003C7FA9"/>
    <w:rsid w:val="003D07E0"/>
    <w:rsid w:val="003D097E"/>
    <w:rsid w:val="003D0A51"/>
    <w:rsid w:val="003D14CE"/>
    <w:rsid w:val="003D1A27"/>
    <w:rsid w:val="003D1E45"/>
    <w:rsid w:val="003D258D"/>
    <w:rsid w:val="003D2B6B"/>
    <w:rsid w:val="003D3966"/>
    <w:rsid w:val="003D3EA2"/>
    <w:rsid w:val="003D43CA"/>
    <w:rsid w:val="003E03D0"/>
    <w:rsid w:val="003E198E"/>
    <w:rsid w:val="003E5135"/>
    <w:rsid w:val="003E596D"/>
    <w:rsid w:val="003E778D"/>
    <w:rsid w:val="003E78BA"/>
    <w:rsid w:val="003F04DD"/>
    <w:rsid w:val="003F2397"/>
    <w:rsid w:val="003F27D9"/>
    <w:rsid w:val="003F3C6A"/>
    <w:rsid w:val="003F425B"/>
    <w:rsid w:val="003F4767"/>
    <w:rsid w:val="003F5CD8"/>
    <w:rsid w:val="003F6A49"/>
    <w:rsid w:val="003F78B0"/>
    <w:rsid w:val="003F7F42"/>
    <w:rsid w:val="004004C9"/>
    <w:rsid w:val="004056EB"/>
    <w:rsid w:val="00407979"/>
    <w:rsid w:val="00407AAC"/>
    <w:rsid w:val="00410182"/>
    <w:rsid w:val="00410ACE"/>
    <w:rsid w:val="00410E65"/>
    <w:rsid w:val="00411D08"/>
    <w:rsid w:val="0041230E"/>
    <w:rsid w:val="00414846"/>
    <w:rsid w:val="00415B1A"/>
    <w:rsid w:val="00416490"/>
    <w:rsid w:val="00417557"/>
    <w:rsid w:val="0041777D"/>
    <w:rsid w:val="00420201"/>
    <w:rsid w:val="004217E6"/>
    <w:rsid w:val="004247EE"/>
    <w:rsid w:val="0042604D"/>
    <w:rsid w:val="00426B3B"/>
    <w:rsid w:val="00427179"/>
    <w:rsid w:val="00427DF7"/>
    <w:rsid w:val="00427FF0"/>
    <w:rsid w:val="004313B5"/>
    <w:rsid w:val="00431FD0"/>
    <w:rsid w:val="00432D37"/>
    <w:rsid w:val="0043303B"/>
    <w:rsid w:val="004331DC"/>
    <w:rsid w:val="00436EFC"/>
    <w:rsid w:val="00437537"/>
    <w:rsid w:val="00437ED3"/>
    <w:rsid w:val="0044041C"/>
    <w:rsid w:val="004425FC"/>
    <w:rsid w:val="00442999"/>
    <w:rsid w:val="00443097"/>
    <w:rsid w:val="004446A9"/>
    <w:rsid w:val="00444F74"/>
    <w:rsid w:val="00445237"/>
    <w:rsid w:val="00445C0A"/>
    <w:rsid w:val="00445E20"/>
    <w:rsid w:val="0044745B"/>
    <w:rsid w:val="00450634"/>
    <w:rsid w:val="004518F1"/>
    <w:rsid w:val="0045448E"/>
    <w:rsid w:val="004547A2"/>
    <w:rsid w:val="00454C7F"/>
    <w:rsid w:val="00454FF1"/>
    <w:rsid w:val="00455F4A"/>
    <w:rsid w:val="004576C3"/>
    <w:rsid w:val="00460A66"/>
    <w:rsid w:val="004610F2"/>
    <w:rsid w:val="00461567"/>
    <w:rsid w:val="00461F17"/>
    <w:rsid w:val="0046203F"/>
    <w:rsid w:val="004630DB"/>
    <w:rsid w:val="004633F0"/>
    <w:rsid w:val="0046388E"/>
    <w:rsid w:val="00463A1D"/>
    <w:rsid w:val="00464A88"/>
    <w:rsid w:val="004655A4"/>
    <w:rsid w:val="004708D4"/>
    <w:rsid w:val="0047091C"/>
    <w:rsid w:val="0047147A"/>
    <w:rsid w:val="0047228F"/>
    <w:rsid w:val="00472AB5"/>
    <w:rsid w:val="00473075"/>
    <w:rsid w:val="00473717"/>
    <w:rsid w:val="0047401D"/>
    <w:rsid w:val="0047526E"/>
    <w:rsid w:val="004758A4"/>
    <w:rsid w:val="00476BD2"/>
    <w:rsid w:val="00476F91"/>
    <w:rsid w:val="00477681"/>
    <w:rsid w:val="004801AF"/>
    <w:rsid w:val="00482567"/>
    <w:rsid w:val="00483B93"/>
    <w:rsid w:val="0048615C"/>
    <w:rsid w:val="00486C0E"/>
    <w:rsid w:val="004877C9"/>
    <w:rsid w:val="00490157"/>
    <w:rsid w:val="00493613"/>
    <w:rsid w:val="00493AB2"/>
    <w:rsid w:val="0049486A"/>
    <w:rsid w:val="004962B1"/>
    <w:rsid w:val="004A2426"/>
    <w:rsid w:val="004A27AC"/>
    <w:rsid w:val="004A3526"/>
    <w:rsid w:val="004A3633"/>
    <w:rsid w:val="004A4559"/>
    <w:rsid w:val="004A46FC"/>
    <w:rsid w:val="004A4C7D"/>
    <w:rsid w:val="004A63C6"/>
    <w:rsid w:val="004A73D6"/>
    <w:rsid w:val="004B0A5F"/>
    <w:rsid w:val="004B1E7D"/>
    <w:rsid w:val="004B4E9E"/>
    <w:rsid w:val="004C1547"/>
    <w:rsid w:val="004C2C5F"/>
    <w:rsid w:val="004C3457"/>
    <w:rsid w:val="004C5EDD"/>
    <w:rsid w:val="004C7E98"/>
    <w:rsid w:val="004D4920"/>
    <w:rsid w:val="004D6940"/>
    <w:rsid w:val="004D72B0"/>
    <w:rsid w:val="004D75F7"/>
    <w:rsid w:val="004D7631"/>
    <w:rsid w:val="004D7A5F"/>
    <w:rsid w:val="004E0C7D"/>
    <w:rsid w:val="004E2FCC"/>
    <w:rsid w:val="004E3E50"/>
    <w:rsid w:val="004E4519"/>
    <w:rsid w:val="004E6E40"/>
    <w:rsid w:val="004F1999"/>
    <w:rsid w:val="004F1A74"/>
    <w:rsid w:val="004F32BE"/>
    <w:rsid w:val="004F3935"/>
    <w:rsid w:val="004F3CD7"/>
    <w:rsid w:val="004F4144"/>
    <w:rsid w:val="004F43BB"/>
    <w:rsid w:val="004F7396"/>
    <w:rsid w:val="004F7FEB"/>
    <w:rsid w:val="005005CC"/>
    <w:rsid w:val="00505702"/>
    <w:rsid w:val="00506496"/>
    <w:rsid w:val="005068D3"/>
    <w:rsid w:val="00506900"/>
    <w:rsid w:val="00507C2B"/>
    <w:rsid w:val="005101E9"/>
    <w:rsid w:val="00510336"/>
    <w:rsid w:val="00510CB7"/>
    <w:rsid w:val="00510CF6"/>
    <w:rsid w:val="0051175F"/>
    <w:rsid w:val="0051182D"/>
    <w:rsid w:val="00511B3A"/>
    <w:rsid w:val="00513894"/>
    <w:rsid w:val="00514483"/>
    <w:rsid w:val="00515121"/>
    <w:rsid w:val="00515573"/>
    <w:rsid w:val="005157EC"/>
    <w:rsid w:val="0051585A"/>
    <w:rsid w:val="00517656"/>
    <w:rsid w:val="00517EC2"/>
    <w:rsid w:val="0052048B"/>
    <w:rsid w:val="00520677"/>
    <w:rsid w:val="005206CC"/>
    <w:rsid w:val="00520A5C"/>
    <w:rsid w:val="0052158F"/>
    <w:rsid w:val="00521ACD"/>
    <w:rsid w:val="0052261A"/>
    <w:rsid w:val="0052295A"/>
    <w:rsid w:val="00523A74"/>
    <w:rsid w:val="00524313"/>
    <w:rsid w:val="005248D2"/>
    <w:rsid w:val="00524F22"/>
    <w:rsid w:val="0052543E"/>
    <w:rsid w:val="0052577D"/>
    <w:rsid w:val="0052592E"/>
    <w:rsid w:val="0052613D"/>
    <w:rsid w:val="005274BB"/>
    <w:rsid w:val="00530F42"/>
    <w:rsid w:val="005319F7"/>
    <w:rsid w:val="0053288A"/>
    <w:rsid w:val="005328B6"/>
    <w:rsid w:val="00533387"/>
    <w:rsid w:val="00533B1D"/>
    <w:rsid w:val="0053597C"/>
    <w:rsid w:val="00536ED3"/>
    <w:rsid w:val="005378A7"/>
    <w:rsid w:val="005402FF"/>
    <w:rsid w:val="005405CE"/>
    <w:rsid w:val="005414A5"/>
    <w:rsid w:val="00541A22"/>
    <w:rsid w:val="00541BF2"/>
    <w:rsid w:val="00543F69"/>
    <w:rsid w:val="00545328"/>
    <w:rsid w:val="00545CCF"/>
    <w:rsid w:val="00547A8A"/>
    <w:rsid w:val="00547BA0"/>
    <w:rsid w:val="00547C45"/>
    <w:rsid w:val="005509C4"/>
    <w:rsid w:val="00551585"/>
    <w:rsid w:val="00555EE2"/>
    <w:rsid w:val="0056005A"/>
    <w:rsid w:val="00560193"/>
    <w:rsid w:val="00560DE9"/>
    <w:rsid w:val="0056106E"/>
    <w:rsid w:val="00561914"/>
    <w:rsid w:val="0056350F"/>
    <w:rsid w:val="00563834"/>
    <w:rsid w:val="00564581"/>
    <w:rsid w:val="005649BD"/>
    <w:rsid w:val="00564C6C"/>
    <w:rsid w:val="0056534A"/>
    <w:rsid w:val="00566179"/>
    <w:rsid w:val="00567D75"/>
    <w:rsid w:val="00567EA9"/>
    <w:rsid w:val="0057119A"/>
    <w:rsid w:val="005718C6"/>
    <w:rsid w:val="00572FE0"/>
    <w:rsid w:val="00573CA1"/>
    <w:rsid w:val="00573F37"/>
    <w:rsid w:val="005757F5"/>
    <w:rsid w:val="005813E7"/>
    <w:rsid w:val="005814DD"/>
    <w:rsid w:val="005834B4"/>
    <w:rsid w:val="00584A43"/>
    <w:rsid w:val="00584EB4"/>
    <w:rsid w:val="00585281"/>
    <w:rsid w:val="005872C5"/>
    <w:rsid w:val="00587B75"/>
    <w:rsid w:val="00590A58"/>
    <w:rsid w:val="00590BD2"/>
    <w:rsid w:val="0059436F"/>
    <w:rsid w:val="0059517C"/>
    <w:rsid w:val="0059558A"/>
    <w:rsid w:val="00596E57"/>
    <w:rsid w:val="005A0908"/>
    <w:rsid w:val="005A3821"/>
    <w:rsid w:val="005A3A71"/>
    <w:rsid w:val="005A3A8E"/>
    <w:rsid w:val="005A7A13"/>
    <w:rsid w:val="005B1497"/>
    <w:rsid w:val="005B14E9"/>
    <w:rsid w:val="005B1D5D"/>
    <w:rsid w:val="005B248F"/>
    <w:rsid w:val="005B3120"/>
    <w:rsid w:val="005B343C"/>
    <w:rsid w:val="005B3C51"/>
    <w:rsid w:val="005B4972"/>
    <w:rsid w:val="005B4F90"/>
    <w:rsid w:val="005B5C41"/>
    <w:rsid w:val="005B65C0"/>
    <w:rsid w:val="005C1AF5"/>
    <w:rsid w:val="005C324C"/>
    <w:rsid w:val="005C4C53"/>
    <w:rsid w:val="005C4E78"/>
    <w:rsid w:val="005C6DF6"/>
    <w:rsid w:val="005D2165"/>
    <w:rsid w:val="005D24E0"/>
    <w:rsid w:val="005D2A4A"/>
    <w:rsid w:val="005D2EF5"/>
    <w:rsid w:val="005D33F6"/>
    <w:rsid w:val="005D4984"/>
    <w:rsid w:val="005D6B35"/>
    <w:rsid w:val="005D723B"/>
    <w:rsid w:val="005E189F"/>
    <w:rsid w:val="005E1D8E"/>
    <w:rsid w:val="005E379B"/>
    <w:rsid w:val="005E4135"/>
    <w:rsid w:val="005E4CB6"/>
    <w:rsid w:val="005E6326"/>
    <w:rsid w:val="005E6AE1"/>
    <w:rsid w:val="005F203F"/>
    <w:rsid w:val="005F28F9"/>
    <w:rsid w:val="005F2E02"/>
    <w:rsid w:val="005F3D43"/>
    <w:rsid w:val="005F5A92"/>
    <w:rsid w:val="005F7A16"/>
    <w:rsid w:val="00601BC1"/>
    <w:rsid w:val="00603A5A"/>
    <w:rsid w:val="0060580C"/>
    <w:rsid w:val="0060650F"/>
    <w:rsid w:val="00607989"/>
    <w:rsid w:val="00611CF1"/>
    <w:rsid w:val="006122F8"/>
    <w:rsid w:val="00612401"/>
    <w:rsid w:val="006126F7"/>
    <w:rsid w:val="0061322A"/>
    <w:rsid w:val="00613565"/>
    <w:rsid w:val="006176F1"/>
    <w:rsid w:val="00617CE6"/>
    <w:rsid w:val="00617DA3"/>
    <w:rsid w:val="006213D2"/>
    <w:rsid w:val="00622BD9"/>
    <w:rsid w:val="00622BE6"/>
    <w:rsid w:val="00623A21"/>
    <w:rsid w:val="0062538A"/>
    <w:rsid w:val="0063045F"/>
    <w:rsid w:val="0063051E"/>
    <w:rsid w:val="00630AD4"/>
    <w:rsid w:val="00633168"/>
    <w:rsid w:val="00635D2C"/>
    <w:rsid w:val="0063616E"/>
    <w:rsid w:val="0063773B"/>
    <w:rsid w:val="00640387"/>
    <w:rsid w:val="00640995"/>
    <w:rsid w:val="00641C0F"/>
    <w:rsid w:val="0064279B"/>
    <w:rsid w:val="00643181"/>
    <w:rsid w:val="006436B7"/>
    <w:rsid w:val="006441A5"/>
    <w:rsid w:val="00644B3A"/>
    <w:rsid w:val="0064733C"/>
    <w:rsid w:val="00650DB2"/>
    <w:rsid w:val="006512DF"/>
    <w:rsid w:val="006529F2"/>
    <w:rsid w:val="00652C03"/>
    <w:rsid w:val="0065481B"/>
    <w:rsid w:val="00656D99"/>
    <w:rsid w:val="00657CF8"/>
    <w:rsid w:val="0066070F"/>
    <w:rsid w:val="006613A9"/>
    <w:rsid w:val="006619D2"/>
    <w:rsid w:val="0066554E"/>
    <w:rsid w:val="006657F6"/>
    <w:rsid w:val="0066696A"/>
    <w:rsid w:val="00666A55"/>
    <w:rsid w:val="00666D64"/>
    <w:rsid w:val="00666E48"/>
    <w:rsid w:val="0066716C"/>
    <w:rsid w:val="00670FDC"/>
    <w:rsid w:val="00671CC3"/>
    <w:rsid w:val="00673513"/>
    <w:rsid w:val="006743CD"/>
    <w:rsid w:val="00674878"/>
    <w:rsid w:val="006765A7"/>
    <w:rsid w:val="00676609"/>
    <w:rsid w:val="00677388"/>
    <w:rsid w:val="00681927"/>
    <w:rsid w:val="00681ADB"/>
    <w:rsid w:val="006827A5"/>
    <w:rsid w:val="006832AD"/>
    <w:rsid w:val="0068355F"/>
    <w:rsid w:val="006847E1"/>
    <w:rsid w:val="00685E7F"/>
    <w:rsid w:val="00685F3A"/>
    <w:rsid w:val="00686BDD"/>
    <w:rsid w:val="00687D64"/>
    <w:rsid w:val="00691D28"/>
    <w:rsid w:val="0069232E"/>
    <w:rsid w:val="00692480"/>
    <w:rsid w:val="00692A44"/>
    <w:rsid w:val="00694C49"/>
    <w:rsid w:val="00696657"/>
    <w:rsid w:val="006970E2"/>
    <w:rsid w:val="00697B2A"/>
    <w:rsid w:val="006A01E6"/>
    <w:rsid w:val="006A084B"/>
    <w:rsid w:val="006A0F21"/>
    <w:rsid w:val="006A38B6"/>
    <w:rsid w:val="006A3D86"/>
    <w:rsid w:val="006A4525"/>
    <w:rsid w:val="006A4996"/>
    <w:rsid w:val="006A517D"/>
    <w:rsid w:val="006A77FF"/>
    <w:rsid w:val="006B4010"/>
    <w:rsid w:val="006B4EF9"/>
    <w:rsid w:val="006B6939"/>
    <w:rsid w:val="006B7CBB"/>
    <w:rsid w:val="006C0023"/>
    <w:rsid w:val="006C12B3"/>
    <w:rsid w:val="006C1F6F"/>
    <w:rsid w:val="006C263A"/>
    <w:rsid w:val="006C30B7"/>
    <w:rsid w:val="006C3418"/>
    <w:rsid w:val="006C4F73"/>
    <w:rsid w:val="006D0FCA"/>
    <w:rsid w:val="006D2174"/>
    <w:rsid w:val="006D48FD"/>
    <w:rsid w:val="006D6F24"/>
    <w:rsid w:val="006D773D"/>
    <w:rsid w:val="006E2733"/>
    <w:rsid w:val="006E4526"/>
    <w:rsid w:val="006E70B9"/>
    <w:rsid w:val="006E777E"/>
    <w:rsid w:val="006E79B7"/>
    <w:rsid w:val="006F1EF5"/>
    <w:rsid w:val="006F2238"/>
    <w:rsid w:val="006F22FB"/>
    <w:rsid w:val="006F3430"/>
    <w:rsid w:val="006F346A"/>
    <w:rsid w:val="006F3662"/>
    <w:rsid w:val="006F37FD"/>
    <w:rsid w:val="006F6A3F"/>
    <w:rsid w:val="00701FA1"/>
    <w:rsid w:val="0070249B"/>
    <w:rsid w:val="007031F7"/>
    <w:rsid w:val="00703803"/>
    <w:rsid w:val="00704F49"/>
    <w:rsid w:val="0070675D"/>
    <w:rsid w:val="00706CAF"/>
    <w:rsid w:val="00706F98"/>
    <w:rsid w:val="00707ED5"/>
    <w:rsid w:val="00710A73"/>
    <w:rsid w:val="0071141E"/>
    <w:rsid w:val="00717012"/>
    <w:rsid w:val="007204DD"/>
    <w:rsid w:val="00720CF1"/>
    <w:rsid w:val="00720D5D"/>
    <w:rsid w:val="00721F5A"/>
    <w:rsid w:val="00722AB8"/>
    <w:rsid w:val="00722D7F"/>
    <w:rsid w:val="0072393B"/>
    <w:rsid w:val="00724396"/>
    <w:rsid w:val="00724FC3"/>
    <w:rsid w:val="00725696"/>
    <w:rsid w:val="0072646D"/>
    <w:rsid w:val="00727E04"/>
    <w:rsid w:val="00734ACC"/>
    <w:rsid w:val="00734F5F"/>
    <w:rsid w:val="0073579F"/>
    <w:rsid w:val="007373BE"/>
    <w:rsid w:val="00740032"/>
    <w:rsid w:val="0074092D"/>
    <w:rsid w:val="007417F8"/>
    <w:rsid w:val="00741CF0"/>
    <w:rsid w:val="00741EF1"/>
    <w:rsid w:val="00742368"/>
    <w:rsid w:val="00742759"/>
    <w:rsid w:val="0074295B"/>
    <w:rsid w:val="007452CC"/>
    <w:rsid w:val="00746952"/>
    <w:rsid w:val="00746F05"/>
    <w:rsid w:val="00747A51"/>
    <w:rsid w:val="0075105B"/>
    <w:rsid w:val="00752189"/>
    <w:rsid w:val="00753F48"/>
    <w:rsid w:val="007546C3"/>
    <w:rsid w:val="00754DCD"/>
    <w:rsid w:val="00754EA5"/>
    <w:rsid w:val="00755E9E"/>
    <w:rsid w:val="0075755A"/>
    <w:rsid w:val="0075782C"/>
    <w:rsid w:val="00757BC9"/>
    <w:rsid w:val="00762582"/>
    <w:rsid w:val="0076360E"/>
    <w:rsid w:val="00766101"/>
    <w:rsid w:val="00766FA9"/>
    <w:rsid w:val="00775076"/>
    <w:rsid w:val="00775153"/>
    <w:rsid w:val="00780697"/>
    <w:rsid w:val="0078106A"/>
    <w:rsid w:val="00782BE2"/>
    <w:rsid w:val="0078392B"/>
    <w:rsid w:val="00784BBF"/>
    <w:rsid w:val="007851DF"/>
    <w:rsid w:val="00785FDB"/>
    <w:rsid w:val="00787006"/>
    <w:rsid w:val="00787C71"/>
    <w:rsid w:val="00791A3F"/>
    <w:rsid w:val="00791C6B"/>
    <w:rsid w:val="00792075"/>
    <w:rsid w:val="00792F8C"/>
    <w:rsid w:val="00793BD2"/>
    <w:rsid w:val="00794827"/>
    <w:rsid w:val="00795F99"/>
    <w:rsid w:val="00796CB7"/>
    <w:rsid w:val="007970D6"/>
    <w:rsid w:val="00797AE4"/>
    <w:rsid w:val="007A0C40"/>
    <w:rsid w:val="007A0F36"/>
    <w:rsid w:val="007A2647"/>
    <w:rsid w:val="007B1D2E"/>
    <w:rsid w:val="007B23BD"/>
    <w:rsid w:val="007B3852"/>
    <w:rsid w:val="007B4D01"/>
    <w:rsid w:val="007B5941"/>
    <w:rsid w:val="007C034F"/>
    <w:rsid w:val="007C04E2"/>
    <w:rsid w:val="007C0AD6"/>
    <w:rsid w:val="007C0E36"/>
    <w:rsid w:val="007C13D2"/>
    <w:rsid w:val="007C355C"/>
    <w:rsid w:val="007C3FC9"/>
    <w:rsid w:val="007C4893"/>
    <w:rsid w:val="007C4AE1"/>
    <w:rsid w:val="007C5133"/>
    <w:rsid w:val="007D2EB7"/>
    <w:rsid w:val="007D4A98"/>
    <w:rsid w:val="007D7007"/>
    <w:rsid w:val="007E2C33"/>
    <w:rsid w:val="007E534F"/>
    <w:rsid w:val="007E5534"/>
    <w:rsid w:val="007E66F9"/>
    <w:rsid w:val="007E6C33"/>
    <w:rsid w:val="007E7B40"/>
    <w:rsid w:val="007E7BE2"/>
    <w:rsid w:val="007E7E0A"/>
    <w:rsid w:val="007F048F"/>
    <w:rsid w:val="007F0CF9"/>
    <w:rsid w:val="007F11EA"/>
    <w:rsid w:val="007F21C9"/>
    <w:rsid w:val="007F3E18"/>
    <w:rsid w:val="007F49DB"/>
    <w:rsid w:val="007F7828"/>
    <w:rsid w:val="00800209"/>
    <w:rsid w:val="008030C4"/>
    <w:rsid w:val="00803367"/>
    <w:rsid w:val="00803FE6"/>
    <w:rsid w:val="00804999"/>
    <w:rsid w:val="00806168"/>
    <w:rsid w:val="008111FB"/>
    <w:rsid w:val="008130D7"/>
    <w:rsid w:val="008158AF"/>
    <w:rsid w:val="00817579"/>
    <w:rsid w:val="00817CA7"/>
    <w:rsid w:val="00822D69"/>
    <w:rsid w:val="008246C0"/>
    <w:rsid w:val="00825525"/>
    <w:rsid w:val="008257F0"/>
    <w:rsid w:val="00827F36"/>
    <w:rsid w:val="00830F15"/>
    <w:rsid w:val="00831B54"/>
    <w:rsid w:val="00832976"/>
    <w:rsid w:val="0083461E"/>
    <w:rsid w:val="008371C7"/>
    <w:rsid w:val="00837555"/>
    <w:rsid w:val="008414DC"/>
    <w:rsid w:val="008423F5"/>
    <w:rsid w:val="00842D77"/>
    <w:rsid w:val="008437DC"/>
    <w:rsid w:val="00843969"/>
    <w:rsid w:val="00844D30"/>
    <w:rsid w:val="008462C3"/>
    <w:rsid w:val="0084716B"/>
    <w:rsid w:val="0084773E"/>
    <w:rsid w:val="00847795"/>
    <w:rsid w:val="00847997"/>
    <w:rsid w:val="0085006B"/>
    <w:rsid w:val="0085115D"/>
    <w:rsid w:val="00852AAA"/>
    <w:rsid w:val="008532C4"/>
    <w:rsid w:val="00853539"/>
    <w:rsid w:val="00855271"/>
    <w:rsid w:val="008552CE"/>
    <w:rsid w:val="00855C52"/>
    <w:rsid w:val="008617FB"/>
    <w:rsid w:val="00861A8F"/>
    <w:rsid w:val="00861AC7"/>
    <w:rsid w:val="00861CA7"/>
    <w:rsid w:val="008628F5"/>
    <w:rsid w:val="00864216"/>
    <w:rsid w:val="00864F01"/>
    <w:rsid w:val="00864FCD"/>
    <w:rsid w:val="00865FC8"/>
    <w:rsid w:val="00870585"/>
    <w:rsid w:val="008719FB"/>
    <w:rsid w:val="00875CB9"/>
    <w:rsid w:val="008776AE"/>
    <w:rsid w:val="00877D88"/>
    <w:rsid w:val="00880CC4"/>
    <w:rsid w:val="008817E2"/>
    <w:rsid w:val="00881ED1"/>
    <w:rsid w:val="00885051"/>
    <w:rsid w:val="00886EDE"/>
    <w:rsid w:val="00890069"/>
    <w:rsid w:val="0089045A"/>
    <w:rsid w:val="008915BC"/>
    <w:rsid w:val="00891C85"/>
    <w:rsid w:val="008923D6"/>
    <w:rsid w:val="00893FA7"/>
    <w:rsid w:val="00895091"/>
    <w:rsid w:val="00895678"/>
    <w:rsid w:val="008A0319"/>
    <w:rsid w:val="008A5483"/>
    <w:rsid w:val="008A724A"/>
    <w:rsid w:val="008A7978"/>
    <w:rsid w:val="008A7DC0"/>
    <w:rsid w:val="008B0211"/>
    <w:rsid w:val="008B1039"/>
    <w:rsid w:val="008B24D9"/>
    <w:rsid w:val="008B45B3"/>
    <w:rsid w:val="008B5526"/>
    <w:rsid w:val="008C27DF"/>
    <w:rsid w:val="008C33C6"/>
    <w:rsid w:val="008C4792"/>
    <w:rsid w:val="008C7376"/>
    <w:rsid w:val="008D048F"/>
    <w:rsid w:val="008D5EBE"/>
    <w:rsid w:val="008D7FCF"/>
    <w:rsid w:val="008E35DB"/>
    <w:rsid w:val="008E3601"/>
    <w:rsid w:val="008E400C"/>
    <w:rsid w:val="008E4778"/>
    <w:rsid w:val="008E7314"/>
    <w:rsid w:val="008E742D"/>
    <w:rsid w:val="008E7768"/>
    <w:rsid w:val="008E7D45"/>
    <w:rsid w:val="008F0455"/>
    <w:rsid w:val="008F05EE"/>
    <w:rsid w:val="008F0BD8"/>
    <w:rsid w:val="008F2FE6"/>
    <w:rsid w:val="008F3F3E"/>
    <w:rsid w:val="008F3FAC"/>
    <w:rsid w:val="008F6ED3"/>
    <w:rsid w:val="008F6ED9"/>
    <w:rsid w:val="00901056"/>
    <w:rsid w:val="00901E6D"/>
    <w:rsid w:val="00901E9E"/>
    <w:rsid w:val="00902CEF"/>
    <w:rsid w:val="00903639"/>
    <w:rsid w:val="00906B02"/>
    <w:rsid w:val="00910152"/>
    <w:rsid w:val="00910B83"/>
    <w:rsid w:val="00912764"/>
    <w:rsid w:val="00912CED"/>
    <w:rsid w:val="009145CD"/>
    <w:rsid w:val="00923922"/>
    <w:rsid w:val="00923FF4"/>
    <w:rsid w:val="00924466"/>
    <w:rsid w:val="00924502"/>
    <w:rsid w:val="00925934"/>
    <w:rsid w:val="00926B8D"/>
    <w:rsid w:val="00927AE3"/>
    <w:rsid w:val="00934F0D"/>
    <w:rsid w:val="00934F12"/>
    <w:rsid w:val="00934FF0"/>
    <w:rsid w:val="009354C6"/>
    <w:rsid w:val="00935784"/>
    <w:rsid w:val="0093624D"/>
    <w:rsid w:val="009373C4"/>
    <w:rsid w:val="009427B8"/>
    <w:rsid w:val="00942CBC"/>
    <w:rsid w:val="00943FAC"/>
    <w:rsid w:val="00946E9D"/>
    <w:rsid w:val="009479F2"/>
    <w:rsid w:val="00947F88"/>
    <w:rsid w:val="0095076F"/>
    <w:rsid w:val="00954224"/>
    <w:rsid w:val="009569A1"/>
    <w:rsid w:val="0096166B"/>
    <w:rsid w:val="00961D28"/>
    <w:rsid w:val="00961F79"/>
    <w:rsid w:val="00963199"/>
    <w:rsid w:val="0096422B"/>
    <w:rsid w:val="009667A3"/>
    <w:rsid w:val="009667C1"/>
    <w:rsid w:val="00967823"/>
    <w:rsid w:val="00971B1B"/>
    <w:rsid w:val="009724FD"/>
    <w:rsid w:val="009757FC"/>
    <w:rsid w:val="00976BB7"/>
    <w:rsid w:val="00976ED3"/>
    <w:rsid w:val="0098081A"/>
    <w:rsid w:val="00980DA1"/>
    <w:rsid w:val="00980FAC"/>
    <w:rsid w:val="00982BA4"/>
    <w:rsid w:val="009847F4"/>
    <w:rsid w:val="0098514B"/>
    <w:rsid w:val="009857CB"/>
    <w:rsid w:val="00985895"/>
    <w:rsid w:val="00986F33"/>
    <w:rsid w:val="00987629"/>
    <w:rsid w:val="00987BB0"/>
    <w:rsid w:val="00987C29"/>
    <w:rsid w:val="009909CC"/>
    <w:rsid w:val="009929D2"/>
    <w:rsid w:val="00993419"/>
    <w:rsid w:val="00993967"/>
    <w:rsid w:val="0099503D"/>
    <w:rsid w:val="00996E89"/>
    <w:rsid w:val="009A00C0"/>
    <w:rsid w:val="009A1213"/>
    <w:rsid w:val="009A6B20"/>
    <w:rsid w:val="009A6E42"/>
    <w:rsid w:val="009B0705"/>
    <w:rsid w:val="009B1011"/>
    <w:rsid w:val="009B16E8"/>
    <w:rsid w:val="009B2CDD"/>
    <w:rsid w:val="009B5688"/>
    <w:rsid w:val="009B6F18"/>
    <w:rsid w:val="009C0557"/>
    <w:rsid w:val="009C185F"/>
    <w:rsid w:val="009C7870"/>
    <w:rsid w:val="009D0470"/>
    <w:rsid w:val="009D1E42"/>
    <w:rsid w:val="009D2130"/>
    <w:rsid w:val="009D30C2"/>
    <w:rsid w:val="009E088C"/>
    <w:rsid w:val="009E13E4"/>
    <w:rsid w:val="009E1A1D"/>
    <w:rsid w:val="009E1E8D"/>
    <w:rsid w:val="009E3A60"/>
    <w:rsid w:val="009E576B"/>
    <w:rsid w:val="009E5B61"/>
    <w:rsid w:val="009E5FCE"/>
    <w:rsid w:val="009E726E"/>
    <w:rsid w:val="009E7A61"/>
    <w:rsid w:val="009F0C9E"/>
    <w:rsid w:val="009F14B4"/>
    <w:rsid w:val="009F1670"/>
    <w:rsid w:val="009F3A11"/>
    <w:rsid w:val="009F47A9"/>
    <w:rsid w:val="009F4DDB"/>
    <w:rsid w:val="009F5202"/>
    <w:rsid w:val="009F73DD"/>
    <w:rsid w:val="009F788D"/>
    <w:rsid w:val="00A0020C"/>
    <w:rsid w:val="00A00960"/>
    <w:rsid w:val="00A011D4"/>
    <w:rsid w:val="00A02290"/>
    <w:rsid w:val="00A024F5"/>
    <w:rsid w:val="00A03B2D"/>
    <w:rsid w:val="00A0460D"/>
    <w:rsid w:val="00A0539A"/>
    <w:rsid w:val="00A07043"/>
    <w:rsid w:val="00A10D36"/>
    <w:rsid w:val="00A11695"/>
    <w:rsid w:val="00A120FC"/>
    <w:rsid w:val="00A128A2"/>
    <w:rsid w:val="00A12AAB"/>
    <w:rsid w:val="00A1401E"/>
    <w:rsid w:val="00A141B0"/>
    <w:rsid w:val="00A14DD2"/>
    <w:rsid w:val="00A16518"/>
    <w:rsid w:val="00A17191"/>
    <w:rsid w:val="00A17E3B"/>
    <w:rsid w:val="00A200DE"/>
    <w:rsid w:val="00A20AB2"/>
    <w:rsid w:val="00A20D63"/>
    <w:rsid w:val="00A21C19"/>
    <w:rsid w:val="00A233FE"/>
    <w:rsid w:val="00A23F53"/>
    <w:rsid w:val="00A3002F"/>
    <w:rsid w:val="00A31AD5"/>
    <w:rsid w:val="00A32705"/>
    <w:rsid w:val="00A33049"/>
    <w:rsid w:val="00A3497F"/>
    <w:rsid w:val="00A40D21"/>
    <w:rsid w:val="00A43926"/>
    <w:rsid w:val="00A43A4F"/>
    <w:rsid w:val="00A43C5F"/>
    <w:rsid w:val="00A44DED"/>
    <w:rsid w:val="00A452BB"/>
    <w:rsid w:val="00A45BB1"/>
    <w:rsid w:val="00A466B9"/>
    <w:rsid w:val="00A46D24"/>
    <w:rsid w:val="00A470C7"/>
    <w:rsid w:val="00A47332"/>
    <w:rsid w:val="00A47813"/>
    <w:rsid w:val="00A504B6"/>
    <w:rsid w:val="00A51112"/>
    <w:rsid w:val="00A52AC7"/>
    <w:rsid w:val="00A52BAC"/>
    <w:rsid w:val="00A539B8"/>
    <w:rsid w:val="00A54283"/>
    <w:rsid w:val="00A56C51"/>
    <w:rsid w:val="00A56F1B"/>
    <w:rsid w:val="00A604A9"/>
    <w:rsid w:val="00A62798"/>
    <w:rsid w:val="00A70F34"/>
    <w:rsid w:val="00A72255"/>
    <w:rsid w:val="00A7433B"/>
    <w:rsid w:val="00A74539"/>
    <w:rsid w:val="00A747E8"/>
    <w:rsid w:val="00A76F3C"/>
    <w:rsid w:val="00A773EE"/>
    <w:rsid w:val="00A80273"/>
    <w:rsid w:val="00A81F62"/>
    <w:rsid w:val="00A844C6"/>
    <w:rsid w:val="00A854D9"/>
    <w:rsid w:val="00A87222"/>
    <w:rsid w:val="00A8789C"/>
    <w:rsid w:val="00A90C04"/>
    <w:rsid w:val="00A91F91"/>
    <w:rsid w:val="00A95529"/>
    <w:rsid w:val="00A95930"/>
    <w:rsid w:val="00A965EE"/>
    <w:rsid w:val="00A96ADB"/>
    <w:rsid w:val="00A96B25"/>
    <w:rsid w:val="00A9706B"/>
    <w:rsid w:val="00AA164B"/>
    <w:rsid w:val="00AA2798"/>
    <w:rsid w:val="00AA3680"/>
    <w:rsid w:val="00AA63D4"/>
    <w:rsid w:val="00AB0863"/>
    <w:rsid w:val="00AB0C4A"/>
    <w:rsid w:val="00AB122F"/>
    <w:rsid w:val="00AB233E"/>
    <w:rsid w:val="00AB33BA"/>
    <w:rsid w:val="00AB3E4B"/>
    <w:rsid w:val="00AB589E"/>
    <w:rsid w:val="00AB5B11"/>
    <w:rsid w:val="00AB6B84"/>
    <w:rsid w:val="00AB6FF2"/>
    <w:rsid w:val="00AC0B7C"/>
    <w:rsid w:val="00AC0F57"/>
    <w:rsid w:val="00AC1E3B"/>
    <w:rsid w:val="00AC3299"/>
    <w:rsid w:val="00AC3CB9"/>
    <w:rsid w:val="00AC5076"/>
    <w:rsid w:val="00AC53E4"/>
    <w:rsid w:val="00AD0257"/>
    <w:rsid w:val="00AD02D0"/>
    <w:rsid w:val="00AD15E7"/>
    <w:rsid w:val="00AD1FE6"/>
    <w:rsid w:val="00AD5E02"/>
    <w:rsid w:val="00AD674F"/>
    <w:rsid w:val="00AD6F63"/>
    <w:rsid w:val="00AE0D7F"/>
    <w:rsid w:val="00AE152C"/>
    <w:rsid w:val="00AE1A6B"/>
    <w:rsid w:val="00AE36F8"/>
    <w:rsid w:val="00AE588D"/>
    <w:rsid w:val="00AE6462"/>
    <w:rsid w:val="00AE6F6D"/>
    <w:rsid w:val="00AF290B"/>
    <w:rsid w:val="00AF361B"/>
    <w:rsid w:val="00AF56A7"/>
    <w:rsid w:val="00AF68DA"/>
    <w:rsid w:val="00AF7415"/>
    <w:rsid w:val="00AF7BE4"/>
    <w:rsid w:val="00B02174"/>
    <w:rsid w:val="00B02990"/>
    <w:rsid w:val="00B033AE"/>
    <w:rsid w:val="00B042C4"/>
    <w:rsid w:val="00B04F90"/>
    <w:rsid w:val="00B065A7"/>
    <w:rsid w:val="00B06E9F"/>
    <w:rsid w:val="00B071AC"/>
    <w:rsid w:val="00B07619"/>
    <w:rsid w:val="00B07826"/>
    <w:rsid w:val="00B07D4E"/>
    <w:rsid w:val="00B07F33"/>
    <w:rsid w:val="00B10577"/>
    <w:rsid w:val="00B117AF"/>
    <w:rsid w:val="00B11C20"/>
    <w:rsid w:val="00B12309"/>
    <w:rsid w:val="00B144F8"/>
    <w:rsid w:val="00B169F2"/>
    <w:rsid w:val="00B17535"/>
    <w:rsid w:val="00B20859"/>
    <w:rsid w:val="00B222DD"/>
    <w:rsid w:val="00B2263D"/>
    <w:rsid w:val="00B23E41"/>
    <w:rsid w:val="00B241F6"/>
    <w:rsid w:val="00B255A1"/>
    <w:rsid w:val="00B25FDF"/>
    <w:rsid w:val="00B279FA"/>
    <w:rsid w:val="00B30138"/>
    <w:rsid w:val="00B30CD9"/>
    <w:rsid w:val="00B312C5"/>
    <w:rsid w:val="00B31B0B"/>
    <w:rsid w:val="00B329C9"/>
    <w:rsid w:val="00B3320D"/>
    <w:rsid w:val="00B34747"/>
    <w:rsid w:val="00B352EE"/>
    <w:rsid w:val="00B3534C"/>
    <w:rsid w:val="00B376C6"/>
    <w:rsid w:val="00B436FB"/>
    <w:rsid w:val="00B43833"/>
    <w:rsid w:val="00B46D11"/>
    <w:rsid w:val="00B5092F"/>
    <w:rsid w:val="00B509B6"/>
    <w:rsid w:val="00B5194F"/>
    <w:rsid w:val="00B52732"/>
    <w:rsid w:val="00B5348C"/>
    <w:rsid w:val="00B54D31"/>
    <w:rsid w:val="00B5580F"/>
    <w:rsid w:val="00B57756"/>
    <w:rsid w:val="00B64F1E"/>
    <w:rsid w:val="00B66303"/>
    <w:rsid w:val="00B679F6"/>
    <w:rsid w:val="00B67D42"/>
    <w:rsid w:val="00B67FE7"/>
    <w:rsid w:val="00B73996"/>
    <w:rsid w:val="00B81AF8"/>
    <w:rsid w:val="00B82186"/>
    <w:rsid w:val="00B82B4D"/>
    <w:rsid w:val="00B8387E"/>
    <w:rsid w:val="00B84567"/>
    <w:rsid w:val="00B85023"/>
    <w:rsid w:val="00B858F2"/>
    <w:rsid w:val="00B872C0"/>
    <w:rsid w:val="00B90BAE"/>
    <w:rsid w:val="00B90EE1"/>
    <w:rsid w:val="00B92953"/>
    <w:rsid w:val="00B92E58"/>
    <w:rsid w:val="00B933D2"/>
    <w:rsid w:val="00B943EA"/>
    <w:rsid w:val="00B94849"/>
    <w:rsid w:val="00B95CF2"/>
    <w:rsid w:val="00BA17B0"/>
    <w:rsid w:val="00BA32ED"/>
    <w:rsid w:val="00BA3C45"/>
    <w:rsid w:val="00BA44B5"/>
    <w:rsid w:val="00BA47F0"/>
    <w:rsid w:val="00BA4DCD"/>
    <w:rsid w:val="00BA616C"/>
    <w:rsid w:val="00BA648D"/>
    <w:rsid w:val="00BA6858"/>
    <w:rsid w:val="00BA70C2"/>
    <w:rsid w:val="00BB07E3"/>
    <w:rsid w:val="00BB0AC1"/>
    <w:rsid w:val="00BB0BAF"/>
    <w:rsid w:val="00BB11D0"/>
    <w:rsid w:val="00BB2A7E"/>
    <w:rsid w:val="00BB55D6"/>
    <w:rsid w:val="00BB6FA6"/>
    <w:rsid w:val="00BB7B6F"/>
    <w:rsid w:val="00BC0D13"/>
    <w:rsid w:val="00BC111E"/>
    <w:rsid w:val="00BC4F90"/>
    <w:rsid w:val="00BC52C4"/>
    <w:rsid w:val="00BC55F8"/>
    <w:rsid w:val="00BC792E"/>
    <w:rsid w:val="00BD2662"/>
    <w:rsid w:val="00BD2868"/>
    <w:rsid w:val="00BD4131"/>
    <w:rsid w:val="00BD4300"/>
    <w:rsid w:val="00BD553E"/>
    <w:rsid w:val="00BE00C0"/>
    <w:rsid w:val="00BE1A3B"/>
    <w:rsid w:val="00BE222A"/>
    <w:rsid w:val="00BE250C"/>
    <w:rsid w:val="00BE5817"/>
    <w:rsid w:val="00BF1EF7"/>
    <w:rsid w:val="00BF2E63"/>
    <w:rsid w:val="00BF35EE"/>
    <w:rsid w:val="00BF49A5"/>
    <w:rsid w:val="00BF50B5"/>
    <w:rsid w:val="00C0000E"/>
    <w:rsid w:val="00C003E8"/>
    <w:rsid w:val="00C01ED1"/>
    <w:rsid w:val="00C0254A"/>
    <w:rsid w:val="00C02952"/>
    <w:rsid w:val="00C030CF"/>
    <w:rsid w:val="00C03CFB"/>
    <w:rsid w:val="00C10527"/>
    <w:rsid w:val="00C123ED"/>
    <w:rsid w:val="00C14A37"/>
    <w:rsid w:val="00C16B28"/>
    <w:rsid w:val="00C17D38"/>
    <w:rsid w:val="00C22C96"/>
    <w:rsid w:val="00C23103"/>
    <w:rsid w:val="00C249C7"/>
    <w:rsid w:val="00C25918"/>
    <w:rsid w:val="00C31ADA"/>
    <w:rsid w:val="00C32651"/>
    <w:rsid w:val="00C34E98"/>
    <w:rsid w:val="00C361C8"/>
    <w:rsid w:val="00C376CD"/>
    <w:rsid w:val="00C404B9"/>
    <w:rsid w:val="00C40AB9"/>
    <w:rsid w:val="00C41520"/>
    <w:rsid w:val="00C41AA7"/>
    <w:rsid w:val="00C42441"/>
    <w:rsid w:val="00C44837"/>
    <w:rsid w:val="00C44A5C"/>
    <w:rsid w:val="00C44B9A"/>
    <w:rsid w:val="00C46779"/>
    <w:rsid w:val="00C46C7A"/>
    <w:rsid w:val="00C541AC"/>
    <w:rsid w:val="00C546D2"/>
    <w:rsid w:val="00C54EDA"/>
    <w:rsid w:val="00C5582A"/>
    <w:rsid w:val="00C55E55"/>
    <w:rsid w:val="00C56F63"/>
    <w:rsid w:val="00C571C0"/>
    <w:rsid w:val="00C57EBA"/>
    <w:rsid w:val="00C60483"/>
    <w:rsid w:val="00C60D55"/>
    <w:rsid w:val="00C60ED6"/>
    <w:rsid w:val="00C61BDB"/>
    <w:rsid w:val="00C61CC6"/>
    <w:rsid w:val="00C62818"/>
    <w:rsid w:val="00C66474"/>
    <w:rsid w:val="00C66954"/>
    <w:rsid w:val="00C66F8F"/>
    <w:rsid w:val="00C700C0"/>
    <w:rsid w:val="00C702A7"/>
    <w:rsid w:val="00C71899"/>
    <w:rsid w:val="00C718D7"/>
    <w:rsid w:val="00C7275E"/>
    <w:rsid w:val="00C72AE8"/>
    <w:rsid w:val="00C73466"/>
    <w:rsid w:val="00C74EF5"/>
    <w:rsid w:val="00C75A32"/>
    <w:rsid w:val="00C766A6"/>
    <w:rsid w:val="00C77721"/>
    <w:rsid w:val="00C80AE6"/>
    <w:rsid w:val="00C811F9"/>
    <w:rsid w:val="00C81294"/>
    <w:rsid w:val="00C82845"/>
    <w:rsid w:val="00C83C83"/>
    <w:rsid w:val="00C84123"/>
    <w:rsid w:val="00C84C1E"/>
    <w:rsid w:val="00C84ECF"/>
    <w:rsid w:val="00C85C61"/>
    <w:rsid w:val="00C86BDE"/>
    <w:rsid w:val="00C91534"/>
    <w:rsid w:val="00C9461F"/>
    <w:rsid w:val="00C94C2F"/>
    <w:rsid w:val="00C977B4"/>
    <w:rsid w:val="00CA0547"/>
    <w:rsid w:val="00CA060C"/>
    <w:rsid w:val="00CA1937"/>
    <w:rsid w:val="00CA230B"/>
    <w:rsid w:val="00CA2749"/>
    <w:rsid w:val="00CA302A"/>
    <w:rsid w:val="00CA465E"/>
    <w:rsid w:val="00CA4B96"/>
    <w:rsid w:val="00CA619F"/>
    <w:rsid w:val="00CB0DBB"/>
    <w:rsid w:val="00CB472C"/>
    <w:rsid w:val="00CB484B"/>
    <w:rsid w:val="00CB51B9"/>
    <w:rsid w:val="00CB6F40"/>
    <w:rsid w:val="00CC2061"/>
    <w:rsid w:val="00CC354F"/>
    <w:rsid w:val="00CC4C97"/>
    <w:rsid w:val="00CC5641"/>
    <w:rsid w:val="00CC5F8B"/>
    <w:rsid w:val="00CD0329"/>
    <w:rsid w:val="00CD63BD"/>
    <w:rsid w:val="00CE00A3"/>
    <w:rsid w:val="00CE2E67"/>
    <w:rsid w:val="00CE4235"/>
    <w:rsid w:val="00CE4978"/>
    <w:rsid w:val="00CE7611"/>
    <w:rsid w:val="00CF1298"/>
    <w:rsid w:val="00CF1A38"/>
    <w:rsid w:val="00CF3BD0"/>
    <w:rsid w:val="00CF4285"/>
    <w:rsid w:val="00CF533B"/>
    <w:rsid w:val="00CF5DCF"/>
    <w:rsid w:val="00CF5E3C"/>
    <w:rsid w:val="00D02001"/>
    <w:rsid w:val="00D02BA1"/>
    <w:rsid w:val="00D03046"/>
    <w:rsid w:val="00D05264"/>
    <w:rsid w:val="00D05761"/>
    <w:rsid w:val="00D06631"/>
    <w:rsid w:val="00D07B3A"/>
    <w:rsid w:val="00D1142A"/>
    <w:rsid w:val="00D11E48"/>
    <w:rsid w:val="00D1446B"/>
    <w:rsid w:val="00D151BA"/>
    <w:rsid w:val="00D158B6"/>
    <w:rsid w:val="00D159FA"/>
    <w:rsid w:val="00D16341"/>
    <w:rsid w:val="00D215B7"/>
    <w:rsid w:val="00D22E49"/>
    <w:rsid w:val="00D23611"/>
    <w:rsid w:val="00D23D44"/>
    <w:rsid w:val="00D23E0B"/>
    <w:rsid w:val="00D25058"/>
    <w:rsid w:val="00D25EC2"/>
    <w:rsid w:val="00D2741E"/>
    <w:rsid w:val="00D27FAD"/>
    <w:rsid w:val="00D34B2D"/>
    <w:rsid w:val="00D3550D"/>
    <w:rsid w:val="00D35B58"/>
    <w:rsid w:val="00D36FDC"/>
    <w:rsid w:val="00D40196"/>
    <w:rsid w:val="00D4164C"/>
    <w:rsid w:val="00D422B3"/>
    <w:rsid w:val="00D4392D"/>
    <w:rsid w:val="00D43CAA"/>
    <w:rsid w:val="00D44135"/>
    <w:rsid w:val="00D4641A"/>
    <w:rsid w:val="00D513C3"/>
    <w:rsid w:val="00D53DB8"/>
    <w:rsid w:val="00D5441E"/>
    <w:rsid w:val="00D56072"/>
    <w:rsid w:val="00D561F5"/>
    <w:rsid w:val="00D567C2"/>
    <w:rsid w:val="00D56FF7"/>
    <w:rsid w:val="00D60578"/>
    <w:rsid w:val="00D60D3B"/>
    <w:rsid w:val="00D637A1"/>
    <w:rsid w:val="00D67CD9"/>
    <w:rsid w:val="00D70816"/>
    <w:rsid w:val="00D72A2E"/>
    <w:rsid w:val="00D730F4"/>
    <w:rsid w:val="00D73430"/>
    <w:rsid w:val="00D74363"/>
    <w:rsid w:val="00D76951"/>
    <w:rsid w:val="00D779D7"/>
    <w:rsid w:val="00D80077"/>
    <w:rsid w:val="00D802B2"/>
    <w:rsid w:val="00D80AB9"/>
    <w:rsid w:val="00D80E4D"/>
    <w:rsid w:val="00D81515"/>
    <w:rsid w:val="00D8206A"/>
    <w:rsid w:val="00D824F0"/>
    <w:rsid w:val="00D83C97"/>
    <w:rsid w:val="00D83D62"/>
    <w:rsid w:val="00D84218"/>
    <w:rsid w:val="00D849D7"/>
    <w:rsid w:val="00D84F00"/>
    <w:rsid w:val="00D859D3"/>
    <w:rsid w:val="00D85F9D"/>
    <w:rsid w:val="00D86952"/>
    <w:rsid w:val="00D906B4"/>
    <w:rsid w:val="00D92F8F"/>
    <w:rsid w:val="00D93F46"/>
    <w:rsid w:val="00D965BB"/>
    <w:rsid w:val="00D9666D"/>
    <w:rsid w:val="00D979E2"/>
    <w:rsid w:val="00D97AA0"/>
    <w:rsid w:val="00DA167E"/>
    <w:rsid w:val="00DA25D1"/>
    <w:rsid w:val="00DA2786"/>
    <w:rsid w:val="00DA43D6"/>
    <w:rsid w:val="00DA5137"/>
    <w:rsid w:val="00DA53AB"/>
    <w:rsid w:val="00DB03F9"/>
    <w:rsid w:val="00DB3A8D"/>
    <w:rsid w:val="00DB4BD5"/>
    <w:rsid w:val="00DC1E66"/>
    <w:rsid w:val="00DC2339"/>
    <w:rsid w:val="00DC2EA2"/>
    <w:rsid w:val="00DC489E"/>
    <w:rsid w:val="00DC7800"/>
    <w:rsid w:val="00DD3AAC"/>
    <w:rsid w:val="00DD6DB0"/>
    <w:rsid w:val="00DE01BE"/>
    <w:rsid w:val="00DE10BB"/>
    <w:rsid w:val="00DE1471"/>
    <w:rsid w:val="00DE4778"/>
    <w:rsid w:val="00DE6A79"/>
    <w:rsid w:val="00DE73DC"/>
    <w:rsid w:val="00DF060F"/>
    <w:rsid w:val="00DF3F8D"/>
    <w:rsid w:val="00DF45CF"/>
    <w:rsid w:val="00DF503B"/>
    <w:rsid w:val="00DF5076"/>
    <w:rsid w:val="00DF7225"/>
    <w:rsid w:val="00E003F8"/>
    <w:rsid w:val="00E015BD"/>
    <w:rsid w:val="00E01950"/>
    <w:rsid w:val="00E0223E"/>
    <w:rsid w:val="00E0297A"/>
    <w:rsid w:val="00E03D73"/>
    <w:rsid w:val="00E04359"/>
    <w:rsid w:val="00E04C89"/>
    <w:rsid w:val="00E054BE"/>
    <w:rsid w:val="00E11279"/>
    <w:rsid w:val="00E13758"/>
    <w:rsid w:val="00E13FCB"/>
    <w:rsid w:val="00E147CB"/>
    <w:rsid w:val="00E1520B"/>
    <w:rsid w:val="00E224A7"/>
    <w:rsid w:val="00E25370"/>
    <w:rsid w:val="00E25418"/>
    <w:rsid w:val="00E26A09"/>
    <w:rsid w:val="00E302E7"/>
    <w:rsid w:val="00E304F9"/>
    <w:rsid w:val="00E32DCB"/>
    <w:rsid w:val="00E33071"/>
    <w:rsid w:val="00E34FB0"/>
    <w:rsid w:val="00E3518F"/>
    <w:rsid w:val="00E37ED0"/>
    <w:rsid w:val="00E41833"/>
    <w:rsid w:val="00E4317A"/>
    <w:rsid w:val="00E43296"/>
    <w:rsid w:val="00E43D3F"/>
    <w:rsid w:val="00E44534"/>
    <w:rsid w:val="00E45812"/>
    <w:rsid w:val="00E543F8"/>
    <w:rsid w:val="00E54DAA"/>
    <w:rsid w:val="00E561A4"/>
    <w:rsid w:val="00E60BF9"/>
    <w:rsid w:val="00E61360"/>
    <w:rsid w:val="00E61843"/>
    <w:rsid w:val="00E63100"/>
    <w:rsid w:val="00E637B5"/>
    <w:rsid w:val="00E6424D"/>
    <w:rsid w:val="00E65A78"/>
    <w:rsid w:val="00E67153"/>
    <w:rsid w:val="00E70F4E"/>
    <w:rsid w:val="00E7109A"/>
    <w:rsid w:val="00E71A0D"/>
    <w:rsid w:val="00E72BA5"/>
    <w:rsid w:val="00E74685"/>
    <w:rsid w:val="00E74A85"/>
    <w:rsid w:val="00E74ACB"/>
    <w:rsid w:val="00E75170"/>
    <w:rsid w:val="00E75CF3"/>
    <w:rsid w:val="00E77687"/>
    <w:rsid w:val="00E7770F"/>
    <w:rsid w:val="00E77E5E"/>
    <w:rsid w:val="00E806AA"/>
    <w:rsid w:val="00E82A5F"/>
    <w:rsid w:val="00E863ED"/>
    <w:rsid w:val="00E86774"/>
    <w:rsid w:val="00E9028E"/>
    <w:rsid w:val="00E906A9"/>
    <w:rsid w:val="00E91DFE"/>
    <w:rsid w:val="00E92469"/>
    <w:rsid w:val="00E93FD1"/>
    <w:rsid w:val="00E94035"/>
    <w:rsid w:val="00E946C3"/>
    <w:rsid w:val="00E94F07"/>
    <w:rsid w:val="00E94F70"/>
    <w:rsid w:val="00E95F13"/>
    <w:rsid w:val="00E9794D"/>
    <w:rsid w:val="00EA14E3"/>
    <w:rsid w:val="00EA1AF8"/>
    <w:rsid w:val="00EA2A53"/>
    <w:rsid w:val="00EA2B6A"/>
    <w:rsid w:val="00EA391A"/>
    <w:rsid w:val="00EA6197"/>
    <w:rsid w:val="00EA72CD"/>
    <w:rsid w:val="00EB0650"/>
    <w:rsid w:val="00EB3CD7"/>
    <w:rsid w:val="00EB5EEB"/>
    <w:rsid w:val="00EC06ED"/>
    <w:rsid w:val="00EC27C4"/>
    <w:rsid w:val="00EC567E"/>
    <w:rsid w:val="00EC6168"/>
    <w:rsid w:val="00EC79D7"/>
    <w:rsid w:val="00ED0988"/>
    <w:rsid w:val="00ED1734"/>
    <w:rsid w:val="00ED1882"/>
    <w:rsid w:val="00ED1D0D"/>
    <w:rsid w:val="00ED5BEB"/>
    <w:rsid w:val="00ED5BF6"/>
    <w:rsid w:val="00ED611E"/>
    <w:rsid w:val="00EE1E85"/>
    <w:rsid w:val="00EE27B5"/>
    <w:rsid w:val="00EE3993"/>
    <w:rsid w:val="00EE410A"/>
    <w:rsid w:val="00EE5992"/>
    <w:rsid w:val="00EE5A82"/>
    <w:rsid w:val="00EE625A"/>
    <w:rsid w:val="00EE634E"/>
    <w:rsid w:val="00EF2FE5"/>
    <w:rsid w:val="00EF3056"/>
    <w:rsid w:val="00EF4D67"/>
    <w:rsid w:val="00EF5605"/>
    <w:rsid w:val="00EF5741"/>
    <w:rsid w:val="00EF5982"/>
    <w:rsid w:val="00EF6E7B"/>
    <w:rsid w:val="00EF757F"/>
    <w:rsid w:val="00EF7D4B"/>
    <w:rsid w:val="00EF7DAC"/>
    <w:rsid w:val="00F0025F"/>
    <w:rsid w:val="00F01801"/>
    <w:rsid w:val="00F02C6B"/>
    <w:rsid w:val="00F045F3"/>
    <w:rsid w:val="00F04FFD"/>
    <w:rsid w:val="00F14176"/>
    <w:rsid w:val="00F14B03"/>
    <w:rsid w:val="00F15CF3"/>
    <w:rsid w:val="00F15E97"/>
    <w:rsid w:val="00F166A0"/>
    <w:rsid w:val="00F173A1"/>
    <w:rsid w:val="00F1794D"/>
    <w:rsid w:val="00F17AA5"/>
    <w:rsid w:val="00F2090A"/>
    <w:rsid w:val="00F24539"/>
    <w:rsid w:val="00F24848"/>
    <w:rsid w:val="00F24D1A"/>
    <w:rsid w:val="00F2600F"/>
    <w:rsid w:val="00F276B3"/>
    <w:rsid w:val="00F27BFA"/>
    <w:rsid w:val="00F3046A"/>
    <w:rsid w:val="00F3079E"/>
    <w:rsid w:val="00F31CA8"/>
    <w:rsid w:val="00F33F5B"/>
    <w:rsid w:val="00F3491C"/>
    <w:rsid w:val="00F3720B"/>
    <w:rsid w:val="00F372A6"/>
    <w:rsid w:val="00F40319"/>
    <w:rsid w:val="00F4476A"/>
    <w:rsid w:val="00F47356"/>
    <w:rsid w:val="00F473F9"/>
    <w:rsid w:val="00F4786F"/>
    <w:rsid w:val="00F50B29"/>
    <w:rsid w:val="00F50CC9"/>
    <w:rsid w:val="00F51CF0"/>
    <w:rsid w:val="00F5510D"/>
    <w:rsid w:val="00F60736"/>
    <w:rsid w:val="00F615FB"/>
    <w:rsid w:val="00F61742"/>
    <w:rsid w:val="00F61D6D"/>
    <w:rsid w:val="00F6362A"/>
    <w:rsid w:val="00F63956"/>
    <w:rsid w:val="00F63F75"/>
    <w:rsid w:val="00F64363"/>
    <w:rsid w:val="00F65564"/>
    <w:rsid w:val="00F6556F"/>
    <w:rsid w:val="00F678F6"/>
    <w:rsid w:val="00F70A35"/>
    <w:rsid w:val="00F70FEB"/>
    <w:rsid w:val="00F71641"/>
    <w:rsid w:val="00F72757"/>
    <w:rsid w:val="00F72DD9"/>
    <w:rsid w:val="00F745C4"/>
    <w:rsid w:val="00F80FF1"/>
    <w:rsid w:val="00F830FF"/>
    <w:rsid w:val="00F84473"/>
    <w:rsid w:val="00F85698"/>
    <w:rsid w:val="00F8584E"/>
    <w:rsid w:val="00F91596"/>
    <w:rsid w:val="00F91ABB"/>
    <w:rsid w:val="00F937A2"/>
    <w:rsid w:val="00F93FA8"/>
    <w:rsid w:val="00F96E1B"/>
    <w:rsid w:val="00F97F06"/>
    <w:rsid w:val="00FA209B"/>
    <w:rsid w:val="00FA37F7"/>
    <w:rsid w:val="00FA6500"/>
    <w:rsid w:val="00FA69A6"/>
    <w:rsid w:val="00FA6CF7"/>
    <w:rsid w:val="00FA7242"/>
    <w:rsid w:val="00FB2441"/>
    <w:rsid w:val="00FB3F48"/>
    <w:rsid w:val="00FB4E30"/>
    <w:rsid w:val="00FB5008"/>
    <w:rsid w:val="00FB5B96"/>
    <w:rsid w:val="00FC018E"/>
    <w:rsid w:val="00FC027D"/>
    <w:rsid w:val="00FC0DAD"/>
    <w:rsid w:val="00FC0E51"/>
    <w:rsid w:val="00FC1072"/>
    <w:rsid w:val="00FC1953"/>
    <w:rsid w:val="00FC221B"/>
    <w:rsid w:val="00FC3BED"/>
    <w:rsid w:val="00FC3FC6"/>
    <w:rsid w:val="00FC408E"/>
    <w:rsid w:val="00FC661C"/>
    <w:rsid w:val="00FD04FF"/>
    <w:rsid w:val="00FD0571"/>
    <w:rsid w:val="00FD0C7A"/>
    <w:rsid w:val="00FD15EF"/>
    <w:rsid w:val="00FD1C2F"/>
    <w:rsid w:val="00FD25F4"/>
    <w:rsid w:val="00FD377D"/>
    <w:rsid w:val="00FD4C4A"/>
    <w:rsid w:val="00FD6F88"/>
    <w:rsid w:val="00FE0EC1"/>
    <w:rsid w:val="00FE0F7F"/>
    <w:rsid w:val="00FE1D87"/>
    <w:rsid w:val="00FE368F"/>
    <w:rsid w:val="00FE4BB5"/>
    <w:rsid w:val="00FE4EAA"/>
    <w:rsid w:val="00FE583C"/>
    <w:rsid w:val="00FE6287"/>
    <w:rsid w:val="00FF0571"/>
    <w:rsid w:val="00FF191A"/>
    <w:rsid w:val="00FF2E43"/>
    <w:rsid w:val="00FF4315"/>
    <w:rsid w:val="00FF4D0F"/>
    <w:rsid w:val="00FF5A46"/>
    <w:rsid w:val="00FF665D"/>
    <w:rsid w:val="0A6C136B"/>
    <w:rsid w:val="177F7BD7"/>
    <w:rsid w:val="25CB55DB"/>
    <w:rsid w:val="313F47C3"/>
    <w:rsid w:val="3DB650EC"/>
    <w:rsid w:val="558A3B85"/>
    <w:rsid w:val="59F2757B"/>
    <w:rsid w:val="5D5C52AD"/>
    <w:rsid w:val="5DEA26D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2A4BFFB3"/>
  <w14:defaultImageDpi w14:val="32767"/>
  <w15:docId w15:val="{C3BD9A20-8A10-4D8E-8856-44C991F91F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uiPriority="0" w:qFormat="1"/>
    <w:lsdException w:name="footnote text" w:semiHidden="1" w:uiPriority="0" w:qFormat="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445E20"/>
    <w:pPr>
      <w:widowControl w:val="0"/>
      <w:jc w:val="both"/>
    </w:pPr>
    <w:rPr>
      <w:color w:val="000000" w:themeColor="text1"/>
      <w:sz w:val="21"/>
      <w:szCs w:val="21"/>
    </w:rPr>
  </w:style>
  <w:style w:type="paragraph" w:styleId="1">
    <w:name w:val="heading 1"/>
    <w:basedOn w:val="a"/>
    <w:next w:val="a"/>
    <w:link w:val="10"/>
    <w:uiPriority w:val="9"/>
    <w:qFormat/>
    <w:pPr>
      <w:keepNext/>
      <w:keepLines/>
      <w:spacing w:before="340" w:after="330" w:line="578" w:lineRule="auto"/>
      <w:outlineLvl w:val="0"/>
    </w:pPr>
    <w:rPr>
      <w:b/>
      <w:bCs/>
      <w:kern w:val="44"/>
      <w:sz w:val="44"/>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Indent"/>
    <w:basedOn w:val="a"/>
    <w:qFormat/>
    <w:pPr>
      <w:snapToGrid w:val="0"/>
      <w:spacing w:line="245" w:lineRule="auto"/>
      <w:ind w:firstLineChars="200" w:firstLine="420"/>
    </w:pPr>
    <w:rPr>
      <w:rFonts w:eastAsia="方正书宋简体"/>
      <w:color w:val="auto"/>
      <w:spacing w:val="4"/>
      <w:kern w:val="2"/>
      <w:sz w:val="20"/>
      <w:szCs w:val="20"/>
    </w:rPr>
  </w:style>
  <w:style w:type="paragraph" w:styleId="a4">
    <w:name w:val="annotation text"/>
    <w:basedOn w:val="a"/>
    <w:link w:val="a5"/>
    <w:uiPriority w:val="99"/>
    <w:unhideWhenUsed/>
    <w:qFormat/>
    <w:pPr>
      <w:jc w:val="left"/>
    </w:pPr>
  </w:style>
  <w:style w:type="paragraph" w:styleId="a6">
    <w:name w:val="footer"/>
    <w:basedOn w:val="a"/>
    <w:link w:val="a7"/>
    <w:uiPriority w:val="99"/>
    <w:unhideWhenUsed/>
    <w:qFormat/>
    <w:pPr>
      <w:tabs>
        <w:tab w:val="center" w:pos="4153"/>
        <w:tab w:val="right" w:pos="8306"/>
      </w:tabs>
      <w:snapToGrid w:val="0"/>
      <w:jc w:val="left"/>
    </w:pPr>
    <w:rPr>
      <w:sz w:val="18"/>
      <w:szCs w:val="18"/>
    </w:rPr>
  </w:style>
  <w:style w:type="paragraph" w:styleId="a8">
    <w:name w:val="header"/>
    <w:basedOn w:val="a"/>
    <w:link w:val="a9"/>
    <w:uiPriority w:val="99"/>
    <w:unhideWhenUsed/>
    <w:qFormat/>
    <w:pPr>
      <w:pBdr>
        <w:bottom w:val="single" w:sz="6" w:space="1" w:color="auto"/>
      </w:pBdr>
      <w:tabs>
        <w:tab w:val="center" w:pos="4153"/>
        <w:tab w:val="right" w:pos="8306"/>
      </w:tabs>
      <w:snapToGrid w:val="0"/>
      <w:jc w:val="center"/>
    </w:pPr>
    <w:rPr>
      <w:sz w:val="18"/>
      <w:szCs w:val="18"/>
    </w:rPr>
  </w:style>
  <w:style w:type="paragraph" w:styleId="aa">
    <w:name w:val="footnote text"/>
    <w:basedOn w:val="a"/>
    <w:link w:val="ab"/>
    <w:semiHidden/>
    <w:qFormat/>
    <w:pPr>
      <w:snapToGrid w:val="0"/>
      <w:jc w:val="left"/>
    </w:pPr>
    <w:rPr>
      <w:color w:val="auto"/>
      <w:kern w:val="2"/>
      <w:sz w:val="18"/>
      <w:szCs w:val="18"/>
    </w:rPr>
  </w:style>
  <w:style w:type="paragraph" w:styleId="ac">
    <w:name w:val="Normal (Web)"/>
    <w:basedOn w:val="a"/>
    <w:uiPriority w:val="99"/>
    <w:unhideWhenUsed/>
    <w:qFormat/>
    <w:rPr>
      <w:sz w:val="24"/>
    </w:rPr>
  </w:style>
  <w:style w:type="paragraph" w:styleId="ad">
    <w:name w:val="annotation subject"/>
    <w:basedOn w:val="a4"/>
    <w:next w:val="a4"/>
    <w:link w:val="ae"/>
    <w:uiPriority w:val="99"/>
    <w:semiHidden/>
    <w:unhideWhenUsed/>
    <w:qFormat/>
    <w:rPr>
      <w:b/>
      <w:bCs/>
    </w:rPr>
  </w:style>
  <w:style w:type="table" w:styleId="af">
    <w:name w:val="Table Grid"/>
    <w:basedOn w:val="a1"/>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Hyperlink"/>
    <w:basedOn w:val="a0"/>
    <w:uiPriority w:val="99"/>
    <w:unhideWhenUsed/>
    <w:qFormat/>
    <w:rPr>
      <w:color w:val="0000FF"/>
      <w:u w:val="single"/>
    </w:rPr>
  </w:style>
  <w:style w:type="character" w:styleId="af1">
    <w:name w:val="annotation reference"/>
    <w:basedOn w:val="a0"/>
    <w:uiPriority w:val="99"/>
    <w:semiHidden/>
    <w:unhideWhenUsed/>
    <w:qFormat/>
    <w:rPr>
      <w:sz w:val="21"/>
      <w:szCs w:val="21"/>
    </w:rPr>
  </w:style>
  <w:style w:type="paragraph" w:styleId="af2">
    <w:name w:val="List Paragraph"/>
    <w:basedOn w:val="a"/>
    <w:uiPriority w:val="34"/>
    <w:qFormat/>
    <w:pPr>
      <w:ind w:firstLineChars="200" w:firstLine="420"/>
    </w:pPr>
  </w:style>
  <w:style w:type="character" w:customStyle="1" w:styleId="a9">
    <w:name w:val="页眉 字符"/>
    <w:basedOn w:val="a0"/>
    <w:link w:val="a8"/>
    <w:uiPriority w:val="99"/>
    <w:qFormat/>
    <w:rPr>
      <w:sz w:val="18"/>
      <w:szCs w:val="18"/>
    </w:rPr>
  </w:style>
  <w:style w:type="character" w:customStyle="1" w:styleId="a7">
    <w:name w:val="页脚 字符"/>
    <w:basedOn w:val="a0"/>
    <w:link w:val="a6"/>
    <w:uiPriority w:val="99"/>
    <w:qFormat/>
    <w:rPr>
      <w:sz w:val="18"/>
      <w:szCs w:val="18"/>
    </w:rPr>
  </w:style>
  <w:style w:type="character" w:customStyle="1" w:styleId="a5">
    <w:name w:val="批注文字 字符"/>
    <w:basedOn w:val="a0"/>
    <w:link w:val="a4"/>
    <w:uiPriority w:val="99"/>
    <w:qFormat/>
  </w:style>
  <w:style w:type="character" w:customStyle="1" w:styleId="ae">
    <w:name w:val="批注主题 字符"/>
    <w:basedOn w:val="a5"/>
    <w:link w:val="ad"/>
    <w:uiPriority w:val="99"/>
    <w:semiHidden/>
    <w:qFormat/>
    <w:rPr>
      <w:b/>
      <w:bCs/>
    </w:rPr>
  </w:style>
  <w:style w:type="character" w:customStyle="1" w:styleId="cf01">
    <w:name w:val="cf01"/>
    <w:basedOn w:val="a0"/>
    <w:qFormat/>
    <w:rPr>
      <w:rFonts w:ascii="Microsoft YaHei UI" w:eastAsia="Microsoft YaHei UI" w:hAnsi="Microsoft YaHei UI" w:hint="eastAsia"/>
      <w:sz w:val="18"/>
      <w:szCs w:val="18"/>
    </w:rPr>
  </w:style>
  <w:style w:type="character" w:customStyle="1" w:styleId="10">
    <w:name w:val="标题 1 字符"/>
    <w:basedOn w:val="a0"/>
    <w:link w:val="1"/>
    <w:uiPriority w:val="9"/>
    <w:qFormat/>
    <w:rPr>
      <w:b/>
      <w:bCs/>
      <w:kern w:val="44"/>
      <w:sz w:val="44"/>
      <w:szCs w:val="44"/>
    </w:rPr>
  </w:style>
  <w:style w:type="paragraph" w:customStyle="1" w:styleId="EndNoteBibliographyTitle">
    <w:name w:val="EndNote Bibliography Title"/>
    <w:basedOn w:val="a"/>
    <w:link w:val="EndNoteBibliographyTitle0"/>
    <w:qFormat/>
    <w:pPr>
      <w:jc w:val="center"/>
    </w:pPr>
    <w:rPr>
      <w:sz w:val="16"/>
    </w:rPr>
  </w:style>
  <w:style w:type="character" w:customStyle="1" w:styleId="EndNoteBibliographyTitle0">
    <w:name w:val="EndNote Bibliography Title 字符"/>
    <w:basedOn w:val="a0"/>
    <w:link w:val="EndNoteBibliographyTitle"/>
    <w:qFormat/>
    <w:rPr>
      <w:color w:val="000000" w:themeColor="text1"/>
      <w:sz w:val="16"/>
      <w:szCs w:val="21"/>
    </w:rPr>
  </w:style>
  <w:style w:type="paragraph" w:customStyle="1" w:styleId="EndNoteBibliography">
    <w:name w:val="EndNote Bibliography"/>
    <w:basedOn w:val="a"/>
    <w:link w:val="EndNoteBibliography0"/>
    <w:qFormat/>
    <w:rPr>
      <w:sz w:val="16"/>
    </w:rPr>
  </w:style>
  <w:style w:type="character" w:customStyle="1" w:styleId="EndNoteBibliography0">
    <w:name w:val="EndNote Bibliography 字符"/>
    <w:basedOn w:val="a0"/>
    <w:link w:val="EndNoteBibliography"/>
    <w:qFormat/>
    <w:rPr>
      <w:color w:val="000000" w:themeColor="text1"/>
      <w:sz w:val="16"/>
      <w:szCs w:val="21"/>
    </w:rPr>
  </w:style>
  <w:style w:type="paragraph" w:customStyle="1" w:styleId="11106">
    <w:name w:val="样式 样式 样式 文题 + + + 段前: 1 行 段后: 1 行 行距: 多倍行距 1.06 字行"/>
    <w:basedOn w:val="1"/>
    <w:qFormat/>
    <w:pPr>
      <w:spacing w:before="360" w:after="120" w:line="254" w:lineRule="auto"/>
      <w:jc w:val="center"/>
    </w:pPr>
    <w:rPr>
      <w:rFonts w:eastAsia="Times New Roman"/>
      <w:b w:val="0"/>
      <w:bCs w:val="0"/>
      <w:color w:val="auto"/>
      <w:spacing w:val="4"/>
      <w:szCs w:val="20"/>
    </w:rPr>
  </w:style>
  <w:style w:type="character" w:customStyle="1" w:styleId="11">
    <w:name w:val="未处理的提及1"/>
    <w:basedOn w:val="a0"/>
    <w:uiPriority w:val="99"/>
    <w:semiHidden/>
    <w:unhideWhenUsed/>
    <w:qFormat/>
    <w:rPr>
      <w:color w:val="605E5C"/>
      <w:shd w:val="clear" w:color="auto" w:fill="E1DFDD"/>
    </w:rPr>
  </w:style>
  <w:style w:type="character" w:customStyle="1" w:styleId="ab">
    <w:name w:val="脚注文本 字符"/>
    <w:basedOn w:val="a0"/>
    <w:link w:val="aa"/>
    <w:semiHidden/>
    <w:qFormat/>
    <w:rPr>
      <w:color w:val="auto"/>
      <w:kern w:val="2"/>
      <w:sz w:val="18"/>
      <w:szCs w:val="18"/>
    </w:rPr>
  </w:style>
  <w:style w:type="paragraph" w:customStyle="1" w:styleId="2GB2312GB2312-40">
    <w:name w:val="样式 样式2 + (西文) 楷体_GB2312 (中文) 楷体_GB2312 灰色-40%"/>
    <w:basedOn w:val="a"/>
    <w:link w:val="2GB2312GB2312-40Char"/>
    <w:qFormat/>
    <w:pPr>
      <w:widowControl/>
      <w:snapToGrid w:val="0"/>
      <w:ind w:left="454" w:right="454"/>
    </w:pPr>
    <w:rPr>
      <w:rFonts w:eastAsia="方正楷体简体"/>
      <w:color w:val="999999"/>
      <w:sz w:val="20"/>
      <w:szCs w:val="20"/>
    </w:rPr>
  </w:style>
  <w:style w:type="character" w:customStyle="1" w:styleId="2GB2312GB2312-40Char">
    <w:name w:val="样式 样式2 + (西文) 楷体_GB2312 (中文) 楷体_GB2312 灰色-40% Char"/>
    <w:link w:val="2GB2312GB2312-40"/>
    <w:qFormat/>
    <w:rPr>
      <w:rFonts w:eastAsia="方正楷体简体"/>
      <w:color w:val="999999"/>
      <w:sz w:val="20"/>
      <w:szCs w:val="20"/>
    </w:rPr>
  </w:style>
  <w:style w:type="character" w:customStyle="1" w:styleId="2">
    <w:name w:val="未处理的提及2"/>
    <w:basedOn w:val="a0"/>
    <w:uiPriority w:val="99"/>
    <w:semiHidden/>
    <w:unhideWhenUsed/>
    <w:qFormat/>
    <w:rPr>
      <w:color w:val="605E5C"/>
      <w:shd w:val="clear" w:color="auto" w:fill="E1DFDD"/>
    </w:rPr>
  </w:style>
  <w:style w:type="paragraph" w:customStyle="1" w:styleId="af3">
    <w:basedOn w:val="a"/>
    <w:next w:val="af2"/>
    <w:uiPriority w:val="34"/>
    <w:qFormat/>
    <w:rsid w:val="0007022C"/>
    <w:pPr>
      <w:ind w:firstLineChars="200" w:firstLine="420"/>
    </w:pPr>
    <w:rPr>
      <w:rFonts w:ascii="Calibri" w:hAnsi="Calibri"/>
      <w:color w:val="auto"/>
      <w:kern w:val="2"/>
      <w:szCs w:val="22"/>
    </w:rPr>
  </w:style>
  <w:style w:type="paragraph" w:styleId="af4">
    <w:name w:val="Balloon Text"/>
    <w:basedOn w:val="a"/>
    <w:link w:val="af5"/>
    <w:uiPriority w:val="99"/>
    <w:semiHidden/>
    <w:unhideWhenUsed/>
    <w:rsid w:val="00FC3BED"/>
    <w:rPr>
      <w:sz w:val="18"/>
      <w:szCs w:val="18"/>
    </w:rPr>
  </w:style>
  <w:style w:type="character" w:customStyle="1" w:styleId="af5">
    <w:name w:val="批注框文本 字符"/>
    <w:basedOn w:val="a0"/>
    <w:link w:val="af4"/>
    <w:uiPriority w:val="99"/>
    <w:semiHidden/>
    <w:rsid w:val="00FC3BED"/>
    <w:rPr>
      <w:color w:val="000000" w:themeColor="text1"/>
      <w:sz w:val="18"/>
      <w:szCs w:val="18"/>
    </w:rPr>
  </w:style>
  <w:style w:type="character" w:styleId="af6">
    <w:name w:val="Emphasis"/>
    <w:basedOn w:val="a0"/>
    <w:uiPriority w:val="20"/>
    <w:qFormat/>
    <w:rsid w:val="00A00960"/>
    <w:rPr>
      <w:i/>
      <w:iCs/>
    </w:rPr>
  </w:style>
  <w:style w:type="character" w:styleId="af7">
    <w:name w:val="Strong"/>
    <w:basedOn w:val="a0"/>
    <w:uiPriority w:val="22"/>
    <w:qFormat/>
    <w:rsid w:val="005757F5"/>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relyOnVML/>
  <w:allowPNG/>
</w:webSettings>
</file>

<file path=word/_rels/document.xml.rels><?xml version="1.0" encoding="UTF-8" standalone="yes"?>
<Relationships xmlns="http://schemas.openxmlformats.org/package/2006/relationships"><Relationship Id="rId13" Type="http://schemas.openxmlformats.org/officeDocument/2006/relationships/oleObject" Target="embeddings/oleObject2.bin"/><Relationship Id="rId18" Type="http://schemas.openxmlformats.org/officeDocument/2006/relationships/image" Target="media/image7.wmf"/><Relationship Id="rId26" Type="http://schemas.openxmlformats.org/officeDocument/2006/relationships/image" Target="media/image11.emf"/><Relationship Id="rId39" Type="http://schemas.openxmlformats.org/officeDocument/2006/relationships/package" Target="embeddings/Microsoft_Visio___11.vsdx"/><Relationship Id="rId21" Type="http://schemas.openxmlformats.org/officeDocument/2006/relationships/oleObject" Target="embeddings/oleObject4.bin"/><Relationship Id="rId34" Type="http://schemas.openxmlformats.org/officeDocument/2006/relationships/image" Target="media/image15.emf"/><Relationship Id="rId42" Type="http://schemas.openxmlformats.org/officeDocument/2006/relationships/image" Target="media/image19.emf"/><Relationship Id="rId47" Type="http://schemas.openxmlformats.org/officeDocument/2006/relationships/fontTable" Target="fontTable.xml"/><Relationship Id="rId50" Type="http://schemas.microsoft.com/office/2016/09/relationships/commentsIds" Target="commentsIds.xml"/><Relationship Id="rId7" Type="http://schemas.openxmlformats.org/officeDocument/2006/relationships/image" Target="media/image1.jpg"/><Relationship Id="rId2" Type="http://schemas.openxmlformats.org/officeDocument/2006/relationships/styles" Target="styles.xml"/><Relationship Id="rId16" Type="http://schemas.openxmlformats.org/officeDocument/2006/relationships/image" Target="media/image6.emf"/><Relationship Id="rId29" Type="http://schemas.openxmlformats.org/officeDocument/2006/relationships/package" Target="embeddings/Microsoft_Visio___6.vsdx"/><Relationship Id="rId11" Type="http://schemas.openxmlformats.org/officeDocument/2006/relationships/oleObject" Target="embeddings/oleObject1.bin"/><Relationship Id="rId24" Type="http://schemas.openxmlformats.org/officeDocument/2006/relationships/image" Target="media/image10.emf"/><Relationship Id="rId32" Type="http://schemas.openxmlformats.org/officeDocument/2006/relationships/image" Target="media/image14.emf"/><Relationship Id="rId37" Type="http://schemas.openxmlformats.org/officeDocument/2006/relationships/package" Target="embeddings/Microsoft_Visio___10.vsdx"/><Relationship Id="rId40" Type="http://schemas.openxmlformats.org/officeDocument/2006/relationships/image" Target="media/image18.emf"/><Relationship Id="rId45" Type="http://schemas.openxmlformats.org/officeDocument/2006/relationships/package" Target="embeddings/Microsoft_Visio___14.vsdx"/><Relationship Id="rId5" Type="http://schemas.openxmlformats.org/officeDocument/2006/relationships/footnotes" Target="footnotes.xml"/><Relationship Id="rId15" Type="http://schemas.openxmlformats.org/officeDocument/2006/relationships/package" Target="embeddings/Microsoft_Visio___1.vsdx"/><Relationship Id="rId23" Type="http://schemas.openxmlformats.org/officeDocument/2006/relationships/package" Target="embeddings/Microsoft_Visio___3.vsdx"/><Relationship Id="rId28" Type="http://schemas.openxmlformats.org/officeDocument/2006/relationships/image" Target="media/image12.emf"/><Relationship Id="rId36" Type="http://schemas.openxmlformats.org/officeDocument/2006/relationships/image" Target="media/image16.emf"/><Relationship Id="rId49" Type="http://schemas.microsoft.com/office/2018/08/relationships/commentsExtensible" Target="commentsExtensible.xml"/><Relationship Id="rId10" Type="http://schemas.openxmlformats.org/officeDocument/2006/relationships/image" Target="media/image3.wmf"/><Relationship Id="rId19" Type="http://schemas.openxmlformats.org/officeDocument/2006/relationships/oleObject" Target="embeddings/oleObject3.bin"/><Relationship Id="rId31" Type="http://schemas.openxmlformats.org/officeDocument/2006/relationships/package" Target="embeddings/Microsoft_Visio___7.vsdx"/><Relationship Id="rId44" Type="http://schemas.openxmlformats.org/officeDocument/2006/relationships/image" Target="media/image20.emf"/><Relationship Id="rId4" Type="http://schemas.openxmlformats.org/officeDocument/2006/relationships/webSettings" Target="webSettings.xml"/><Relationship Id="rId9" Type="http://schemas.openxmlformats.org/officeDocument/2006/relationships/package" Target="embeddings/Microsoft_Visio___.vsdx"/><Relationship Id="rId14" Type="http://schemas.openxmlformats.org/officeDocument/2006/relationships/image" Target="media/image5.emf"/><Relationship Id="rId22" Type="http://schemas.openxmlformats.org/officeDocument/2006/relationships/image" Target="media/image9.emf"/><Relationship Id="rId27" Type="http://schemas.openxmlformats.org/officeDocument/2006/relationships/package" Target="embeddings/Microsoft_Visio___5.vsdx"/><Relationship Id="rId30" Type="http://schemas.openxmlformats.org/officeDocument/2006/relationships/image" Target="media/image13.emf"/><Relationship Id="rId35" Type="http://schemas.openxmlformats.org/officeDocument/2006/relationships/package" Target="embeddings/Microsoft_Visio___9.vsdx"/><Relationship Id="rId43" Type="http://schemas.openxmlformats.org/officeDocument/2006/relationships/package" Target="embeddings/Microsoft_Visio___13.vsdx"/><Relationship Id="rId48" Type="http://schemas.openxmlformats.org/officeDocument/2006/relationships/theme" Target="theme/theme1.xml"/><Relationship Id="rId8" Type="http://schemas.openxmlformats.org/officeDocument/2006/relationships/image" Target="media/image2.emf"/><Relationship Id="rId3" Type="http://schemas.openxmlformats.org/officeDocument/2006/relationships/settings" Target="settings.xml"/><Relationship Id="rId12" Type="http://schemas.openxmlformats.org/officeDocument/2006/relationships/image" Target="media/image4.wmf"/><Relationship Id="rId17" Type="http://schemas.openxmlformats.org/officeDocument/2006/relationships/package" Target="embeddings/Microsoft_Visio___2.vsdx"/><Relationship Id="rId25" Type="http://schemas.openxmlformats.org/officeDocument/2006/relationships/package" Target="embeddings/Microsoft_Visio___4.vsdx"/><Relationship Id="rId33" Type="http://schemas.openxmlformats.org/officeDocument/2006/relationships/package" Target="embeddings/Microsoft_Visio___8.vsdx"/><Relationship Id="rId38" Type="http://schemas.openxmlformats.org/officeDocument/2006/relationships/image" Target="media/image17.emf"/><Relationship Id="rId46" Type="http://schemas.openxmlformats.org/officeDocument/2006/relationships/image" Target="media/image21.jpg"/><Relationship Id="rId20" Type="http://schemas.openxmlformats.org/officeDocument/2006/relationships/image" Target="media/image8.wmf"/><Relationship Id="rId41" Type="http://schemas.openxmlformats.org/officeDocument/2006/relationships/package" Target="embeddings/Microsoft_Visio___12.vsdx"/><Relationship Id="rId1" Type="http://schemas.openxmlformats.org/officeDocument/2006/relationships/customXml" Target="../customXml/item1.xml"/><Relationship Id="rId6" Type="http://schemas.openxmlformats.org/officeDocument/2006/relationships/endnotes" Target="end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21BE13C-D2F5-4E1E-8786-507A7C02A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2605</Words>
  <Characters>14855</Characters>
  <Application>Microsoft Office Word</Application>
  <DocSecurity>0</DocSecurity>
  <Lines>123</Lines>
  <Paragraphs>34</Paragraphs>
  <ScaleCrop>false</ScaleCrop>
  <Company/>
  <LinksUpToDate>false</LinksUpToDate>
  <CharactersWithSpaces>17426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孟 旭</dc:creator>
  <cp:lastModifiedBy>微软用户</cp:lastModifiedBy>
  <cp:revision>3</cp:revision>
  <cp:lastPrinted>2023-06-28T06:18:00Z</cp:lastPrinted>
  <dcterms:created xsi:type="dcterms:W3CDTF">2023-09-20T00:27:00Z</dcterms:created>
  <dcterms:modified xsi:type="dcterms:W3CDTF">2023-09-20T00:28:00Z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KSOProductBuildVer">
    <vt:lpwstr>2052-11.1.0.14309</vt:lpwstr>
  </property>
  <property fmtid="{D5CDD505-2E9C-101B-9397-08002B2CF9AE}" pid="4" name="ICV">
    <vt:lpwstr>A7D46E4F9813434C869A78659456619B_12</vt:lpwstr>
  </property>
</Properties>
</file>