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967F4" w14:textId="77777777" w:rsidR="00F17155" w:rsidRDefault="00844BEE">
      <w:pPr>
        <w:spacing w:line="240" w:lineRule="auto"/>
        <w:ind w:firstLineChars="0" w:firstLine="0"/>
        <w:jc w:val="center"/>
        <w:rPr>
          <w:b/>
          <w:bCs/>
        </w:rPr>
      </w:pPr>
      <w:r>
        <w:rPr>
          <w:rFonts w:eastAsia="黑体" w:hint="eastAsia"/>
          <w:b/>
          <w:sz w:val="32"/>
          <w:szCs w:val="32"/>
        </w:rPr>
        <w:t>一种</w:t>
      </w:r>
      <w:r>
        <w:rPr>
          <w:rFonts w:eastAsia="黑体" w:hint="eastAsia"/>
          <w:b/>
          <w:sz w:val="32"/>
          <w:szCs w:val="32"/>
        </w:rPr>
        <w:t>ku</w:t>
      </w:r>
      <w:r>
        <w:rPr>
          <w:rFonts w:eastAsia="黑体" w:hint="eastAsia"/>
          <w:b/>
          <w:sz w:val="32"/>
          <w:szCs w:val="32"/>
        </w:rPr>
        <w:t>波段携带轨道角动量的六</w:t>
      </w:r>
      <w:r>
        <w:rPr>
          <w:rFonts w:eastAsia="黑体" w:hint="eastAsia"/>
          <w:b/>
          <w:color w:val="000000" w:themeColor="text1"/>
          <w:sz w:val="32"/>
          <w:szCs w:val="32"/>
        </w:rPr>
        <w:t>边形反射型超表面</w:t>
      </w:r>
    </w:p>
    <w:p w14:paraId="6735A992" w14:textId="77777777" w:rsidR="00F17155" w:rsidRDefault="00844BEE">
      <w:pPr>
        <w:spacing w:line="240" w:lineRule="auto"/>
        <w:ind w:firstLineChars="0" w:firstLine="0"/>
        <w:jc w:val="center"/>
        <w:rPr>
          <w:rFonts w:ascii="楷体" w:eastAsia="楷体" w:hAnsi="楷体" w:cs="楷体"/>
          <w:b/>
        </w:rPr>
      </w:pPr>
      <w:r>
        <w:rPr>
          <w:rFonts w:ascii="楷体_GB2312" w:eastAsia="楷体_GB2312" w:hint="eastAsia"/>
          <w:kern w:val="0"/>
        </w:rPr>
        <w:t>罗熳，冯瑞，谭秋林*</w:t>
      </w:r>
    </w:p>
    <w:p w14:paraId="10B72D25" w14:textId="77777777" w:rsidR="00F17155" w:rsidRDefault="00844BEE">
      <w:pPr>
        <w:spacing w:line="240" w:lineRule="auto"/>
        <w:ind w:firstLineChars="0" w:firstLine="0"/>
        <w:jc w:val="center"/>
        <w:rPr>
          <w:rFonts w:ascii="宋体" w:hAnsi="宋体" w:cs="宋体"/>
          <w:bCs/>
          <w:sz w:val="15"/>
          <w:szCs w:val="15"/>
        </w:rPr>
      </w:pPr>
      <w:r>
        <w:rPr>
          <w:rFonts w:ascii="宋体" w:hAnsi="宋体" w:cs="宋体" w:hint="eastAsia"/>
          <w:bCs/>
          <w:sz w:val="15"/>
          <w:szCs w:val="15"/>
        </w:rPr>
        <w:t>（中北大学 微纳器件与系统教育部重点实验室，太原 030051）</w:t>
      </w:r>
    </w:p>
    <w:p w14:paraId="5E4B9585" w14:textId="77777777" w:rsidR="00F17155" w:rsidRDefault="00F17155">
      <w:pPr>
        <w:spacing w:line="240" w:lineRule="auto"/>
        <w:ind w:firstLineChars="0" w:firstLine="0"/>
        <w:rPr>
          <w:b/>
          <w:bCs/>
        </w:rPr>
      </w:pPr>
    </w:p>
    <w:p w14:paraId="14B3E82F" w14:textId="2E0AC31D" w:rsidR="00F17155" w:rsidRDefault="00844BEE">
      <w:pPr>
        <w:spacing w:line="240" w:lineRule="auto"/>
        <w:ind w:firstLineChars="0" w:firstLine="0"/>
      </w:pPr>
      <w:bookmarkStart w:id="0" w:name="OLE_LINK1"/>
      <w:r>
        <w:rPr>
          <w:rFonts w:hint="eastAsia"/>
          <w:b/>
          <w:sz w:val="18"/>
          <w:szCs w:val="18"/>
        </w:rPr>
        <w:t>摘要：</w:t>
      </w:r>
      <w:r w:rsidR="00881D97">
        <w:rPr>
          <w:rFonts w:ascii="楷体_GB2312" w:eastAsia="楷体_GB2312" w:hint="eastAsia"/>
          <w:kern w:val="0"/>
          <w:sz w:val="18"/>
          <w:szCs w:val="18"/>
        </w:rPr>
        <w:t>为了满足光通信技术研究的需要，</w:t>
      </w:r>
      <w:bookmarkStart w:id="1" w:name="_GoBack"/>
      <w:bookmarkEnd w:id="1"/>
      <w:r>
        <w:rPr>
          <w:rFonts w:ascii="楷体_GB2312" w:eastAsia="楷体_GB2312" w:hint="eastAsia"/>
          <w:kern w:val="0"/>
          <w:sz w:val="18"/>
          <w:szCs w:val="18"/>
        </w:rPr>
        <w:t>研究设计了一种工作在</w:t>
      </w:r>
      <w:r>
        <w:rPr>
          <w:rFonts w:eastAsia="楷体_GB2312"/>
          <w:kern w:val="0"/>
          <w:sz w:val="18"/>
          <w:szCs w:val="18"/>
        </w:rPr>
        <w:t>ku</w:t>
      </w:r>
      <w:r>
        <w:rPr>
          <w:rFonts w:ascii="楷体_GB2312" w:eastAsia="楷体_GB2312" w:hint="eastAsia"/>
          <w:kern w:val="0"/>
          <w:sz w:val="18"/>
          <w:szCs w:val="18"/>
        </w:rPr>
        <w:t>波段的六边形反射型超表面。提出的超表面为无源线极化超表面，其结构为单层，顶层为实现相位控制的铜层金属层，底层为金属背板，中间介质层为聚酰亚胺，厚度为</w:t>
      </w:r>
      <w:r>
        <w:rPr>
          <w:rFonts w:eastAsia="楷体_GB2312" w:hint="eastAsia"/>
          <w:kern w:val="0"/>
          <w:sz w:val="18"/>
          <w:szCs w:val="18"/>
        </w:rPr>
        <w:t>1mm</w:t>
      </w:r>
      <w:r>
        <w:rPr>
          <w:rFonts w:ascii="楷体_GB2312" w:eastAsia="楷体_GB2312" w:hint="eastAsia"/>
          <w:kern w:val="0"/>
          <w:sz w:val="18"/>
          <w:szCs w:val="18"/>
        </w:rPr>
        <w:t>。组阵后的超表面在</w:t>
      </w:r>
      <w:r>
        <w:rPr>
          <w:rFonts w:eastAsia="楷体_GB2312" w:hint="eastAsia"/>
          <w:kern w:val="0"/>
          <w:sz w:val="18"/>
          <w:szCs w:val="18"/>
        </w:rPr>
        <w:t>14GHz</w:t>
      </w:r>
      <w:r>
        <w:rPr>
          <w:rFonts w:ascii="楷体_GB2312" w:eastAsia="楷体_GB2312" w:hint="eastAsia"/>
          <w:kern w:val="0"/>
          <w:sz w:val="18"/>
          <w:szCs w:val="18"/>
        </w:rPr>
        <w:t>频点下仿真得到的电场相位呈一模态涡旋状分布，电场幅度呈“甜甜圈”状，其中心位置存在明显电场强度为</w:t>
      </w:r>
      <w:r>
        <w:rPr>
          <w:rFonts w:eastAsia="楷体_GB2312" w:hint="eastAsia"/>
          <w:kern w:val="0"/>
          <w:sz w:val="18"/>
          <w:szCs w:val="18"/>
        </w:rPr>
        <w:t>0</w:t>
      </w:r>
      <w:r>
        <w:rPr>
          <w:rFonts w:ascii="楷体_GB2312" w:eastAsia="楷体_GB2312" w:hint="eastAsia"/>
          <w:kern w:val="0"/>
          <w:sz w:val="18"/>
          <w:szCs w:val="18"/>
        </w:rPr>
        <w:t>的点，仿真结果与设计吻合。对超表面进行加工测试，同样也得到了一模态的涡旋相位分布，其中心位置电场强度仍存在零点，该超表面实物测试与仿真结果基本吻合。</w:t>
      </w:r>
    </w:p>
    <w:p w14:paraId="54DF16E2" w14:textId="77777777" w:rsidR="00F17155" w:rsidRDefault="00844BEE">
      <w:pPr>
        <w:spacing w:line="240" w:lineRule="auto"/>
        <w:ind w:firstLineChars="0" w:firstLine="0"/>
        <w:rPr>
          <w:rFonts w:ascii="楷体_GB2312" w:eastAsia="楷体_GB2312"/>
          <w:kern w:val="0"/>
          <w:sz w:val="18"/>
          <w:szCs w:val="18"/>
        </w:rPr>
      </w:pPr>
      <w:r>
        <w:rPr>
          <w:rFonts w:hint="eastAsia"/>
          <w:b/>
          <w:sz w:val="18"/>
          <w:szCs w:val="18"/>
        </w:rPr>
        <w:t>关键词：</w:t>
      </w:r>
      <w:r>
        <w:rPr>
          <w:rFonts w:ascii="楷体_GB2312" w:eastAsia="楷体_GB2312" w:hint="eastAsia"/>
          <w:kern w:val="0"/>
          <w:sz w:val="18"/>
          <w:szCs w:val="18"/>
        </w:rPr>
        <w:t>轨道角动量；涡旋电磁波；六边形反射型超表面；</w:t>
      </w:r>
      <w:r>
        <w:rPr>
          <w:rFonts w:eastAsia="楷体_GB2312"/>
          <w:kern w:val="0"/>
          <w:sz w:val="18"/>
          <w:szCs w:val="18"/>
        </w:rPr>
        <w:t>ku</w:t>
      </w:r>
      <w:r>
        <w:rPr>
          <w:rFonts w:ascii="楷体_GB2312" w:eastAsia="楷体_GB2312" w:hint="eastAsia"/>
          <w:kern w:val="0"/>
          <w:sz w:val="18"/>
          <w:szCs w:val="18"/>
        </w:rPr>
        <w:t>波段；无源线极化</w:t>
      </w:r>
    </w:p>
    <w:bookmarkEnd w:id="0"/>
    <w:p w14:paraId="0D7DC4B4" w14:textId="77777777" w:rsidR="00F17155" w:rsidRDefault="00F17155">
      <w:pPr>
        <w:spacing w:line="240" w:lineRule="auto"/>
        <w:ind w:firstLineChars="0" w:firstLine="0"/>
        <w:rPr>
          <w:rFonts w:ascii="楷体_GB2312" w:eastAsia="楷体_GB2312"/>
          <w:kern w:val="0"/>
          <w:sz w:val="18"/>
          <w:szCs w:val="18"/>
        </w:rPr>
      </w:pPr>
    </w:p>
    <w:p w14:paraId="2CEFF6BF" w14:textId="77777777" w:rsidR="00F17155" w:rsidRDefault="00844BEE">
      <w:pPr>
        <w:spacing w:line="240" w:lineRule="auto"/>
        <w:ind w:firstLineChars="0" w:firstLine="0"/>
        <w:jc w:val="center"/>
        <w:rPr>
          <w:b/>
          <w:sz w:val="32"/>
          <w:szCs w:val="32"/>
        </w:rPr>
      </w:pPr>
      <w:r>
        <w:rPr>
          <w:rFonts w:hint="eastAsia"/>
          <w:b/>
          <w:sz w:val="32"/>
          <w:szCs w:val="32"/>
        </w:rPr>
        <w:t>A hexago</w:t>
      </w:r>
      <w:r>
        <w:rPr>
          <w:rFonts w:hint="eastAsia"/>
          <w:b/>
          <w:color w:val="000000" w:themeColor="text1"/>
          <w:sz w:val="32"/>
          <w:szCs w:val="32"/>
        </w:rPr>
        <w:t>nal r</w:t>
      </w:r>
      <w:r>
        <w:rPr>
          <w:b/>
          <w:color w:val="000000" w:themeColor="text1"/>
          <w:sz w:val="32"/>
          <w:szCs w:val="32"/>
        </w:rPr>
        <w:t>eflective metasurfaces</w:t>
      </w:r>
      <w:r>
        <w:rPr>
          <w:rFonts w:hint="eastAsia"/>
          <w:b/>
          <w:color w:val="000000" w:themeColor="text1"/>
          <w:sz w:val="32"/>
          <w:szCs w:val="32"/>
        </w:rPr>
        <w:t xml:space="preserve"> ca</w:t>
      </w:r>
      <w:r>
        <w:rPr>
          <w:rFonts w:hint="eastAsia"/>
          <w:b/>
          <w:sz w:val="32"/>
          <w:szCs w:val="32"/>
        </w:rPr>
        <w:t>rrying orbital angular momentum in the Ku band</w:t>
      </w:r>
    </w:p>
    <w:p w14:paraId="0CD9D090" w14:textId="77777777" w:rsidR="00F17155" w:rsidRDefault="00844BEE">
      <w:pPr>
        <w:spacing w:line="240" w:lineRule="auto"/>
        <w:ind w:firstLineChars="0" w:firstLine="0"/>
        <w:jc w:val="center"/>
        <w:rPr>
          <w:b/>
          <w:sz w:val="21"/>
          <w:szCs w:val="21"/>
        </w:rPr>
      </w:pPr>
      <w:r>
        <w:rPr>
          <w:rFonts w:hint="eastAsia"/>
          <w:b/>
          <w:sz w:val="21"/>
          <w:szCs w:val="21"/>
        </w:rPr>
        <w:t>LUO Man, FENG Rui, TAN Qiulin*</w:t>
      </w:r>
    </w:p>
    <w:p w14:paraId="1B22C941" w14:textId="55D34055" w:rsidR="00F17155" w:rsidRDefault="00844BEE">
      <w:pPr>
        <w:spacing w:line="240" w:lineRule="auto"/>
        <w:ind w:firstLineChars="0" w:firstLine="0"/>
        <w:jc w:val="center"/>
        <w:rPr>
          <w:b/>
          <w:sz w:val="15"/>
          <w:szCs w:val="15"/>
        </w:rPr>
      </w:pPr>
      <w:r>
        <w:rPr>
          <w:rFonts w:hint="eastAsia"/>
          <w:b/>
          <w:sz w:val="15"/>
          <w:szCs w:val="15"/>
        </w:rPr>
        <w:t>(</w:t>
      </w:r>
      <w:r>
        <w:rPr>
          <w:b/>
          <w:sz w:val="15"/>
          <w:szCs w:val="15"/>
        </w:rPr>
        <w:t>Key Laboratory of Micro/nano Devices and Systems, Ministry of Education, North University of China, Tai Yuan 030051,China</w:t>
      </w:r>
      <w:r>
        <w:rPr>
          <w:rFonts w:hint="eastAsia"/>
          <w:b/>
          <w:sz w:val="15"/>
          <w:szCs w:val="15"/>
        </w:rPr>
        <w:t>)</w:t>
      </w:r>
    </w:p>
    <w:p w14:paraId="2457E4BB" w14:textId="77777777" w:rsidR="00881D97" w:rsidRDefault="00881D97">
      <w:pPr>
        <w:spacing w:line="240" w:lineRule="auto"/>
        <w:ind w:firstLineChars="0" w:firstLine="0"/>
        <w:jc w:val="center"/>
        <w:rPr>
          <w:b/>
          <w:sz w:val="21"/>
          <w:szCs w:val="21"/>
        </w:rPr>
      </w:pPr>
    </w:p>
    <w:p w14:paraId="208F8B25" w14:textId="77777777" w:rsidR="00F17155" w:rsidRDefault="00844BEE">
      <w:pPr>
        <w:spacing w:line="240" w:lineRule="auto"/>
        <w:ind w:firstLineChars="0" w:firstLine="0"/>
        <w:rPr>
          <w:sz w:val="18"/>
          <w:szCs w:val="18"/>
        </w:rPr>
      </w:pPr>
      <w:r>
        <w:rPr>
          <w:rFonts w:hint="eastAsia"/>
          <w:b/>
          <w:sz w:val="18"/>
          <w:szCs w:val="18"/>
        </w:rPr>
        <w:t xml:space="preserve">Abstract: </w:t>
      </w:r>
      <w:r>
        <w:rPr>
          <w:rFonts w:hint="eastAsia"/>
          <w:sz w:val="18"/>
          <w:szCs w:val="18"/>
        </w:rPr>
        <w:t>In order to meet the needs of optical communication technology research, this paper studies and designs a hexagonal reflective metasurface operating in the Ku band. The proposed metasurface is a passive linearly polarized metasurface with a single-layer structure. The top layer is a copper metal layer for phase control, the bottom layer is a metal back plate, and the middle dielectric layer is polyimide, with a thickness of 1mm. The electric field phase obtained from the simulation of the super surface after array at 14GHz frequency points is a modal vortex distribution, the electric field amplitude is a "doughnut" shape, and there is a point with obvious electric field intensity of 0 at its center. The simulation results are consistent with the design. By machining and testing the super surface, a mode vortex phase distribution is also obtained, and the electric field intensity at the center of the super surface still has zero point. The physical test results of the super surface are basically consistent with the simulation results.</w:t>
      </w:r>
    </w:p>
    <w:p w14:paraId="3DD9DDB0" w14:textId="77777777" w:rsidR="00F17155" w:rsidRDefault="00844BEE">
      <w:pPr>
        <w:spacing w:line="240" w:lineRule="auto"/>
        <w:ind w:firstLineChars="0" w:firstLine="0"/>
        <w:rPr>
          <w:sz w:val="18"/>
          <w:szCs w:val="18"/>
        </w:rPr>
      </w:pPr>
      <w:r>
        <w:rPr>
          <w:rFonts w:hint="eastAsia"/>
          <w:b/>
          <w:sz w:val="18"/>
          <w:szCs w:val="18"/>
        </w:rPr>
        <w:t>Keywords:</w:t>
      </w:r>
      <w:r>
        <w:rPr>
          <w:rFonts w:hint="eastAsia"/>
          <w:b/>
          <w:bCs/>
        </w:rPr>
        <w:t xml:space="preserve"> </w:t>
      </w:r>
      <w:r>
        <w:rPr>
          <w:rFonts w:hint="eastAsia"/>
          <w:sz w:val="18"/>
          <w:szCs w:val="18"/>
        </w:rPr>
        <w:t>Orbital angular momentum; Vortex electromagnetic waves; Hexagonal reflective metasurface; Ku band; Passive linear polarization</w:t>
      </w:r>
    </w:p>
    <w:p w14:paraId="6A1A7B35" w14:textId="77777777" w:rsidR="00F17155" w:rsidRDefault="00F17155">
      <w:pPr>
        <w:spacing w:line="240" w:lineRule="auto"/>
        <w:ind w:firstLineChars="0" w:firstLine="0"/>
        <w:rPr>
          <w:sz w:val="21"/>
          <w:szCs w:val="21"/>
        </w:rPr>
      </w:pPr>
    </w:p>
    <w:p w14:paraId="14F58B08" w14:textId="77777777" w:rsidR="00F17155" w:rsidRDefault="00844BEE">
      <w:pPr>
        <w:spacing w:line="240" w:lineRule="auto"/>
        <w:ind w:firstLineChars="0" w:firstLine="0"/>
      </w:pPr>
      <w:r>
        <w:rPr>
          <w:rFonts w:ascii="宋体" w:hAnsi="宋体" w:cs="宋体" w:hint="eastAsia"/>
          <w:b/>
          <w:bCs/>
        </w:rPr>
        <w:t>0</w:t>
      </w:r>
      <w:r w:rsidR="00C32816">
        <w:rPr>
          <w:rFonts w:ascii="宋体" w:hAnsi="宋体" w:cs="宋体"/>
          <w:b/>
          <w:bCs/>
        </w:rPr>
        <w:t xml:space="preserve"> </w:t>
      </w:r>
      <w:r>
        <w:rPr>
          <w:rFonts w:ascii="宋体" w:hAnsi="宋体" w:cs="宋体" w:hint="eastAsia"/>
          <w:b/>
          <w:bCs/>
        </w:rPr>
        <w:t>引言</w:t>
      </w:r>
      <w:r>
        <w:rPr>
          <w:rFonts w:hint="eastAsia"/>
          <w:b/>
          <w:bCs/>
        </w:rPr>
        <w:t xml:space="preserve">        </w:t>
      </w:r>
    </w:p>
    <w:p w14:paraId="2AE35F2A" w14:textId="77777777" w:rsidR="00F17155" w:rsidRDefault="00844BEE">
      <w:pPr>
        <w:spacing w:line="240" w:lineRule="auto"/>
        <w:rPr>
          <w:sz w:val="21"/>
          <w:szCs w:val="21"/>
        </w:rPr>
      </w:pPr>
      <w:r>
        <w:rPr>
          <w:sz w:val="21"/>
          <w:szCs w:val="21"/>
        </w:rPr>
        <w:t>2011</w:t>
      </w:r>
      <w:r>
        <w:rPr>
          <w:sz w:val="21"/>
          <w:szCs w:val="21"/>
        </w:rPr>
        <w:t>年，哈佛大学的</w:t>
      </w:r>
      <w:r>
        <w:rPr>
          <w:sz w:val="21"/>
          <w:szCs w:val="21"/>
        </w:rPr>
        <w:t>Federico Capasso</w:t>
      </w:r>
      <w:r>
        <w:rPr>
          <w:sz w:val="21"/>
          <w:szCs w:val="21"/>
          <w:vertAlign w:val="superscript"/>
        </w:rPr>
        <w:fldChar w:fldCharType="begin"/>
      </w:r>
      <w:r>
        <w:rPr>
          <w:sz w:val="21"/>
          <w:szCs w:val="21"/>
          <w:vertAlign w:val="superscript"/>
        </w:rPr>
        <w:instrText xml:space="preserve"> REF _Ref29240 \n \h </w:instrText>
      </w:r>
      <w:r>
        <w:rPr>
          <w:sz w:val="21"/>
          <w:szCs w:val="21"/>
          <w:vertAlign w:val="superscript"/>
        </w:rPr>
      </w:r>
      <w:r>
        <w:rPr>
          <w:sz w:val="21"/>
          <w:szCs w:val="21"/>
          <w:vertAlign w:val="superscript"/>
        </w:rPr>
        <w:fldChar w:fldCharType="separate"/>
      </w:r>
      <w:r>
        <w:rPr>
          <w:sz w:val="21"/>
          <w:szCs w:val="21"/>
          <w:vertAlign w:val="superscript"/>
        </w:rPr>
        <w:t>[1]</w:t>
      </w:r>
      <w:r>
        <w:rPr>
          <w:sz w:val="21"/>
          <w:szCs w:val="21"/>
          <w:vertAlign w:val="superscript"/>
        </w:rPr>
        <w:fldChar w:fldCharType="end"/>
      </w:r>
      <w:r>
        <w:rPr>
          <w:rFonts w:hint="eastAsia"/>
          <w:sz w:val="21"/>
          <w:szCs w:val="21"/>
        </w:rPr>
        <w:t>教授及其</w:t>
      </w:r>
      <w:r>
        <w:rPr>
          <w:sz w:val="21"/>
          <w:szCs w:val="21"/>
        </w:rPr>
        <w:t>研究团队</w:t>
      </w:r>
      <w:r w:rsidR="005D7F8C" w:rsidRPr="005D7F8C">
        <w:rPr>
          <w:rFonts w:hint="eastAsia"/>
          <w:sz w:val="21"/>
          <w:szCs w:val="21"/>
        </w:rPr>
        <w:t>首次提出了“超构表面”的概念。这是一种新型的二维超构材料，能够在亚波长尺度上精确调控光的波前，并由此推导出“广义</w:t>
      </w:r>
      <w:r w:rsidR="005D7F8C" w:rsidRPr="005D7F8C">
        <w:rPr>
          <w:rFonts w:hint="eastAsia"/>
          <w:sz w:val="21"/>
          <w:szCs w:val="21"/>
        </w:rPr>
        <w:t>Snell</w:t>
      </w:r>
      <w:r w:rsidR="005D7F8C" w:rsidRPr="005D7F8C">
        <w:rPr>
          <w:rFonts w:hint="eastAsia"/>
          <w:sz w:val="21"/>
          <w:szCs w:val="21"/>
        </w:rPr>
        <w:t>定律”，为人工超构材料向二维化方向发展开辟了新途径。超构表面由亚波长结构单元构成，作为一种二维人工材料，可在极薄尺度内灵活调控光的</w:t>
      </w:r>
      <w:r>
        <w:rPr>
          <w:sz w:val="21"/>
          <w:szCs w:val="21"/>
          <w:vertAlign w:val="superscript"/>
        </w:rPr>
        <w:fldChar w:fldCharType="begin"/>
      </w:r>
      <w:r>
        <w:rPr>
          <w:sz w:val="21"/>
          <w:szCs w:val="21"/>
          <w:vertAlign w:val="superscript"/>
        </w:rPr>
        <w:instrText xml:space="preserve"> REF _Ref31712 \n \h </w:instrText>
      </w:r>
      <w:r>
        <w:rPr>
          <w:sz w:val="21"/>
          <w:szCs w:val="21"/>
          <w:vertAlign w:val="superscript"/>
        </w:rPr>
      </w:r>
      <w:r>
        <w:rPr>
          <w:sz w:val="21"/>
          <w:szCs w:val="21"/>
          <w:vertAlign w:val="superscript"/>
        </w:rPr>
        <w:fldChar w:fldCharType="separate"/>
      </w:r>
      <w:r>
        <w:rPr>
          <w:sz w:val="21"/>
          <w:szCs w:val="21"/>
          <w:vertAlign w:val="superscript"/>
        </w:rPr>
        <w:t>[2</w:t>
      </w:r>
      <w:r w:rsidR="00AF1B05">
        <w:rPr>
          <w:rFonts w:hint="eastAsia"/>
          <w:sz w:val="21"/>
          <w:szCs w:val="21"/>
          <w:vertAlign w:val="superscript"/>
        </w:rPr>
        <w:t>-</w:t>
      </w:r>
      <w:r>
        <w:rPr>
          <w:rFonts w:hint="eastAsia"/>
          <w:sz w:val="21"/>
          <w:szCs w:val="21"/>
          <w:vertAlign w:val="superscript"/>
        </w:rPr>
        <w:t>3</w:t>
      </w:r>
      <w:r>
        <w:rPr>
          <w:sz w:val="21"/>
          <w:szCs w:val="21"/>
          <w:vertAlign w:val="superscript"/>
        </w:rPr>
        <w:t>]</w:t>
      </w:r>
      <w:r>
        <w:rPr>
          <w:sz w:val="21"/>
          <w:szCs w:val="21"/>
          <w:vertAlign w:val="superscript"/>
        </w:rPr>
        <w:fldChar w:fldCharType="end"/>
      </w:r>
      <w:r>
        <w:rPr>
          <w:sz w:val="21"/>
          <w:szCs w:val="21"/>
        </w:rPr>
        <w:t>、相位</w:t>
      </w:r>
      <w:r>
        <w:rPr>
          <w:sz w:val="21"/>
          <w:szCs w:val="21"/>
          <w:vertAlign w:val="superscript"/>
        </w:rPr>
        <w:fldChar w:fldCharType="begin"/>
      </w:r>
      <w:r>
        <w:rPr>
          <w:sz w:val="21"/>
          <w:szCs w:val="21"/>
          <w:vertAlign w:val="superscript"/>
        </w:rPr>
        <w:instrText xml:space="preserve"> REF _Ref32558 \n \h </w:instrText>
      </w:r>
      <w:r>
        <w:rPr>
          <w:sz w:val="21"/>
          <w:szCs w:val="21"/>
          <w:vertAlign w:val="superscript"/>
        </w:rPr>
      </w:r>
      <w:r>
        <w:rPr>
          <w:sz w:val="21"/>
          <w:szCs w:val="21"/>
          <w:vertAlign w:val="superscript"/>
        </w:rPr>
        <w:fldChar w:fldCharType="separate"/>
      </w:r>
      <w:r>
        <w:rPr>
          <w:sz w:val="21"/>
          <w:szCs w:val="21"/>
          <w:vertAlign w:val="superscript"/>
        </w:rPr>
        <w:t>[4</w:t>
      </w:r>
      <w:r>
        <w:rPr>
          <w:rFonts w:hint="eastAsia"/>
          <w:sz w:val="21"/>
          <w:szCs w:val="21"/>
          <w:vertAlign w:val="superscript"/>
        </w:rPr>
        <w:t>-7</w:t>
      </w:r>
      <w:r>
        <w:rPr>
          <w:sz w:val="21"/>
          <w:szCs w:val="21"/>
          <w:vertAlign w:val="superscript"/>
        </w:rPr>
        <w:t>]</w:t>
      </w:r>
      <w:r>
        <w:rPr>
          <w:sz w:val="21"/>
          <w:szCs w:val="21"/>
          <w:vertAlign w:val="superscript"/>
        </w:rPr>
        <w:fldChar w:fldCharType="end"/>
      </w:r>
      <w:r>
        <w:rPr>
          <w:sz w:val="21"/>
          <w:szCs w:val="21"/>
        </w:rPr>
        <w:t>、偏振</w:t>
      </w:r>
      <w:r>
        <w:rPr>
          <w:sz w:val="21"/>
          <w:szCs w:val="21"/>
          <w:vertAlign w:val="superscript"/>
        </w:rPr>
        <w:fldChar w:fldCharType="begin"/>
      </w:r>
      <w:r>
        <w:rPr>
          <w:sz w:val="21"/>
          <w:szCs w:val="21"/>
          <w:vertAlign w:val="superscript"/>
        </w:rPr>
        <w:instrText xml:space="preserve"> REF _Ref979 \n \h </w:instrText>
      </w:r>
      <w:r>
        <w:rPr>
          <w:sz w:val="21"/>
          <w:szCs w:val="21"/>
          <w:vertAlign w:val="superscript"/>
        </w:rPr>
      </w:r>
      <w:r>
        <w:rPr>
          <w:sz w:val="21"/>
          <w:szCs w:val="21"/>
          <w:vertAlign w:val="superscript"/>
        </w:rPr>
        <w:fldChar w:fldCharType="separate"/>
      </w:r>
      <w:r>
        <w:rPr>
          <w:sz w:val="21"/>
          <w:szCs w:val="21"/>
          <w:vertAlign w:val="superscript"/>
        </w:rPr>
        <w:t>[8</w:t>
      </w:r>
      <w:r>
        <w:rPr>
          <w:rFonts w:hint="eastAsia"/>
          <w:sz w:val="21"/>
          <w:szCs w:val="21"/>
          <w:vertAlign w:val="superscript"/>
        </w:rPr>
        <w:t>-10</w:t>
      </w:r>
      <w:r>
        <w:rPr>
          <w:sz w:val="21"/>
          <w:szCs w:val="21"/>
          <w:vertAlign w:val="superscript"/>
        </w:rPr>
        <w:t>]</w:t>
      </w:r>
      <w:r>
        <w:rPr>
          <w:sz w:val="21"/>
          <w:szCs w:val="21"/>
          <w:vertAlign w:val="superscript"/>
        </w:rPr>
        <w:fldChar w:fldCharType="end"/>
      </w:r>
      <w:r w:rsidR="005D7F8C" w:rsidRPr="005D7F8C">
        <w:rPr>
          <w:rFonts w:hint="eastAsia"/>
        </w:rPr>
        <w:t xml:space="preserve"> </w:t>
      </w:r>
      <w:r w:rsidR="005D7F8C" w:rsidRPr="005D7F8C">
        <w:rPr>
          <w:rFonts w:hint="eastAsia"/>
          <w:sz w:val="21"/>
          <w:szCs w:val="21"/>
        </w:rPr>
        <w:t>等特性，从而为传统光学器件实现小型化</w:t>
      </w:r>
      <w:r w:rsidR="005D7F8C">
        <w:rPr>
          <w:sz w:val="21"/>
          <w:szCs w:val="21"/>
          <w:vertAlign w:val="superscript"/>
        </w:rPr>
        <w:fldChar w:fldCharType="begin"/>
      </w:r>
      <w:r w:rsidR="005D7F8C">
        <w:rPr>
          <w:sz w:val="21"/>
          <w:szCs w:val="21"/>
          <w:vertAlign w:val="superscript"/>
        </w:rPr>
        <w:instrText xml:space="preserve"> REF _Ref1808 \n \h </w:instrText>
      </w:r>
      <w:r w:rsidR="005D7F8C">
        <w:rPr>
          <w:sz w:val="21"/>
          <w:szCs w:val="21"/>
          <w:vertAlign w:val="superscript"/>
        </w:rPr>
      </w:r>
      <w:r w:rsidR="005D7F8C">
        <w:rPr>
          <w:sz w:val="21"/>
          <w:szCs w:val="21"/>
          <w:vertAlign w:val="superscript"/>
        </w:rPr>
        <w:fldChar w:fldCharType="separate"/>
      </w:r>
      <w:r w:rsidR="005D7F8C">
        <w:rPr>
          <w:sz w:val="21"/>
          <w:szCs w:val="21"/>
          <w:vertAlign w:val="superscript"/>
        </w:rPr>
        <w:t>[11</w:t>
      </w:r>
      <w:r w:rsidR="005D7F8C">
        <w:rPr>
          <w:rFonts w:hint="eastAsia"/>
          <w:sz w:val="21"/>
          <w:szCs w:val="21"/>
          <w:vertAlign w:val="superscript"/>
        </w:rPr>
        <w:t>-13</w:t>
      </w:r>
      <w:r w:rsidR="005D7F8C">
        <w:rPr>
          <w:sz w:val="21"/>
          <w:szCs w:val="21"/>
          <w:vertAlign w:val="superscript"/>
        </w:rPr>
        <w:t>]</w:t>
      </w:r>
      <w:r w:rsidR="005D7F8C">
        <w:rPr>
          <w:sz w:val="21"/>
          <w:szCs w:val="21"/>
          <w:vertAlign w:val="superscript"/>
        </w:rPr>
        <w:fldChar w:fldCharType="end"/>
      </w:r>
      <w:r w:rsidR="005D7F8C" w:rsidRPr="005D7F8C">
        <w:rPr>
          <w:rFonts w:hint="eastAsia"/>
          <w:sz w:val="21"/>
          <w:szCs w:val="21"/>
        </w:rPr>
        <w:t>、集成化</w:t>
      </w:r>
      <w:r w:rsidR="005D7F8C">
        <w:rPr>
          <w:sz w:val="21"/>
          <w:szCs w:val="21"/>
          <w:vertAlign w:val="superscript"/>
        </w:rPr>
        <w:fldChar w:fldCharType="begin"/>
      </w:r>
      <w:r w:rsidR="005D7F8C">
        <w:rPr>
          <w:sz w:val="21"/>
          <w:szCs w:val="21"/>
          <w:vertAlign w:val="superscript"/>
        </w:rPr>
        <w:instrText xml:space="preserve"> REF _Ref2403 \n \h </w:instrText>
      </w:r>
      <w:r w:rsidR="005D7F8C">
        <w:rPr>
          <w:sz w:val="21"/>
          <w:szCs w:val="21"/>
          <w:vertAlign w:val="superscript"/>
        </w:rPr>
      </w:r>
      <w:r w:rsidR="005D7F8C">
        <w:rPr>
          <w:sz w:val="21"/>
          <w:szCs w:val="21"/>
          <w:vertAlign w:val="superscript"/>
        </w:rPr>
        <w:fldChar w:fldCharType="separate"/>
      </w:r>
      <w:r w:rsidR="005D7F8C">
        <w:rPr>
          <w:sz w:val="21"/>
          <w:szCs w:val="21"/>
          <w:vertAlign w:val="superscript"/>
        </w:rPr>
        <w:t>[14</w:t>
      </w:r>
      <w:r w:rsidR="005D7F8C">
        <w:rPr>
          <w:rFonts w:hint="eastAsia"/>
          <w:sz w:val="21"/>
          <w:szCs w:val="21"/>
          <w:vertAlign w:val="superscript"/>
        </w:rPr>
        <w:t>-15</w:t>
      </w:r>
      <w:r w:rsidR="005D7F8C">
        <w:rPr>
          <w:sz w:val="21"/>
          <w:szCs w:val="21"/>
          <w:vertAlign w:val="superscript"/>
        </w:rPr>
        <w:t>]</w:t>
      </w:r>
      <w:r w:rsidR="005D7F8C">
        <w:rPr>
          <w:sz w:val="21"/>
          <w:szCs w:val="21"/>
          <w:vertAlign w:val="superscript"/>
        </w:rPr>
        <w:fldChar w:fldCharType="end"/>
      </w:r>
      <w:r w:rsidR="005D7F8C" w:rsidRPr="005D7F8C">
        <w:rPr>
          <w:rFonts w:hint="eastAsia"/>
          <w:sz w:val="21"/>
          <w:szCs w:val="21"/>
        </w:rPr>
        <w:t>与智能化</w:t>
      </w:r>
      <w:r w:rsidR="005D7F8C">
        <w:rPr>
          <w:sz w:val="21"/>
          <w:szCs w:val="21"/>
          <w:vertAlign w:val="superscript"/>
        </w:rPr>
        <w:fldChar w:fldCharType="begin"/>
      </w:r>
      <w:r w:rsidR="005D7F8C">
        <w:rPr>
          <w:sz w:val="21"/>
          <w:szCs w:val="21"/>
          <w:vertAlign w:val="superscript"/>
        </w:rPr>
        <w:instrText xml:space="preserve"> REF _Ref2634 \n \h </w:instrText>
      </w:r>
      <w:r w:rsidR="005D7F8C">
        <w:rPr>
          <w:sz w:val="21"/>
          <w:szCs w:val="21"/>
          <w:vertAlign w:val="superscript"/>
        </w:rPr>
      </w:r>
      <w:r w:rsidR="005D7F8C">
        <w:rPr>
          <w:sz w:val="21"/>
          <w:szCs w:val="21"/>
          <w:vertAlign w:val="superscript"/>
        </w:rPr>
        <w:fldChar w:fldCharType="separate"/>
      </w:r>
      <w:r w:rsidR="005D7F8C">
        <w:rPr>
          <w:sz w:val="21"/>
          <w:szCs w:val="21"/>
          <w:vertAlign w:val="superscript"/>
        </w:rPr>
        <w:t>[16</w:t>
      </w:r>
      <w:r w:rsidR="005D7F8C">
        <w:rPr>
          <w:rFonts w:hint="eastAsia"/>
          <w:sz w:val="21"/>
          <w:szCs w:val="21"/>
          <w:vertAlign w:val="superscript"/>
        </w:rPr>
        <w:t>-17</w:t>
      </w:r>
      <w:r w:rsidR="005D7F8C">
        <w:rPr>
          <w:sz w:val="21"/>
          <w:szCs w:val="21"/>
          <w:vertAlign w:val="superscript"/>
        </w:rPr>
        <w:t>]</w:t>
      </w:r>
      <w:r w:rsidR="005D7F8C">
        <w:rPr>
          <w:sz w:val="21"/>
          <w:szCs w:val="21"/>
          <w:vertAlign w:val="superscript"/>
        </w:rPr>
        <w:fldChar w:fldCharType="end"/>
      </w:r>
      <w:r w:rsidR="005D7F8C" w:rsidRPr="005D7F8C">
        <w:rPr>
          <w:rFonts w:hint="eastAsia"/>
          <w:sz w:val="21"/>
          <w:szCs w:val="21"/>
        </w:rPr>
        <w:t>提供了新的可能。</w:t>
      </w:r>
    </w:p>
    <w:p w14:paraId="6FC69D01" w14:textId="77777777" w:rsidR="00F17155" w:rsidRDefault="00844BEE" w:rsidP="00063F69">
      <w:pPr>
        <w:spacing w:line="240" w:lineRule="auto"/>
        <w:rPr>
          <w:sz w:val="21"/>
          <w:szCs w:val="21"/>
        </w:rPr>
      </w:pPr>
      <w:r>
        <w:rPr>
          <w:rFonts w:hint="eastAsia"/>
          <w:sz w:val="21"/>
          <w:szCs w:val="21"/>
        </w:rPr>
        <w:t>携带有轨道角动量</w:t>
      </w:r>
      <w:r>
        <w:rPr>
          <w:rFonts w:hint="eastAsia"/>
          <w:sz w:val="21"/>
          <w:szCs w:val="21"/>
        </w:rPr>
        <w:t>(OAM)</w:t>
      </w:r>
      <w:r>
        <w:rPr>
          <w:rFonts w:hint="eastAsia"/>
          <w:sz w:val="21"/>
          <w:szCs w:val="21"/>
        </w:rPr>
        <w:t>的涡旋电磁波</w:t>
      </w:r>
      <w:r>
        <w:rPr>
          <w:rFonts w:hint="eastAsia"/>
          <w:sz w:val="21"/>
          <w:szCs w:val="21"/>
          <w:vertAlign w:val="superscript"/>
        </w:rPr>
        <w:fldChar w:fldCharType="begin"/>
      </w:r>
      <w:r>
        <w:rPr>
          <w:rFonts w:hint="eastAsia"/>
          <w:sz w:val="21"/>
          <w:szCs w:val="21"/>
          <w:vertAlign w:val="superscript"/>
        </w:rPr>
        <w:instrText xml:space="preserve"> REF _Ref23957 \n \h </w:instrText>
      </w:r>
      <w:r>
        <w:rPr>
          <w:rFonts w:hint="eastAsia"/>
          <w:sz w:val="21"/>
          <w:szCs w:val="21"/>
          <w:vertAlign w:val="superscript"/>
        </w:rPr>
      </w:r>
      <w:r>
        <w:rPr>
          <w:rFonts w:hint="eastAsia"/>
          <w:sz w:val="21"/>
          <w:szCs w:val="21"/>
          <w:vertAlign w:val="superscript"/>
        </w:rPr>
        <w:fldChar w:fldCharType="separate"/>
      </w:r>
      <w:r>
        <w:rPr>
          <w:rFonts w:hint="eastAsia"/>
          <w:sz w:val="21"/>
          <w:szCs w:val="21"/>
          <w:vertAlign w:val="superscript"/>
        </w:rPr>
        <w:t>[18]</w:t>
      </w:r>
      <w:r>
        <w:rPr>
          <w:rFonts w:hint="eastAsia"/>
          <w:sz w:val="21"/>
          <w:szCs w:val="21"/>
          <w:vertAlign w:val="superscript"/>
        </w:rPr>
        <w:fldChar w:fldCharType="end"/>
      </w:r>
      <w:r>
        <w:rPr>
          <w:rFonts w:hint="eastAsia"/>
          <w:sz w:val="21"/>
          <w:szCs w:val="21"/>
        </w:rPr>
        <w:t>在通信领域中具有重要应用价值</w:t>
      </w:r>
      <w:r w:rsidR="005F5DD0" w:rsidRPr="005F5DD0">
        <w:rPr>
          <w:rFonts w:hint="eastAsia"/>
          <w:sz w:val="21"/>
          <w:szCs w:val="21"/>
        </w:rPr>
        <w:t>这类电磁波具有高自旋角动量和特殊极化等特性，可用于实现高速率、高安全性的数据传输。</w:t>
      </w:r>
      <w:r w:rsidR="005F5DD0" w:rsidRPr="005F5DD0">
        <w:rPr>
          <w:rFonts w:hint="eastAsia"/>
          <w:sz w:val="21"/>
          <w:szCs w:val="21"/>
        </w:rPr>
        <w:t>OAM</w:t>
      </w:r>
      <w:r w:rsidR="005F5DD0" w:rsidRPr="005F5DD0">
        <w:rPr>
          <w:rFonts w:hint="eastAsia"/>
          <w:sz w:val="21"/>
          <w:szCs w:val="21"/>
        </w:rPr>
        <w:t>的模式数在整数范围内有无穷多种可能，且不同模式之间彼此正交。作为</w:t>
      </w:r>
      <w:r w:rsidR="005F5DD0" w:rsidRPr="005F5DD0">
        <w:rPr>
          <w:rFonts w:hint="eastAsia"/>
          <w:sz w:val="21"/>
          <w:szCs w:val="21"/>
        </w:rPr>
        <w:t>OAM</w:t>
      </w:r>
      <w:r w:rsidR="005F5DD0" w:rsidRPr="005F5DD0">
        <w:rPr>
          <w:rFonts w:hint="eastAsia"/>
          <w:sz w:val="21"/>
          <w:szCs w:val="21"/>
        </w:rPr>
        <w:t>模式数</w:t>
      </w:r>
      <w:r>
        <w:rPr>
          <w:rFonts w:hint="eastAsia"/>
          <w:sz w:val="21"/>
          <w:szCs w:val="21"/>
        </w:rPr>
        <w:t>l</w:t>
      </w:r>
      <w:r>
        <w:rPr>
          <w:rFonts w:hint="eastAsia"/>
          <w:sz w:val="21"/>
          <w:szCs w:val="21"/>
        </w:rPr>
        <w:t>不等于</w:t>
      </w:r>
      <w:r>
        <w:rPr>
          <w:rFonts w:hint="eastAsia"/>
          <w:sz w:val="21"/>
          <w:szCs w:val="21"/>
        </w:rPr>
        <w:t>0</w:t>
      </w:r>
      <w:r>
        <w:rPr>
          <w:rFonts w:hint="eastAsia"/>
          <w:sz w:val="21"/>
          <w:szCs w:val="21"/>
        </w:rPr>
        <w:t>的电磁波，</w:t>
      </w:r>
      <w:r w:rsidR="005F5DD0" w:rsidRPr="005F5DD0">
        <w:rPr>
          <w:rFonts w:hint="eastAsia"/>
          <w:sz w:val="21"/>
          <w:szCs w:val="21"/>
        </w:rPr>
        <w:t>涡旋电磁波的波束中心幅度为零，波束发散性较强。借助超表面调控电磁波的反射，可以拓展传统电磁波折射定律的应用范围。早期，</w:t>
      </w:r>
      <w:r w:rsidR="005F5DD0" w:rsidRPr="005F5DD0">
        <w:rPr>
          <w:rFonts w:hint="eastAsia"/>
          <w:sz w:val="21"/>
          <w:szCs w:val="21"/>
        </w:rPr>
        <w:t xml:space="preserve">TURNBULL G A </w:t>
      </w:r>
      <w:r w:rsidR="005F5DD0" w:rsidRPr="005F5DD0">
        <w:rPr>
          <w:rFonts w:hint="eastAsia"/>
          <w:sz w:val="21"/>
          <w:szCs w:val="21"/>
        </w:rPr>
        <w:t>等人</w:t>
      </w:r>
      <w:r w:rsidR="005F5DD0">
        <w:rPr>
          <w:sz w:val="21"/>
          <w:szCs w:val="21"/>
          <w:vertAlign w:val="superscript"/>
        </w:rPr>
        <w:fldChar w:fldCharType="begin"/>
      </w:r>
      <w:r w:rsidR="005F5DD0">
        <w:rPr>
          <w:sz w:val="21"/>
          <w:szCs w:val="21"/>
          <w:vertAlign w:val="superscript"/>
        </w:rPr>
        <w:instrText xml:space="preserve"> REF _Ref31712 \n \h </w:instrText>
      </w:r>
      <w:r w:rsidR="005F5DD0">
        <w:rPr>
          <w:sz w:val="21"/>
          <w:szCs w:val="21"/>
          <w:vertAlign w:val="superscript"/>
        </w:rPr>
      </w:r>
      <w:r w:rsidR="005F5DD0">
        <w:rPr>
          <w:sz w:val="21"/>
          <w:szCs w:val="21"/>
          <w:vertAlign w:val="superscript"/>
        </w:rPr>
        <w:fldChar w:fldCharType="separate"/>
      </w:r>
      <w:r w:rsidR="005F5DD0">
        <w:rPr>
          <w:sz w:val="21"/>
          <w:szCs w:val="21"/>
          <w:vertAlign w:val="superscript"/>
        </w:rPr>
        <w:t>[19]</w:t>
      </w:r>
      <w:r w:rsidR="005F5DD0">
        <w:rPr>
          <w:sz w:val="21"/>
          <w:szCs w:val="21"/>
          <w:vertAlign w:val="superscript"/>
        </w:rPr>
        <w:fldChar w:fldCharType="end"/>
      </w:r>
      <w:r w:rsidR="005F5DD0" w:rsidRPr="005F5DD0">
        <w:rPr>
          <w:rFonts w:hint="eastAsia"/>
          <w:sz w:val="21"/>
          <w:szCs w:val="21"/>
        </w:rPr>
        <w:t>曾利用螺旋相位板在毫米波频段产生涡旋电磁波。</w:t>
      </w:r>
      <w:r w:rsidR="004222E2" w:rsidRPr="004222E2">
        <w:rPr>
          <w:rFonts w:hint="eastAsia"/>
          <w:sz w:val="21"/>
          <w:szCs w:val="21"/>
        </w:rPr>
        <w:t>涡旋电磁波作为学术热点历经数十年发展，其相关超表面技术已涌现出多种实现方式，然而现有反射型超表</w:t>
      </w:r>
      <w:r w:rsidR="004222E2">
        <w:rPr>
          <w:rFonts w:hint="eastAsia"/>
          <w:sz w:val="21"/>
          <w:szCs w:val="21"/>
        </w:rPr>
        <w:t>面的单元结构大多局限于正方形设计</w:t>
      </w:r>
      <w:r w:rsidR="00BB3B68">
        <w:rPr>
          <w:rFonts w:hint="eastAsia"/>
          <w:sz w:val="21"/>
          <w:szCs w:val="21"/>
          <w:vertAlign w:val="superscript"/>
        </w:rPr>
        <w:fldChar w:fldCharType="begin"/>
      </w:r>
      <w:r w:rsidR="00BB3B68">
        <w:rPr>
          <w:rFonts w:hint="eastAsia"/>
          <w:sz w:val="21"/>
          <w:szCs w:val="21"/>
          <w:vertAlign w:val="superscript"/>
        </w:rPr>
        <w:instrText xml:space="preserve"> REF _Ref15504 \n \h </w:instrText>
      </w:r>
      <w:r w:rsidR="00BB3B68">
        <w:rPr>
          <w:rFonts w:hint="eastAsia"/>
          <w:sz w:val="21"/>
          <w:szCs w:val="21"/>
          <w:vertAlign w:val="superscript"/>
        </w:rPr>
      </w:r>
      <w:r w:rsidR="00BB3B68">
        <w:rPr>
          <w:rFonts w:hint="eastAsia"/>
          <w:sz w:val="21"/>
          <w:szCs w:val="21"/>
          <w:vertAlign w:val="superscript"/>
        </w:rPr>
        <w:fldChar w:fldCharType="separate"/>
      </w:r>
      <w:r w:rsidR="00BB3B68">
        <w:rPr>
          <w:rFonts w:hint="eastAsia"/>
          <w:sz w:val="21"/>
          <w:szCs w:val="21"/>
          <w:vertAlign w:val="superscript"/>
        </w:rPr>
        <w:t>[16</w:t>
      </w:r>
      <w:r w:rsidR="00BB3B68">
        <w:rPr>
          <w:rFonts w:hint="eastAsia"/>
          <w:sz w:val="21"/>
          <w:szCs w:val="21"/>
          <w:vertAlign w:val="superscript"/>
        </w:rPr>
        <w:t>，</w:t>
      </w:r>
      <w:r w:rsidR="00BB3B68">
        <w:rPr>
          <w:rFonts w:hint="eastAsia"/>
          <w:sz w:val="21"/>
          <w:szCs w:val="21"/>
          <w:vertAlign w:val="superscript"/>
        </w:rPr>
        <w:t>20-22]</w:t>
      </w:r>
      <w:r w:rsidR="00BB3B68">
        <w:rPr>
          <w:rFonts w:hint="eastAsia"/>
          <w:sz w:val="21"/>
          <w:szCs w:val="21"/>
          <w:vertAlign w:val="superscript"/>
        </w:rPr>
        <w:fldChar w:fldCharType="end"/>
      </w:r>
      <w:r w:rsidR="00BB3B68">
        <w:rPr>
          <w:rFonts w:hint="eastAsia"/>
          <w:sz w:val="21"/>
          <w:szCs w:val="21"/>
        </w:rPr>
        <w:t>。</w:t>
      </w:r>
      <w:r w:rsidR="00C96014">
        <w:rPr>
          <w:rFonts w:hint="eastAsia"/>
          <w:sz w:val="21"/>
          <w:szCs w:val="21"/>
        </w:rPr>
        <w:t>为</w:t>
      </w:r>
      <w:r>
        <w:rPr>
          <w:rFonts w:hint="eastAsia"/>
          <w:sz w:val="21"/>
          <w:szCs w:val="21"/>
        </w:rPr>
        <w:t>此，</w:t>
      </w:r>
      <w:r w:rsidR="00981CD4">
        <w:rPr>
          <w:rFonts w:hint="eastAsia"/>
          <w:sz w:val="21"/>
          <w:szCs w:val="21"/>
        </w:rPr>
        <w:t>本文设计</w:t>
      </w:r>
      <w:r w:rsidR="00981CD4" w:rsidRPr="00981CD4">
        <w:rPr>
          <w:rFonts w:hint="eastAsia"/>
          <w:sz w:val="21"/>
          <w:szCs w:val="21"/>
        </w:rPr>
        <w:t>一种</w:t>
      </w:r>
      <w:r w:rsidR="00BB3B68">
        <w:rPr>
          <w:rFonts w:hint="eastAsia"/>
          <w:sz w:val="21"/>
          <w:szCs w:val="21"/>
        </w:rPr>
        <w:t>工作</w:t>
      </w:r>
      <w:r w:rsidR="00C96014">
        <w:rPr>
          <w:rFonts w:hint="eastAsia"/>
          <w:sz w:val="21"/>
          <w:szCs w:val="21"/>
        </w:rPr>
        <w:t>于</w:t>
      </w:r>
      <w:r w:rsidR="00BB3B68">
        <w:rPr>
          <w:rFonts w:hint="eastAsia"/>
          <w:sz w:val="21"/>
          <w:szCs w:val="21"/>
        </w:rPr>
        <w:t>ku</w:t>
      </w:r>
      <w:r w:rsidR="00BB3B68">
        <w:rPr>
          <w:rFonts w:hint="eastAsia"/>
          <w:sz w:val="21"/>
          <w:szCs w:val="21"/>
        </w:rPr>
        <w:t>波段</w:t>
      </w:r>
      <w:r w:rsidR="00CE0AD3">
        <w:rPr>
          <w:rFonts w:hint="eastAsia"/>
          <w:sz w:val="21"/>
          <w:szCs w:val="21"/>
        </w:rPr>
        <w:t>携带</w:t>
      </w:r>
      <w:r w:rsidR="00CE0AD3">
        <w:rPr>
          <w:rFonts w:hint="eastAsia"/>
          <w:sz w:val="21"/>
          <w:szCs w:val="21"/>
        </w:rPr>
        <w:t>OAM</w:t>
      </w:r>
      <w:r w:rsidR="00BB3B68">
        <w:rPr>
          <w:sz w:val="21"/>
          <w:szCs w:val="21"/>
        </w:rPr>
        <w:t>的六边形反射型超表面</w:t>
      </w:r>
      <w:r w:rsidR="00981CD4" w:rsidRPr="00981CD4">
        <w:rPr>
          <w:rFonts w:hint="eastAsia"/>
          <w:sz w:val="21"/>
          <w:szCs w:val="21"/>
        </w:rPr>
        <w:t>。</w:t>
      </w:r>
    </w:p>
    <w:p w14:paraId="31822BE5" w14:textId="77777777" w:rsidR="00063F69" w:rsidRDefault="00063F69">
      <w:pPr>
        <w:spacing w:line="240" w:lineRule="auto"/>
        <w:rPr>
          <w:sz w:val="21"/>
          <w:szCs w:val="21"/>
        </w:rPr>
      </w:pPr>
    </w:p>
    <w:p w14:paraId="69DAC5D5" w14:textId="77777777" w:rsidR="00F17155" w:rsidRDefault="00844BEE">
      <w:pPr>
        <w:spacing w:line="240" w:lineRule="auto"/>
        <w:ind w:firstLineChars="0" w:firstLine="0"/>
        <w:rPr>
          <w:b/>
          <w:bCs/>
        </w:rPr>
      </w:pPr>
      <w:r>
        <w:rPr>
          <w:rFonts w:ascii="宋体" w:hAnsi="宋体" w:cs="宋体" w:hint="eastAsia"/>
          <w:b/>
          <w:bCs/>
        </w:rPr>
        <w:t>1</w:t>
      </w:r>
      <w:r w:rsidR="00C32816">
        <w:rPr>
          <w:rFonts w:ascii="宋体" w:hAnsi="宋体" w:cs="宋体"/>
          <w:b/>
          <w:bCs/>
        </w:rPr>
        <w:t xml:space="preserve"> </w:t>
      </w:r>
      <w:r>
        <w:rPr>
          <w:rFonts w:ascii="宋体" w:hAnsi="宋体" w:cs="宋体" w:hint="eastAsia"/>
          <w:b/>
          <w:bCs/>
        </w:rPr>
        <w:t>设计原理</w:t>
      </w:r>
      <w:r>
        <w:rPr>
          <w:rFonts w:hint="eastAsia"/>
          <w:b/>
          <w:bCs/>
        </w:rPr>
        <w:t xml:space="preserve"> </w:t>
      </w:r>
    </w:p>
    <w:p w14:paraId="08E46DD3" w14:textId="77777777" w:rsidR="00F17155" w:rsidRDefault="00F87C69">
      <w:pPr>
        <w:spacing w:line="240" w:lineRule="auto"/>
        <w:rPr>
          <w:sz w:val="21"/>
          <w:szCs w:val="21"/>
        </w:rPr>
      </w:pPr>
      <w:r w:rsidRPr="00F87C69">
        <w:rPr>
          <w:rFonts w:hint="eastAsia"/>
          <w:sz w:val="21"/>
          <w:szCs w:val="21"/>
        </w:rPr>
        <w:t>在电动力学中，电磁波不仅携带能量，也具有动量。动量可进一步分为线动量与角动量。其中，线动量密度与电磁波的能量密度及光速成正比，而角动量密度则由电场和磁场的分布共同决定。</w:t>
      </w:r>
      <w:r w:rsidR="00844BEE">
        <w:rPr>
          <w:rFonts w:hint="eastAsia"/>
          <w:sz w:val="21"/>
          <w:szCs w:val="21"/>
        </w:rPr>
        <w:t>线动量密度</w:t>
      </w:r>
      <m:oMath>
        <m:acc>
          <m:accPr>
            <m:chr m:val="⃗"/>
            <m:ctrlPr>
              <w:rPr>
                <w:rFonts w:ascii="Cambria Math" w:hAnsi="Cambria Math" w:hint="eastAsia"/>
                <w:i/>
                <w:iCs/>
                <w:sz w:val="21"/>
                <w:szCs w:val="21"/>
              </w:rPr>
            </m:ctrlPr>
          </m:accPr>
          <m:e>
            <m:r>
              <w:rPr>
                <w:rFonts w:ascii="Cambria Math" w:hAnsi="Cambria Math" w:hint="eastAsia"/>
                <w:sz w:val="21"/>
                <w:szCs w:val="21"/>
              </w:rPr>
              <m:t>p</m:t>
            </m:r>
          </m:e>
        </m:acc>
        <m:r>
          <w:rPr>
            <w:rFonts w:ascii="Cambria Math" w:hAnsi="Cambria Math" w:hint="eastAsia"/>
            <w:sz w:val="21"/>
            <w:szCs w:val="21"/>
          </w:rPr>
          <m:t>=</m:t>
        </m:r>
        <w:commentRangeStart w:id="2"/>
        <m:sSub>
          <m:sSubPr>
            <m:ctrlPr>
              <w:rPr>
                <w:rFonts w:ascii="Cambria Math" w:hAnsi="Cambria Math" w:hint="eastAsia"/>
                <w:i/>
                <w:iCs/>
                <w:sz w:val="21"/>
                <w:szCs w:val="21"/>
              </w:rPr>
            </m:ctrlPr>
          </m:sSubPr>
          <m:e>
            <m:r>
              <w:rPr>
                <w:rFonts w:ascii="Cambria Math" w:hAnsi="Cambria Math"/>
                <w:sz w:val="21"/>
                <w:szCs w:val="21"/>
              </w:rPr>
              <m:t>ε</m:t>
            </m:r>
          </m:e>
          <m:sub>
            <m:r>
              <w:rPr>
                <w:rFonts w:ascii="Cambria Math" w:hAnsi="Cambria Math" w:hint="eastAsia"/>
                <w:sz w:val="21"/>
                <w:szCs w:val="21"/>
              </w:rPr>
              <m:t>0</m:t>
            </m:r>
          </m:sub>
        </m:sSub>
        <w:commentRangeEnd w:id="2"/>
        <m:r>
          <m:rPr>
            <m:sty m:val="p"/>
          </m:rPr>
          <w:rPr>
            <w:rStyle w:val="a8"/>
          </w:rPr>
          <w:commentReference w:id="2"/>
        </m:r>
        <m:acc>
          <m:accPr>
            <m:chr m:val="⃗"/>
            <m:ctrlPr>
              <w:rPr>
                <w:rFonts w:ascii="Cambria Math" w:hAnsi="Cambria Math" w:hint="eastAsia"/>
                <w:i/>
                <w:iCs/>
                <w:sz w:val="21"/>
                <w:szCs w:val="21"/>
              </w:rPr>
            </m:ctrlPr>
          </m:accPr>
          <m:e>
            <m:r>
              <w:rPr>
                <w:rFonts w:ascii="Cambria Math" w:hAnsi="Cambria Math" w:hint="eastAsia"/>
                <w:sz w:val="21"/>
                <w:szCs w:val="21"/>
              </w:rPr>
              <m:t>E</m:t>
            </m:r>
          </m:e>
        </m:acc>
        <m:r>
          <w:rPr>
            <w:rFonts w:ascii="Cambria Math" w:hAnsi="Cambria Math" w:hint="eastAsia"/>
            <w:sz w:val="21"/>
            <w:szCs w:val="21"/>
          </w:rPr>
          <m:t>×</m:t>
        </m:r>
        <m:sSup>
          <m:sSupPr>
            <m:ctrlPr>
              <w:rPr>
                <w:rFonts w:ascii="Cambria Math" w:hAnsi="Cambria Math" w:hint="eastAsia"/>
                <w:i/>
                <w:iCs/>
                <w:sz w:val="21"/>
                <w:szCs w:val="21"/>
              </w:rPr>
            </m:ctrlPr>
          </m:sSupPr>
          <m:e>
            <m:acc>
              <m:accPr>
                <m:chr m:val="⃗"/>
                <m:ctrlPr>
                  <w:rPr>
                    <w:rFonts w:ascii="Cambria Math" w:hAnsi="Cambria Math" w:hint="eastAsia"/>
                    <w:i/>
                    <w:iCs/>
                    <w:sz w:val="21"/>
                    <w:szCs w:val="21"/>
                  </w:rPr>
                </m:ctrlPr>
              </m:accPr>
              <m:e>
                <m:r>
                  <w:rPr>
                    <w:rFonts w:ascii="Cambria Math" w:hAnsi="Cambria Math" w:hint="eastAsia"/>
                    <w:sz w:val="21"/>
                    <w:szCs w:val="21"/>
                  </w:rPr>
                  <m:t>B</m:t>
                </m:r>
              </m:e>
            </m:acc>
          </m:e>
          <m:sup>
            <m:r>
              <w:rPr>
                <w:rFonts w:ascii="MS Gothic" w:eastAsia="MS Gothic" w:hAnsi="MS Gothic" w:cs="MS Gothic" w:hint="eastAsia"/>
                <w:sz w:val="21"/>
                <w:szCs w:val="21"/>
              </w:rPr>
              <m:t>*</m:t>
            </m:r>
          </m:sup>
        </m:sSup>
      </m:oMath>
      <w:r w:rsidR="00844BEE">
        <w:rPr>
          <w:rFonts w:hint="eastAsia"/>
          <w:sz w:val="21"/>
          <w:szCs w:val="21"/>
        </w:rPr>
        <w:t>，与力学中的情况类似，电磁波的角动量密度</w:t>
      </w:r>
      <w:commentRangeStart w:id="3"/>
      <m:oMath>
        <m:r>
          <w:rPr>
            <w:rFonts w:ascii="Cambria Math" w:hAnsi="Cambria Math" w:hint="eastAsia"/>
            <w:sz w:val="21"/>
            <w:szCs w:val="21"/>
          </w:rPr>
          <m:t>d</m:t>
        </m:r>
        <m:acc>
          <m:accPr>
            <m:chr m:val="⃗"/>
            <m:ctrlPr>
              <w:rPr>
                <w:rFonts w:ascii="Cambria Math" w:hAnsi="Cambria Math" w:hint="eastAsia"/>
                <w:i/>
                <w:iCs/>
                <w:sz w:val="21"/>
                <w:szCs w:val="21"/>
              </w:rPr>
            </m:ctrlPr>
          </m:accPr>
          <m:e>
            <m:r>
              <w:rPr>
                <w:rFonts w:ascii="Cambria Math" w:hAnsi="Cambria Math" w:hint="eastAsia"/>
                <w:sz w:val="21"/>
                <w:szCs w:val="21"/>
              </w:rPr>
              <m:t>J</m:t>
            </m:r>
          </m:e>
        </m:acc>
        <m:r>
          <w:rPr>
            <w:rFonts w:ascii="Cambria Math" w:hAnsi="Cambria Math" w:hint="eastAsia"/>
            <w:sz w:val="21"/>
            <w:szCs w:val="21"/>
          </w:rPr>
          <m:t>/dV</m:t>
        </m:r>
        <w:commentRangeEnd w:id="3"/>
        <m:r>
          <m:rPr>
            <m:sty m:val="p"/>
          </m:rPr>
          <w:rPr>
            <w:rStyle w:val="a8"/>
          </w:rPr>
          <w:commentReference w:id="3"/>
        </m:r>
      </m:oMath>
      <w:r w:rsidR="00844BEE">
        <w:rPr>
          <w:rFonts w:hint="eastAsia"/>
          <w:sz w:val="21"/>
          <w:szCs w:val="21"/>
        </w:rPr>
        <w:t>与线动量密度</w:t>
      </w:r>
      <m:oMath>
        <m:acc>
          <m:accPr>
            <m:chr m:val="⃗"/>
            <m:ctrlPr>
              <w:rPr>
                <w:rFonts w:ascii="Cambria Math" w:hAnsi="Cambria Math" w:hint="eastAsia"/>
                <w:i/>
                <w:iCs/>
                <w:sz w:val="21"/>
                <w:szCs w:val="21"/>
              </w:rPr>
            </m:ctrlPr>
          </m:accPr>
          <m:e>
            <m:r>
              <w:rPr>
                <w:rFonts w:ascii="Cambria Math" w:hAnsi="Cambria Math" w:hint="eastAsia"/>
                <w:sz w:val="21"/>
                <w:szCs w:val="21"/>
              </w:rPr>
              <m:t>p</m:t>
            </m:r>
          </m:e>
        </m:acc>
      </m:oMath>
      <w:r w:rsidR="00844BEE">
        <w:rPr>
          <w:rFonts w:hint="eastAsia"/>
          <w:sz w:val="21"/>
          <w:szCs w:val="21"/>
        </w:rPr>
        <w:t>存在关系</w:t>
      </w:r>
      <m:oMath>
        <m:r>
          <w:rPr>
            <w:rFonts w:ascii="Cambria Math" w:hAnsi="Cambria Math" w:hint="eastAsia"/>
            <w:sz w:val="21"/>
            <w:szCs w:val="21"/>
          </w:rPr>
          <m:t>d</m:t>
        </m:r>
        <m:acc>
          <m:accPr>
            <m:chr m:val="⃗"/>
            <m:ctrlPr>
              <w:rPr>
                <w:rFonts w:ascii="Cambria Math" w:hAnsi="Cambria Math" w:hint="eastAsia"/>
                <w:i/>
                <w:iCs/>
                <w:sz w:val="21"/>
                <w:szCs w:val="21"/>
              </w:rPr>
            </m:ctrlPr>
          </m:accPr>
          <m:e>
            <m:r>
              <w:rPr>
                <w:rFonts w:ascii="Cambria Math" w:hAnsi="Cambria Math" w:hint="eastAsia"/>
                <w:sz w:val="21"/>
                <w:szCs w:val="21"/>
              </w:rPr>
              <m:t>J</m:t>
            </m:r>
          </m:e>
        </m:acc>
        <m:r>
          <w:rPr>
            <w:rFonts w:ascii="Cambria Math" w:hAnsi="Cambria Math" w:hint="eastAsia"/>
            <w:sz w:val="21"/>
            <w:szCs w:val="21"/>
          </w:rPr>
          <m:t>/dV=</m:t>
        </m:r>
        <m:acc>
          <m:accPr>
            <m:chr m:val="⃗"/>
            <m:ctrlPr>
              <w:rPr>
                <w:rFonts w:ascii="Cambria Math" w:hAnsi="Cambria Math" w:hint="eastAsia"/>
                <w:i/>
                <w:iCs/>
                <w:sz w:val="21"/>
                <w:szCs w:val="21"/>
              </w:rPr>
            </m:ctrlPr>
          </m:accPr>
          <m:e>
            <m:r>
              <w:rPr>
                <w:rFonts w:ascii="Cambria Math" w:hAnsi="Cambria Math" w:hint="eastAsia"/>
                <w:sz w:val="21"/>
                <w:szCs w:val="21"/>
              </w:rPr>
              <m:t>r</m:t>
            </m:r>
          </m:e>
        </m:acc>
        <m:r>
          <w:rPr>
            <w:rFonts w:ascii="Cambria Math" w:hAnsi="Cambria Math" w:hint="eastAsia"/>
            <w:sz w:val="21"/>
            <w:szCs w:val="21"/>
          </w:rPr>
          <m:t>×</m:t>
        </m:r>
        <m:acc>
          <m:accPr>
            <m:chr m:val="⃗"/>
            <m:ctrlPr>
              <w:rPr>
                <w:rFonts w:ascii="Cambria Math" w:hAnsi="Cambria Math" w:hint="eastAsia"/>
                <w:i/>
                <w:iCs/>
                <w:sz w:val="21"/>
                <w:szCs w:val="21"/>
              </w:rPr>
            </m:ctrlPr>
          </m:accPr>
          <m:e>
            <m:r>
              <w:rPr>
                <w:rFonts w:ascii="Cambria Math" w:hAnsi="Cambria Math" w:hint="eastAsia"/>
                <w:sz w:val="21"/>
                <w:szCs w:val="21"/>
              </w:rPr>
              <m:t>p</m:t>
            </m:r>
          </m:e>
        </m:acc>
      </m:oMath>
      <w:r w:rsidR="00844BEE">
        <w:rPr>
          <w:rFonts w:hint="eastAsia"/>
          <w:sz w:val="21"/>
          <w:szCs w:val="21"/>
        </w:rPr>
        <w:t>，其中</w:t>
      </w:r>
      <m:oMath>
        <m:acc>
          <m:accPr>
            <m:chr m:val="⃗"/>
            <m:ctrlPr>
              <w:rPr>
                <w:rFonts w:ascii="Cambria Math" w:hAnsi="Cambria Math" w:hint="eastAsia"/>
                <w:sz w:val="21"/>
                <w:szCs w:val="21"/>
              </w:rPr>
            </m:ctrlPr>
          </m:accPr>
          <m:e>
            <m:r>
              <m:rPr>
                <m:sty m:val="p"/>
              </m:rPr>
              <w:rPr>
                <w:rFonts w:ascii="Cambria Math" w:hAnsi="Cambria Math" w:hint="eastAsia"/>
                <w:sz w:val="21"/>
                <w:szCs w:val="21"/>
              </w:rPr>
              <m:t>r</m:t>
            </m:r>
          </m:e>
        </m:acc>
      </m:oMath>
      <w:r w:rsidR="00844BEE">
        <w:rPr>
          <w:rFonts w:hint="eastAsia"/>
          <w:sz w:val="21"/>
          <w:szCs w:val="21"/>
        </w:rPr>
        <w:t>是位置矢量，</w:t>
      </w:r>
      <m:oMath>
        <m:acc>
          <m:accPr>
            <m:chr m:val="⃗"/>
            <m:ctrlPr>
              <w:rPr>
                <w:rFonts w:ascii="Cambria Math" w:hAnsi="Cambria Math" w:hint="eastAsia"/>
                <w:sz w:val="21"/>
                <w:szCs w:val="21"/>
              </w:rPr>
            </m:ctrlPr>
          </m:accPr>
          <m:e>
            <m:r>
              <w:rPr>
                <w:rFonts w:ascii="Cambria Math" w:hAnsi="Cambria Math" w:hint="eastAsia"/>
                <w:sz w:val="21"/>
                <w:szCs w:val="21"/>
              </w:rPr>
              <m:t>E</m:t>
            </m:r>
          </m:e>
        </m:acc>
      </m:oMath>
      <w:r w:rsidR="00844BEE">
        <w:rPr>
          <w:rFonts w:hint="eastAsia"/>
          <w:sz w:val="21"/>
          <w:szCs w:val="21"/>
        </w:rPr>
        <w:t>和</w:t>
      </w:r>
      <m:oMath>
        <m:acc>
          <m:accPr>
            <m:chr m:val="⃗"/>
            <m:ctrlPr>
              <w:rPr>
                <w:rFonts w:ascii="Cambria Math" w:hAnsi="Cambria Math" w:hint="eastAsia"/>
                <w:i/>
                <w:iCs/>
                <w:sz w:val="21"/>
                <w:szCs w:val="21"/>
              </w:rPr>
            </m:ctrlPr>
          </m:accPr>
          <m:e>
            <m:r>
              <w:rPr>
                <w:rFonts w:ascii="Cambria Math" w:hAnsi="Cambria Math" w:hint="eastAsia"/>
                <w:sz w:val="21"/>
                <w:szCs w:val="21"/>
              </w:rPr>
              <m:t>B</m:t>
            </m:r>
          </m:e>
        </m:acc>
      </m:oMath>
      <w:r w:rsidR="00844BEE">
        <w:rPr>
          <w:rFonts w:hint="eastAsia"/>
          <w:sz w:val="21"/>
          <w:szCs w:val="21"/>
        </w:rPr>
        <w:t>分别是电场强度和磁感应强度，电磁波的角动量</w:t>
      </w:r>
      <m:oMath>
        <m:acc>
          <m:accPr>
            <m:chr m:val="⃗"/>
            <m:ctrlPr>
              <w:rPr>
                <w:rFonts w:ascii="Cambria Math" w:hAnsi="Cambria Math" w:hint="eastAsia"/>
                <w:sz w:val="21"/>
                <w:szCs w:val="21"/>
              </w:rPr>
            </m:ctrlPr>
          </m:accPr>
          <m:e>
            <m:r>
              <m:rPr>
                <m:sty m:val="p"/>
              </m:rPr>
              <w:rPr>
                <w:rFonts w:ascii="Cambria Math" w:hAnsi="Cambria Math" w:hint="eastAsia"/>
                <w:sz w:val="21"/>
                <w:szCs w:val="21"/>
              </w:rPr>
              <m:t>J</m:t>
            </m:r>
          </m:e>
        </m:acc>
      </m:oMath>
      <w:r w:rsidR="00844BEE">
        <w:rPr>
          <w:rFonts w:hint="eastAsia"/>
          <w:sz w:val="21"/>
          <w:szCs w:val="21"/>
        </w:rPr>
        <w:t>可进一步写为</w:t>
      </w:r>
    </w:p>
    <w:p w14:paraId="3E55EB47" w14:textId="499F3345" w:rsidR="00F17155" w:rsidRDefault="008E0542" w:rsidP="00615D6D">
      <w:pPr>
        <w:wordWrap w:val="0"/>
        <w:spacing w:line="240" w:lineRule="auto"/>
        <w:ind w:firstLineChars="0" w:firstLine="0"/>
        <w:jc w:val="right"/>
        <w:rPr>
          <w:rFonts w:ascii="宋体" w:hAnsi="宋体" w:cs="宋体"/>
          <w:i/>
          <w:sz w:val="18"/>
          <w:szCs w:val="18"/>
        </w:rPr>
      </w:pPr>
      <m:oMath>
        <m:acc>
          <m:accPr>
            <m:chr m:val="⃗"/>
            <m:ctrlPr>
              <w:rPr>
                <w:rFonts w:ascii="Cambria Math" w:hAnsi="Cambria Math" w:cs="宋体" w:hint="eastAsia"/>
                <w:i/>
                <w:sz w:val="21"/>
                <w:szCs w:val="21"/>
              </w:rPr>
            </m:ctrlPr>
          </m:accPr>
          <m:e>
            <m:r>
              <w:rPr>
                <w:rFonts w:ascii="Cambria Math" w:hAnsi="Cambria Math" w:cs="宋体" w:hint="eastAsia"/>
                <w:sz w:val="21"/>
                <w:szCs w:val="21"/>
              </w:rPr>
              <m:t>J</m:t>
            </m:r>
          </m:e>
        </m:acc>
        <m:r>
          <w:rPr>
            <w:rFonts w:ascii="Cambria Math" w:hAnsi="Cambria Math" w:cs="宋体" w:hint="eastAsia"/>
            <w:sz w:val="21"/>
            <w:szCs w:val="21"/>
          </w:rPr>
          <m:t>=</m:t>
        </m:r>
        <m:sSub>
          <m:sSubPr>
            <m:ctrlPr>
              <w:rPr>
                <w:rFonts w:ascii="Cambria Math" w:hAnsi="Cambria Math" w:cs="宋体" w:hint="eastAsia"/>
                <w:i/>
                <w:sz w:val="21"/>
                <w:szCs w:val="21"/>
              </w:rPr>
            </m:ctrlPr>
          </m:sSubPr>
          <m:e>
            <m:r>
              <w:rPr>
                <w:rFonts w:ascii="Cambria Math" w:hAnsi="Cambria Math" w:cs="宋体"/>
                <w:sz w:val="21"/>
                <w:szCs w:val="21"/>
              </w:rPr>
              <m:t>ε</m:t>
            </m:r>
          </m:e>
          <m:sub>
            <m:r>
              <w:rPr>
                <w:rFonts w:ascii="Cambria Math" w:hAnsi="Cambria Math" w:cs="宋体" w:hint="eastAsia"/>
                <w:sz w:val="21"/>
                <w:szCs w:val="21"/>
              </w:rPr>
              <m:t>0</m:t>
            </m:r>
          </m:sub>
        </m:sSub>
        <m:nary>
          <m:naryPr>
            <m:limLoc m:val="undOvr"/>
            <m:subHide m:val="1"/>
            <m:supHide m:val="1"/>
            <m:ctrlPr>
              <w:rPr>
                <w:rFonts w:ascii="Cambria Math" w:hAnsi="Cambria Math" w:cs="宋体" w:hint="eastAsia"/>
                <w:i/>
                <w:sz w:val="21"/>
                <w:szCs w:val="21"/>
              </w:rPr>
            </m:ctrlPr>
          </m:naryPr>
          <m:sub/>
          <m:sup/>
          <m:e>
            <m:acc>
              <m:accPr>
                <m:chr m:val="⃗"/>
                <m:ctrlPr>
                  <w:rPr>
                    <w:rFonts w:ascii="Cambria Math" w:hAnsi="Cambria Math" w:cs="宋体" w:hint="eastAsia"/>
                    <w:i/>
                    <w:sz w:val="21"/>
                    <w:szCs w:val="21"/>
                  </w:rPr>
                </m:ctrlPr>
              </m:accPr>
              <m:e>
                <m:r>
                  <w:rPr>
                    <w:rFonts w:ascii="Cambria Math" w:hAnsi="Cambria Math" w:cs="宋体" w:hint="eastAsia"/>
                    <w:sz w:val="21"/>
                    <w:szCs w:val="21"/>
                  </w:rPr>
                  <m:t>r</m:t>
                </m:r>
              </m:e>
            </m:acc>
          </m:e>
        </m:nary>
        <m:r>
          <w:rPr>
            <w:rFonts w:ascii="Cambria Math" w:hAnsi="Cambria Math" w:cs="宋体" w:hint="eastAsia"/>
            <w:sz w:val="21"/>
            <w:szCs w:val="21"/>
          </w:rPr>
          <m:t>×</m:t>
        </m:r>
        <m:r>
          <w:rPr>
            <w:rFonts w:ascii="Cambria Math" w:hAnsi="Cambria Math" w:cs="宋体" w:hint="eastAsia"/>
            <w:sz w:val="21"/>
            <w:szCs w:val="21"/>
          </w:rPr>
          <m:t>Re</m:t>
        </m:r>
        <m:d>
          <m:dPr>
            <m:begChr m:val="{"/>
            <m:endChr m:val=""/>
            <m:ctrlPr>
              <w:rPr>
                <w:rFonts w:ascii="Cambria Math" w:hAnsi="Cambria Math" w:cs="宋体" w:hint="eastAsia"/>
                <w:i/>
                <w:sz w:val="21"/>
                <w:szCs w:val="21"/>
              </w:rPr>
            </m:ctrlPr>
          </m:dPr>
          <m:e>
            <m:acc>
              <m:accPr>
                <m:chr m:val="⃗"/>
                <m:ctrlPr>
                  <w:rPr>
                    <w:rFonts w:ascii="Cambria Math" w:hAnsi="Cambria Math" w:cs="宋体" w:hint="eastAsia"/>
                    <w:i/>
                    <w:sz w:val="21"/>
                    <w:szCs w:val="21"/>
                  </w:rPr>
                </m:ctrlPr>
              </m:accPr>
              <m:e>
                <m:r>
                  <w:rPr>
                    <w:rFonts w:ascii="Cambria Math" w:hAnsi="Cambria Math" w:cs="宋体" w:hint="eastAsia"/>
                    <w:sz w:val="21"/>
                    <w:szCs w:val="21"/>
                  </w:rPr>
                  <m:t>E</m:t>
                </m:r>
              </m:e>
            </m:acc>
          </m:e>
        </m:d>
        <m:r>
          <w:rPr>
            <w:rFonts w:ascii="Cambria Math" w:hAnsi="Cambria Math" w:cs="宋体" w:hint="eastAsia"/>
            <w:sz w:val="21"/>
            <w:szCs w:val="21"/>
          </w:rPr>
          <m:t>×</m:t>
        </m:r>
        <m:sSup>
          <m:sSupPr>
            <m:ctrlPr>
              <w:rPr>
                <w:rFonts w:ascii="Cambria Math" w:hAnsi="Cambria Math" w:cs="宋体" w:hint="eastAsia"/>
                <w:i/>
                <w:sz w:val="21"/>
                <w:szCs w:val="21"/>
              </w:rPr>
            </m:ctrlPr>
          </m:sSupPr>
          <m:e>
            <m:acc>
              <m:accPr>
                <m:chr m:val="⃗"/>
                <m:ctrlPr>
                  <w:rPr>
                    <w:rFonts w:ascii="Cambria Math" w:hAnsi="Cambria Math" w:cs="宋体" w:hint="eastAsia"/>
                    <w:i/>
                    <w:sz w:val="21"/>
                    <w:szCs w:val="21"/>
                  </w:rPr>
                </m:ctrlPr>
              </m:accPr>
              <m:e>
                <m:r>
                  <w:rPr>
                    <w:rFonts w:ascii="Cambria Math" w:hAnsi="Cambria Math" w:cs="宋体" w:hint="eastAsia"/>
                    <w:sz w:val="21"/>
                    <w:szCs w:val="21"/>
                  </w:rPr>
                  <m:t>B</m:t>
                </m:r>
              </m:e>
            </m:acc>
          </m:e>
          <m:sup>
            <m:r>
              <w:rPr>
                <w:rFonts w:ascii="Cambria Math" w:eastAsia="MS Gothic" w:hAnsi="Cambria Math" w:cs="MS Gothic" w:hint="eastAsia"/>
                <w:sz w:val="21"/>
                <w:szCs w:val="21"/>
              </w:rPr>
              <m:t>*</m:t>
            </m:r>
          </m:sup>
        </m:sSup>
        <m:r>
          <w:rPr>
            <w:rFonts w:ascii="Cambria Math" w:hAnsi="Cambria Math" w:cs="宋体" w:hint="eastAsia"/>
            <w:sz w:val="21"/>
            <w:szCs w:val="21"/>
          </w:rPr>
          <m:t>}dV</m:t>
        </m:r>
      </m:oMath>
      <w:r w:rsidR="00615D6D">
        <w:rPr>
          <w:rFonts w:ascii="宋体" w:hAnsi="宋体" w:cs="宋体" w:hint="eastAsia"/>
          <w:sz w:val="21"/>
          <w:szCs w:val="21"/>
        </w:rPr>
        <w:t xml:space="preserve">  </w:t>
      </w:r>
      <w:r w:rsidR="00615D6D">
        <w:rPr>
          <w:rFonts w:ascii="宋体" w:hAnsi="宋体" w:cs="宋体"/>
          <w:sz w:val="21"/>
          <w:szCs w:val="21"/>
        </w:rPr>
        <w:t xml:space="preserve">                        </w:t>
      </w:r>
      <w:r w:rsidR="00615D6D" w:rsidRPr="00615D6D">
        <w:rPr>
          <w:rFonts w:ascii="宋体" w:hAnsi="宋体" w:cs="宋体" w:hint="eastAsia"/>
          <w:sz w:val="21"/>
          <w:szCs w:val="21"/>
        </w:rPr>
        <w:t>（1）</w:t>
      </w:r>
    </w:p>
    <w:p w14:paraId="012FE268" w14:textId="32ADB008" w:rsidR="00F17155" w:rsidRDefault="00844BEE">
      <w:pPr>
        <w:spacing w:line="240" w:lineRule="auto"/>
        <w:rPr>
          <w:sz w:val="21"/>
          <w:szCs w:val="21"/>
        </w:rPr>
      </w:pPr>
      <w:r>
        <w:rPr>
          <w:rFonts w:hint="eastAsia"/>
          <w:sz w:val="21"/>
          <w:szCs w:val="21"/>
        </w:rPr>
        <w:t>电磁波的角动量</w:t>
      </w:r>
      <m:oMath>
        <m:acc>
          <m:accPr>
            <m:chr m:val="⃗"/>
            <m:ctrlPr>
              <w:rPr>
                <w:rFonts w:ascii="Cambria Math" w:hAnsi="Cambria Math" w:hint="eastAsia"/>
                <w:sz w:val="21"/>
                <w:szCs w:val="21"/>
              </w:rPr>
            </m:ctrlPr>
          </m:accPr>
          <m:e>
            <m:r>
              <m:rPr>
                <m:sty m:val="p"/>
              </m:rPr>
              <w:rPr>
                <w:rFonts w:ascii="Cambria Math" w:hAnsi="Cambria Math" w:hint="eastAsia"/>
                <w:sz w:val="21"/>
                <w:szCs w:val="21"/>
              </w:rPr>
              <m:t>J</m:t>
            </m:r>
          </m:e>
        </m:acc>
      </m:oMath>
      <w:r>
        <w:rPr>
          <w:rFonts w:hint="eastAsia"/>
          <w:sz w:val="21"/>
          <w:szCs w:val="21"/>
        </w:rPr>
        <w:t>由自旋角动量</w:t>
      </w:r>
      <m:oMath>
        <m:acc>
          <m:accPr>
            <m:chr m:val="⃗"/>
            <m:ctrlPr>
              <w:rPr>
                <w:rFonts w:ascii="Cambria Math" w:hAnsi="Cambria Math" w:cs="宋体" w:hint="eastAsia"/>
                <w:i/>
                <w:color w:val="000000" w:themeColor="text1"/>
                <w:sz w:val="21"/>
                <w:szCs w:val="21"/>
              </w:rPr>
            </m:ctrlPr>
          </m:accPr>
          <m:e>
            <m:r>
              <w:rPr>
                <w:rFonts w:ascii="Cambria Math" w:hAnsi="Cambria Math" w:cs="宋体"/>
                <w:color w:val="000000" w:themeColor="text1"/>
                <w:sz w:val="21"/>
                <w:szCs w:val="21"/>
              </w:rPr>
              <m:t>S</m:t>
            </m:r>
          </m:e>
        </m:acc>
      </m:oMath>
      <w:r>
        <w:rPr>
          <w:rFonts w:hint="eastAsia"/>
          <w:sz w:val="21"/>
          <w:szCs w:val="21"/>
        </w:rPr>
        <w:t>和</w:t>
      </w:r>
      <w:r>
        <w:rPr>
          <w:rFonts w:hint="eastAsia"/>
          <w:color w:val="000000" w:themeColor="text1"/>
          <w:sz w:val="21"/>
          <w:szCs w:val="21"/>
        </w:rPr>
        <w:t>轨道角动量</w:t>
      </w:r>
      <m:oMath>
        <m:acc>
          <m:accPr>
            <m:chr m:val="⃗"/>
            <m:ctrlPr>
              <w:rPr>
                <w:rFonts w:ascii="Cambria Math" w:hAnsi="Cambria Math" w:hint="eastAsia"/>
                <w:i/>
                <w:iCs/>
                <w:color w:val="000000" w:themeColor="text1"/>
                <w:sz w:val="21"/>
                <w:szCs w:val="21"/>
              </w:rPr>
            </m:ctrlPr>
          </m:accPr>
          <m:e>
            <m:r>
              <w:rPr>
                <w:rFonts w:ascii="Cambria Math" w:hAnsi="Cambria Math"/>
                <w:color w:val="000000" w:themeColor="text1"/>
                <w:sz w:val="21"/>
                <w:szCs w:val="21"/>
              </w:rPr>
              <m:t>L</m:t>
            </m:r>
          </m:e>
        </m:acc>
      </m:oMath>
      <w:r>
        <w:rPr>
          <w:rFonts w:hint="eastAsia"/>
          <w:color w:val="000000" w:themeColor="text1"/>
          <w:sz w:val="21"/>
          <w:szCs w:val="21"/>
        </w:rPr>
        <w:t>两部分组成</w:t>
      </w:r>
      <w:r w:rsidR="00264591">
        <w:rPr>
          <w:rFonts w:hint="eastAsia"/>
          <w:color w:val="000000" w:themeColor="text1"/>
          <w:sz w:val="21"/>
          <w:szCs w:val="21"/>
        </w:rPr>
        <w:t>。</w:t>
      </w:r>
      <w:r>
        <w:rPr>
          <w:rFonts w:hint="eastAsia"/>
          <w:color w:val="000000" w:themeColor="text1"/>
          <w:sz w:val="21"/>
          <w:szCs w:val="21"/>
        </w:rPr>
        <w:t>为了简化分析，其表达式如下</w:t>
      </w:r>
      <w:r>
        <w:rPr>
          <w:color w:val="000000" w:themeColor="text1"/>
          <w:sz w:val="21"/>
          <w:szCs w:val="21"/>
        </w:rPr>
        <w:t xml:space="preserve"> </w:t>
      </w:r>
    </w:p>
    <w:p w14:paraId="250D5A91" w14:textId="06CAD5C7" w:rsidR="00F17155" w:rsidRDefault="008E0542" w:rsidP="00615D6D">
      <w:pPr>
        <w:wordWrap w:val="0"/>
        <w:spacing w:line="240" w:lineRule="auto"/>
        <w:ind w:firstLineChars="0" w:firstLine="0"/>
        <w:jc w:val="right"/>
        <w:rPr>
          <w:rFonts w:ascii="宋体" w:hAnsi="宋体" w:cs="宋体"/>
          <w:i/>
          <w:iCs/>
          <w:sz w:val="18"/>
          <w:szCs w:val="18"/>
        </w:rPr>
      </w:pPr>
      <m:oMath>
        <m:acc>
          <m:accPr>
            <m:chr m:val="⃗"/>
            <m:ctrlPr>
              <w:rPr>
                <w:rFonts w:ascii="Cambria Math" w:hAnsi="Cambria Math" w:cs="宋体" w:hint="eastAsia"/>
                <w:i/>
                <w:iCs/>
                <w:sz w:val="21"/>
                <w:szCs w:val="21"/>
              </w:rPr>
            </m:ctrlPr>
          </m:accPr>
          <m:e>
            <m:r>
              <w:rPr>
                <w:rFonts w:ascii="Cambria Math" w:hAnsi="Cambria Math" w:cs="宋体" w:hint="eastAsia"/>
                <w:sz w:val="21"/>
                <w:szCs w:val="21"/>
              </w:rPr>
              <m:t>S</m:t>
            </m:r>
          </m:e>
        </m:acc>
        <m:r>
          <w:rPr>
            <w:rFonts w:ascii="Cambria Math" w:hAnsi="Cambria Math" w:cs="宋体" w:hint="eastAsia"/>
            <w:sz w:val="21"/>
            <w:szCs w:val="21"/>
          </w:rPr>
          <m:t>=</m:t>
        </m:r>
        <m:sSub>
          <m:sSubPr>
            <m:ctrlPr>
              <w:rPr>
                <w:rFonts w:ascii="Cambria Math" w:hAnsi="Cambria Math" w:cs="宋体" w:hint="eastAsia"/>
                <w:i/>
                <w:iCs/>
                <w:sz w:val="21"/>
                <w:szCs w:val="21"/>
              </w:rPr>
            </m:ctrlPr>
          </m:sSubPr>
          <m:e>
            <m:r>
              <w:rPr>
                <w:rFonts w:ascii="Cambria Math" w:hAnsi="Cambria Math" w:cs="宋体"/>
                <w:sz w:val="21"/>
                <w:szCs w:val="21"/>
              </w:rPr>
              <m:t>ε</m:t>
            </m:r>
          </m:e>
          <m:sub>
            <m:r>
              <w:rPr>
                <w:rFonts w:ascii="Cambria Math" w:hAnsi="Cambria Math" w:cs="宋体" w:hint="eastAsia"/>
                <w:sz w:val="21"/>
                <w:szCs w:val="21"/>
              </w:rPr>
              <m:t>0</m:t>
            </m:r>
          </m:sub>
        </m:sSub>
        <m:nary>
          <m:naryPr>
            <m:limLoc m:val="undOvr"/>
            <m:subHide m:val="1"/>
            <m:supHide m:val="1"/>
            <m:ctrlPr>
              <w:rPr>
                <w:rFonts w:ascii="Cambria Math" w:hAnsi="Cambria Math" w:cs="宋体" w:hint="eastAsia"/>
                <w:i/>
                <w:iCs/>
                <w:sz w:val="21"/>
                <w:szCs w:val="21"/>
              </w:rPr>
            </m:ctrlPr>
          </m:naryPr>
          <m:sub/>
          <m:sup/>
          <m:e>
            <m:r>
              <w:rPr>
                <w:rFonts w:ascii="Cambria Math" w:hAnsi="Cambria Math" w:cs="宋体" w:hint="eastAsia"/>
                <w:sz w:val="21"/>
                <w:szCs w:val="21"/>
              </w:rPr>
              <m:t>Re{</m:t>
            </m:r>
            <m:sSup>
              <m:sSupPr>
                <m:ctrlPr>
                  <w:rPr>
                    <w:rFonts w:ascii="Cambria Math" w:hAnsi="Cambria Math" w:cs="宋体" w:hint="eastAsia"/>
                    <w:i/>
                    <w:iCs/>
                    <w:sz w:val="21"/>
                    <w:szCs w:val="21"/>
                  </w:rPr>
                </m:ctrlPr>
              </m:sSupPr>
              <m:e>
                <m:acc>
                  <m:accPr>
                    <m:chr m:val="⃗"/>
                    <m:ctrlPr>
                      <w:rPr>
                        <w:rFonts w:ascii="Cambria Math" w:hAnsi="Cambria Math" w:cs="宋体" w:hint="eastAsia"/>
                        <w:i/>
                        <w:iCs/>
                        <w:sz w:val="21"/>
                        <w:szCs w:val="21"/>
                      </w:rPr>
                    </m:ctrlPr>
                  </m:accPr>
                  <m:e>
                    <m:r>
                      <w:rPr>
                        <w:rFonts w:ascii="Cambria Math" w:hAnsi="Cambria Math" w:cs="宋体" w:hint="eastAsia"/>
                        <w:sz w:val="21"/>
                        <w:szCs w:val="21"/>
                      </w:rPr>
                      <m:t>E</m:t>
                    </m:r>
                  </m:e>
                </m:acc>
              </m:e>
              <m:sup>
                <m:r>
                  <w:rPr>
                    <w:rFonts w:ascii="Cambria Math" w:eastAsia="MS Gothic" w:hAnsi="Cambria Math" w:cs="MS Gothic" w:hint="eastAsia"/>
                    <w:sz w:val="21"/>
                    <w:szCs w:val="21"/>
                  </w:rPr>
                  <m:t>*</m:t>
                </m:r>
              </m:sup>
            </m:sSup>
            <m:r>
              <w:rPr>
                <w:rFonts w:ascii="Cambria Math" w:hAnsi="Cambria Math" w:cs="宋体" w:hint="eastAsia"/>
                <w:sz w:val="21"/>
                <w:szCs w:val="21"/>
              </w:rPr>
              <m:t>×</m:t>
            </m:r>
            <m:acc>
              <m:accPr>
                <m:chr m:val="⃗"/>
                <m:ctrlPr>
                  <w:rPr>
                    <w:rFonts w:ascii="Cambria Math" w:hAnsi="Cambria Math" w:cs="宋体" w:hint="eastAsia"/>
                    <w:i/>
                    <w:iCs/>
                    <w:sz w:val="21"/>
                    <w:szCs w:val="21"/>
                  </w:rPr>
                </m:ctrlPr>
              </m:accPr>
              <m:e>
                <m:r>
                  <w:rPr>
                    <w:rFonts w:ascii="Cambria Math" w:hAnsi="Cambria Math" w:cs="宋体" w:hint="eastAsia"/>
                    <w:sz w:val="21"/>
                    <w:szCs w:val="21"/>
                  </w:rPr>
                  <m:t>A</m:t>
                </m:r>
              </m:e>
            </m:acc>
            <m:r>
              <w:rPr>
                <w:rFonts w:ascii="Cambria Math" w:hAnsi="Cambria Math" w:cs="宋体" w:hint="eastAsia"/>
                <w:sz w:val="21"/>
                <w:szCs w:val="21"/>
              </w:rPr>
              <m:t>}dV</m:t>
            </m:r>
          </m:e>
        </m:nary>
      </m:oMath>
      <w:r w:rsidR="00615D6D">
        <w:rPr>
          <w:rFonts w:ascii="宋体" w:hAnsi="宋体" w:cs="宋体" w:hint="eastAsia"/>
          <w:iCs/>
          <w:sz w:val="21"/>
          <w:szCs w:val="21"/>
        </w:rPr>
        <w:t xml:space="preserve">  </w:t>
      </w:r>
      <w:r w:rsidR="00615D6D">
        <w:rPr>
          <w:rFonts w:ascii="宋体" w:hAnsi="宋体" w:cs="宋体"/>
          <w:iCs/>
          <w:sz w:val="21"/>
          <w:szCs w:val="21"/>
        </w:rPr>
        <w:t xml:space="preserve">                          </w:t>
      </w:r>
      <w:commentRangeStart w:id="4"/>
      <w:r w:rsidR="00615D6D" w:rsidRPr="00615D6D">
        <w:rPr>
          <w:rFonts w:ascii="宋体" w:hAnsi="宋体" w:cs="宋体" w:hint="eastAsia"/>
          <w:sz w:val="21"/>
          <w:szCs w:val="21"/>
        </w:rPr>
        <w:t>（</w:t>
      </w:r>
      <w:r w:rsidR="00615D6D">
        <w:rPr>
          <w:rFonts w:ascii="宋体" w:hAnsi="宋体" w:cs="宋体"/>
          <w:sz w:val="21"/>
          <w:szCs w:val="21"/>
        </w:rPr>
        <w:t>2</w:t>
      </w:r>
      <w:r w:rsidR="00615D6D" w:rsidRPr="00615D6D">
        <w:rPr>
          <w:rFonts w:ascii="宋体" w:hAnsi="宋体" w:cs="宋体" w:hint="eastAsia"/>
          <w:sz w:val="21"/>
          <w:szCs w:val="21"/>
        </w:rPr>
        <w:t>）</w:t>
      </w:r>
      <w:commentRangeEnd w:id="4"/>
      <w:r w:rsidR="00C52CB2">
        <w:rPr>
          <w:rStyle w:val="a8"/>
        </w:rPr>
        <w:commentReference w:id="4"/>
      </w:r>
    </w:p>
    <w:p w14:paraId="0C583BA8" w14:textId="6FFD8477" w:rsidR="00F17155" w:rsidRDefault="008E0542" w:rsidP="00615D6D">
      <w:pPr>
        <w:wordWrap w:val="0"/>
        <w:spacing w:line="240" w:lineRule="auto"/>
        <w:jc w:val="right"/>
        <w:rPr>
          <w:i/>
          <w:sz w:val="21"/>
          <w:szCs w:val="21"/>
        </w:rPr>
      </w:pPr>
      <m:oMath>
        <m:acc>
          <m:accPr>
            <m:chr m:val="⃗"/>
            <m:ctrlPr>
              <w:rPr>
                <w:rFonts w:ascii="Cambria Math" w:hAnsi="Cambria Math" w:hint="eastAsia"/>
                <w:i/>
                <w:sz w:val="21"/>
                <w:szCs w:val="21"/>
              </w:rPr>
            </m:ctrlPr>
          </m:accPr>
          <m:e>
            <m:r>
              <w:rPr>
                <w:rFonts w:ascii="Cambria Math" w:hAnsi="Cambria Math" w:hint="eastAsia"/>
                <w:sz w:val="21"/>
                <w:szCs w:val="21"/>
              </w:rPr>
              <m:t>L</m:t>
            </m:r>
          </m:e>
        </m:acc>
        <m:r>
          <w:rPr>
            <w:rFonts w:ascii="Cambria Math" w:hAnsi="Cambria Math" w:hint="eastAsia"/>
            <w:sz w:val="21"/>
            <w:szCs w:val="21"/>
          </w:rPr>
          <m:t>=</m:t>
        </m:r>
        <m:sSub>
          <m:sSubPr>
            <m:ctrlPr>
              <w:rPr>
                <w:rFonts w:ascii="Cambria Math" w:hAnsi="Cambria Math" w:hint="eastAsia"/>
                <w:i/>
                <w:sz w:val="21"/>
                <w:szCs w:val="21"/>
              </w:rPr>
            </m:ctrlPr>
          </m:sSubPr>
          <m:e>
            <m:r>
              <w:rPr>
                <w:rFonts w:ascii="Cambria Math" w:hAnsi="Cambria Math"/>
                <w:sz w:val="21"/>
                <w:szCs w:val="21"/>
              </w:rPr>
              <m:t>ε</m:t>
            </m:r>
          </m:e>
          <m:sub>
            <m:r>
              <w:rPr>
                <w:rFonts w:ascii="Cambria Math" w:hAnsi="Cambria Math" w:hint="eastAsia"/>
                <w:sz w:val="21"/>
                <w:szCs w:val="21"/>
              </w:rPr>
              <m:t>0</m:t>
            </m:r>
          </m:sub>
        </m:sSub>
        <m:nary>
          <m:naryPr>
            <m:limLoc m:val="undOvr"/>
            <m:subHide m:val="1"/>
            <m:supHide m:val="1"/>
            <m:ctrlPr>
              <w:rPr>
                <w:rFonts w:ascii="Cambria Math" w:hAnsi="Cambria Math" w:hint="eastAsia"/>
                <w:i/>
                <w:sz w:val="21"/>
                <w:szCs w:val="21"/>
              </w:rPr>
            </m:ctrlPr>
          </m:naryPr>
          <m:sub/>
          <m:sup/>
          <m:e>
            <m:r>
              <w:rPr>
                <w:rFonts w:ascii="Cambria Math" w:hAnsi="Cambria Math" w:hint="eastAsia"/>
                <w:color w:val="000000" w:themeColor="text1"/>
                <w:sz w:val="21"/>
                <w:szCs w:val="21"/>
              </w:rPr>
              <m:t>Re{</m:t>
            </m:r>
            <m:sSup>
              <m:sSupPr>
                <m:ctrlPr>
                  <w:rPr>
                    <w:rFonts w:ascii="Cambria Math" w:hAnsi="Cambria Math" w:hint="eastAsia"/>
                    <w:i/>
                    <w:color w:val="000000" w:themeColor="text1"/>
                    <w:sz w:val="21"/>
                    <w:szCs w:val="21"/>
                  </w:rPr>
                </m:ctrlPr>
              </m:sSupPr>
              <m:e>
                <m:r>
                  <w:rPr>
                    <w:rFonts w:ascii="Cambria Math" w:hAnsi="Cambria Math" w:hint="eastAsia"/>
                    <w:color w:val="000000" w:themeColor="text1"/>
                    <w:sz w:val="21"/>
                    <w:szCs w:val="21"/>
                  </w:rPr>
                  <m:t>j</m:t>
                </m:r>
                <m:acc>
                  <m:accPr>
                    <m:chr m:val="⃗"/>
                    <m:ctrlPr>
                      <w:rPr>
                        <w:rFonts w:ascii="Cambria Math" w:hAnsi="Cambria Math" w:hint="eastAsia"/>
                        <w:i/>
                        <w:color w:val="000000" w:themeColor="text1"/>
                        <w:sz w:val="21"/>
                        <w:szCs w:val="21"/>
                      </w:rPr>
                    </m:ctrlPr>
                  </m:accPr>
                  <m:e>
                    <m:r>
                      <w:rPr>
                        <w:rFonts w:ascii="Cambria Math" w:hAnsi="Cambria Math" w:hint="eastAsia"/>
                        <w:color w:val="000000" w:themeColor="text1"/>
                        <w:sz w:val="21"/>
                        <w:szCs w:val="21"/>
                      </w:rPr>
                      <m:t>E</m:t>
                    </m:r>
                  </m:e>
                </m:acc>
              </m:e>
              <m:sup>
                <m:r>
                  <w:rPr>
                    <w:rFonts w:ascii="Cambria Math" w:eastAsia="MS Gothic" w:hAnsi="Cambria Math" w:cs="MS Gothic" w:hint="eastAsia"/>
                    <w:color w:val="000000" w:themeColor="text1"/>
                    <w:sz w:val="21"/>
                    <w:szCs w:val="21"/>
                  </w:rPr>
                  <m:t>*</m:t>
                </m:r>
              </m:sup>
            </m:sSup>
            <m:r>
              <w:rPr>
                <w:rFonts w:ascii="Cambria Math" w:hAnsi="Cambria Math" w:hint="eastAsia"/>
                <w:color w:val="000000" w:themeColor="text1"/>
                <w:sz w:val="21"/>
                <w:szCs w:val="21"/>
              </w:rPr>
              <m:t>(</m:t>
            </m:r>
            <m:acc>
              <m:accPr>
                <m:ctrlPr>
                  <w:rPr>
                    <w:rFonts w:ascii="Cambria Math" w:hAnsi="Cambria Math" w:hint="eastAsia"/>
                    <w:i/>
                    <w:color w:val="000000" w:themeColor="text1"/>
                    <w:sz w:val="21"/>
                    <w:szCs w:val="21"/>
                  </w:rPr>
                </m:ctrlPr>
              </m:accPr>
              <m:e>
                <m:r>
                  <w:rPr>
                    <w:rFonts w:ascii="Cambria Math" w:hAnsi="Cambria Math" w:hint="eastAsia"/>
                    <w:color w:val="000000" w:themeColor="text1"/>
                    <w:sz w:val="21"/>
                    <w:szCs w:val="21"/>
                  </w:rPr>
                  <m:t>L</m:t>
                </m:r>
              </m:e>
            </m:acc>
            <m:r>
              <w:rPr>
                <w:rFonts w:ascii="Cambria Math" w:eastAsia="微软雅黑" w:hAnsi="Cambria Math" w:cs="微软雅黑" w:hint="eastAsia"/>
                <w:color w:val="000000" w:themeColor="text1"/>
                <w:sz w:val="21"/>
                <w:szCs w:val="21"/>
              </w:rPr>
              <m:t>∙</m:t>
            </m:r>
            <m:box>
              <m:boxPr>
                <m:opEmu m:val="1"/>
                <m:ctrlPr>
                  <w:rPr>
                    <w:rFonts w:ascii="Cambria Math" w:hAnsi="Cambria Math"/>
                    <w:i/>
                    <w:color w:val="000000" w:themeColor="text1"/>
                    <w:sz w:val="21"/>
                    <w:szCs w:val="21"/>
                  </w:rPr>
                </m:ctrlPr>
              </m:boxPr>
              <m:e>
                <m:acc>
                  <m:accPr>
                    <m:chr m:val="⃗"/>
                    <m:ctrlPr>
                      <w:rPr>
                        <w:rFonts w:ascii="Cambria Math" w:hAnsi="Cambria Math" w:cs="宋体" w:hint="eastAsia"/>
                        <w:i/>
                        <w:color w:val="000000" w:themeColor="text1"/>
                        <w:sz w:val="21"/>
                        <w:szCs w:val="21"/>
                      </w:rPr>
                    </m:ctrlPr>
                  </m:accPr>
                  <m:e>
                    <m:r>
                      <w:rPr>
                        <w:rFonts w:ascii="Cambria Math" w:hAnsi="Cambria Math" w:cs="宋体" w:hint="eastAsia"/>
                        <w:color w:val="000000" w:themeColor="text1"/>
                        <w:sz w:val="21"/>
                        <w:szCs w:val="21"/>
                      </w:rPr>
                      <m:t>A</m:t>
                    </m:r>
                  </m:e>
                </m:acc>
              </m:e>
            </m:box>
            <m:r>
              <w:rPr>
                <w:rFonts w:ascii="Cambria Math" w:hAnsi="Cambria Math" w:hint="eastAsia"/>
                <w:color w:val="000000" w:themeColor="text1"/>
                <w:sz w:val="21"/>
                <w:szCs w:val="21"/>
              </w:rPr>
              <m:t>)}dV</m:t>
            </m:r>
          </m:e>
        </m:nary>
      </m:oMath>
      <w:r w:rsidR="00615D6D">
        <w:rPr>
          <w:rFonts w:ascii="宋体" w:hAnsi="宋体" w:cs="宋体" w:hint="eastAsia"/>
          <w:sz w:val="21"/>
          <w:szCs w:val="21"/>
        </w:rPr>
        <w:t xml:space="preserve">  </w:t>
      </w:r>
      <w:r w:rsidR="00615D6D">
        <w:rPr>
          <w:rFonts w:ascii="宋体" w:hAnsi="宋体" w:cs="宋体"/>
          <w:sz w:val="21"/>
          <w:szCs w:val="21"/>
        </w:rPr>
        <w:t xml:space="preserve">                        </w:t>
      </w:r>
      <w:r w:rsidR="00615D6D" w:rsidRPr="00615D6D">
        <w:rPr>
          <w:rFonts w:ascii="宋体" w:hAnsi="宋体" w:cs="宋体" w:hint="eastAsia"/>
          <w:sz w:val="21"/>
          <w:szCs w:val="21"/>
        </w:rPr>
        <w:t>（</w:t>
      </w:r>
      <w:r w:rsidR="00615D6D">
        <w:rPr>
          <w:rFonts w:ascii="宋体" w:hAnsi="宋体" w:cs="宋体"/>
          <w:sz w:val="21"/>
          <w:szCs w:val="21"/>
        </w:rPr>
        <w:t>3</w:t>
      </w:r>
      <w:r w:rsidR="00615D6D" w:rsidRPr="00615D6D">
        <w:rPr>
          <w:rFonts w:ascii="宋体" w:hAnsi="宋体" w:cs="宋体" w:hint="eastAsia"/>
          <w:sz w:val="21"/>
          <w:szCs w:val="21"/>
        </w:rPr>
        <w:t>）</w:t>
      </w:r>
    </w:p>
    <w:p w14:paraId="0138D2E8" w14:textId="77777777" w:rsidR="008E5AA7" w:rsidRDefault="00615D6D" w:rsidP="008E5AA7">
      <w:pPr>
        <w:spacing w:line="240" w:lineRule="auto"/>
        <w:ind w:firstLineChars="0" w:firstLine="0"/>
        <w:rPr>
          <w:color w:val="000000" w:themeColor="text1"/>
          <w:sz w:val="21"/>
          <w:szCs w:val="21"/>
        </w:rPr>
      </w:pPr>
      <w:r>
        <w:rPr>
          <w:rFonts w:hint="eastAsia"/>
          <w:color w:val="000000" w:themeColor="text1"/>
          <w:sz w:val="21"/>
          <w:szCs w:val="21"/>
        </w:rPr>
        <w:t>其中，</w:t>
      </w:r>
      <w:r w:rsidR="008E5AA7" w:rsidRPr="008E5AA7">
        <w:rPr>
          <w:rFonts w:hint="eastAsia"/>
          <w:color w:val="000000" w:themeColor="text1"/>
          <w:sz w:val="21"/>
          <w:szCs w:val="21"/>
        </w:rPr>
        <w:t>自旋角动量与电磁波的极化相关，而轨道角动量则取决于其相位分布。本文采用线极化电磁波作为入射波，通过超表面对其相位分布进行调控，以产生携带轨道角动量的涡旋电磁波。该天线系统主要由馈源喇叭天线和反射型超表面构成。其工作过程为：从馈源喇叭天线发出的入射波，经反射阵列面调制后形成特定的</w:t>
      </w:r>
      <m:oMath>
        <m:r>
          <w:rPr>
            <w:rFonts w:ascii="Cambria Math" w:hAnsi="Cambria Math" w:hint="eastAsia"/>
            <w:color w:val="000000" w:themeColor="text1"/>
            <w:sz w:val="21"/>
            <w:szCs w:val="21"/>
          </w:rPr>
          <m:t>exp(</m:t>
        </m:r>
        <m:r>
          <w:rPr>
            <w:rFonts w:ascii="微软雅黑" w:eastAsia="微软雅黑" w:hAnsi="微软雅黑" w:cs="微软雅黑" w:hint="eastAsia"/>
            <w:color w:val="000000" w:themeColor="text1"/>
            <w:sz w:val="21"/>
            <w:szCs w:val="21"/>
          </w:rPr>
          <m:t>-</m:t>
        </m:r>
        <m:r>
          <w:rPr>
            <w:rFonts w:ascii="Cambria Math" w:hAnsi="Cambria Math" w:hint="eastAsia"/>
            <w:color w:val="000000" w:themeColor="text1"/>
            <w:sz w:val="21"/>
            <w:szCs w:val="21"/>
          </w:rPr>
          <m:t>jl</m:t>
        </m:r>
        <m:r>
          <w:rPr>
            <w:rFonts w:ascii="Cambria Math" w:hAnsi="Cambria Math"/>
            <w:color w:val="000000" w:themeColor="text1"/>
            <w:sz w:val="21"/>
            <w:szCs w:val="21"/>
          </w:rPr>
          <m:t>φ</m:t>
        </m:r>
        <m:r>
          <w:rPr>
            <w:rFonts w:ascii="Cambria Math" w:hAnsi="Cambria Math" w:hint="eastAsia"/>
            <w:color w:val="000000" w:themeColor="text1"/>
            <w:sz w:val="21"/>
            <w:szCs w:val="21"/>
          </w:rPr>
          <m:t>)</m:t>
        </m:r>
      </m:oMath>
      <w:r w:rsidR="008E5AA7" w:rsidRPr="008E5AA7">
        <w:rPr>
          <w:rFonts w:hint="eastAsia"/>
        </w:rPr>
        <w:t xml:space="preserve"> </w:t>
      </w:r>
      <w:r w:rsidR="008E5AA7" w:rsidRPr="008E5AA7">
        <w:rPr>
          <w:rFonts w:hint="eastAsia"/>
          <w:color w:val="000000" w:themeColor="text1"/>
          <w:sz w:val="21"/>
          <w:szCs w:val="21"/>
        </w:rPr>
        <w:t>相位分布，从而激发出所需的</w:t>
      </w:r>
      <w:r w:rsidR="008E5AA7" w:rsidRPr="008E5AA7">
        <w:rPr>
          <w:rFonts w:hint="eastAsia"/>
          <w:color w:val="000000" w:themeColor="text1"/>
          <w:sz w:val="21"/>
          <w:szCs w:val="21"/>
        </w:rPr>
        <w:t>OAM</w:t>
      </w:r>
      <w:r w:rsidR="008E5AA7" w:rsidRPr="008E5AA7">
        <w:rPr>
          <w:rFonts w:hint="eastAsia"/>
          <w:color w:val="000000" w:themeColor="text1"/>
          <w:sz w:val="21"/>
          <w:szCs w:val="21"/>
        </w:rPr>
        <w:t>涡旋波束。在设计中，由于每个超表面单元都能独立调控反射相位，因此需要为每个单元设计对应的相位值，理想情况下应实现</w:t>
      </w:r>
      <w:r w:rsidR="008E5AA7" w:rsidRPr="008E5AA7">
        <w:rPr>
          <w:rFonts w:hint="eastAsia"/>
          <w:color w:val="000000" w:themeColor="text1"/>
          <w:sz w:val="21"/>
          <w:szCs w:val="21"/>
        </w:rPr>
        <w:t>360</w:t>
      </w:r>
      <w:r w:rsidR="008E5AA7" w:rsidRPr="008E5AA7">
        <w:rPr>
          <w:rFonts w:hint="eastAsia"/>
          <w:color w:val="000000" w:themeColor="text1"/>
          <w:sz w:val="21"/>
          <w:szCs w:val="21"/>
        </w:rPr>
        <w:t>°的相位覆盖。</w:t>
      </w:r>
    </w:p>
    <w:p w14:paraId="6F86A084" w14:textId="277D9CB1" w:rsidR="00F17155" w:rsidRDefault="003A2BCE" w:rsidP="008E5AA7">
      <w:pPr>
        <w:spacing w:line="240" w:lineRule="auto"/>
        <w:ind w:firstLineChars="0"/>
        <w:rPr>
          <w:rFonts w:ascii="宋体" w:hAnsi="宋体" w:cs="宋体"/>
          <w:sz w:val="18"/>
          <w:szCs w:val="18"/>
        </w:rPr>
      </w:pPr>
      <w:r>
        <w:rPr>
          <w:rFonts w:hAnsi="Cambria Math" w:hint="eastAsia"/>
          <w:iCs/>
          <w:sz w:val="21"/>
          <w:szCs w:val="21"/>
        </w:rPr>
        <w:t>在模型</w:t>
      </w:r>
      <w:r>
        <w:rPr>
          <w:rFonts w:hAnsi="Cambria Math"/>
          <w:iCs/>
          <w:sz w:val="21"/>
          <w:szCs w:val="21"/>
        </w:rPr>
        <w:t>中，</w:t>
      </w:r>
      <w:r>
        <w:rPr>
          <w:rFonts w:hAnsi="Cambria Math" w:hint="eastAsia"/>
          <w:iCs/>
          <w:sz w:val="21"/>
          <w:szCs w:val="21"/>
        </w:rPr>
        <w:t>本</w:t>
      </w:r>
      <w:r>
        <w:rPr>
          <w:rFonts w:hAnsi="Cambria Math"/>
          <w:iCs/>
          <w:sz w:val="21"/>
          <w:szCs w:val="21"/>
        </w:rPr>
        <w:t>文</w:t>
      </w:r>
      <w:r w:rsidR="00844BEE">
        <w:rPr>
          <w:rFonts w:hAnsi="Cambria Math" w:hint="eastAsia"/>
          <w:iCs/>
          <w:sz w:val="21"/>
          <w:szCs w:val="21"/>
        </w:rPr>
        <w:t>用</w:t>
      </w:r>
      <w:r>
        <w:rPr>
          <w:rFonts w:hAnsi="Cambria Math" w:hint="eastAsia"/>
          <w:iCs/>
          <w:sz w:val="21"/>
          <w:szCs w:val="21"/>
        </w:rPr>
        <w:t>矢量</w:t>
      </w:r>
      <m:oMath>
        <m:sSub>
          <m:sSubPr>
            <m:ctrlPr>
              <w:rPr>
                <w:rFonts w:ascii="Cambria Math" w:hAnsi="Cambria Math" w:hint="eastAsia"/>
                <w:i/>
                <w:iCs/>
                <w:sz w:val="21"/>
                <w:szCs w:val="21"/>
              </w:rPr>
            </m:ctrlPr>
          </m:sSubPr>
          <m:e>
            <m:acc>
              <m:accPr>
                <m:chr m:val="⃗"/>
                <m:ctrlPr>
                  <w:rPr>
                    <w:rFonts w:ascii="Cambria Math" w:hAnsi="Cambria Math" w:hint="eastAsia"/>
                    <w:i/>
                    <w:iCs/>
                    <w:sz w:val="21"/>
                    <w:szCs w:val="21"/>
                  </w:rPr>
                </m:ctrlPr>
              </m:accPr>
              <m:e>
                <m:r>
                  <w:rPr>
                    <w:rFonts w:ascii="Cambria Math" w:hAnsi="Cambria Math" w:hint="eastAsia"/>
                    <w:sz w:val="21"/>
                    <w:szCs w:val="21"/>
                  </w:rPr>
                  <m:t>r</m:t>
                </m:r>
              </m:e>
            </m:acc>
          </m:e>
          <m:sub>
            <m:r>
              <w:rPr>
                <w:rFonts w:ascii="Cambria Math" w:hAnsi="Cambria Math" w:hint="eastAsia"/>
                <w:sz w:val="21"/>
                <w:szCs w:val="21"/>
              </w:rPr>
              <m:t>f</m:t>
            </m:r>
          </m:sub>
        </m:sSub>
      </m:oMath>
      <w:r w:rsidR="00844BEE">
        <w:rPr>
          <w:rFonts w:hint="eastAsia"/>
          <w:sz w:val="21"/>
          <w:szCs w:val="21"/>
        </w:rPr>
        <w:t>表示馈源喇叭天线的中心位置到超表面</w:t>
      </w:r>
      <w:r>
        <w:rPr>
          <w:rFonts w:hint="eastAsia"/>
          <w:sz w:val="21"/>
          <w:szCs w:val="21"/>
        </w:rPr>
        <w:t>参考</w:t>
      </w:r>
      <w:r>
        <w:rPr>
          <w:sz w:val="21"/>
          <w:szCs w:val="21"/>
        </w:rPr>
        <w:t>点</w:t>
      </w:r>
      <w:r w:rsidR="00844BEE">
        <w:rPr>
          <w:rFonts w:hint="eastAsia"/>
          <w:sz w:val="21"/>
          <w:szCs w:val="21"/>
        </w:rPr>
        <w:t>的距离</w:t>
      </w:r>
      <w:r>
        <w:rPr>
          <w:rFonts w:hint="eastAsia"/>
          <w:sz w:val="21"/>
          <w:szCs w:val="21"/>
        </w:rPr>
        <w:t>。</w:t>
      </w:r>
      <w:r w:rsidRPr="003A2BCE">
        <w:rPr>
          <w:rFonts w:hint="eastAsia"/>
          <w:sz w:val="21"/>
          <w:szCs w:val="21"/>
        </w:rPr>
        <w:t>入射电磁波自馈源发出，照射至由</w:t>
      </w:r>
      <w:r w:rsidR="00844BEE">
        <w:rPr>
          <w:rFonts w:hint="eastAsia"/>
          <w:i/>
          <w:iCs/>
          <w:sz w:val="21"/>
          <w:szCs w:val="21"/>
        </w:rPr>
        <w:t>M</w:t>
      </w:r>
      <w:r w:rsidR="00844BEE">
        <w:rPr>
          <w:rFonts w:hint="eastAsia"/>
          <w:i/>
          <w:iCs/>
          <w:sz w:val="21"/>
          <w:szCs w:val="21"/>
        </w:rPr>
        <w:t>×</w:t>
      </w:r>
      <w:r w:rsidR="00844BEE">
        <w:rPr>
          <w:rFonts w:hint="eastAsia"/>
          <w:i/>
          <w:iCs/>
          <w:sz w:val="21"/>
          <w:szCs w:val="21"/>
        </w:rPr>
        <w:t>N</w:t>
      </w:r>
      <w:r w:rsidRPr="003A2BCE">
        <w:rPr>
          <w:rFonts w:hint="eastAsia"/>
          <w:sz w:val="21"/>
          <w:szCs w:val="21"/>
        </w:rPr>
        <w:t>个单元构成的反射型超表面上。空间中任意观</w:t>
      </w:r>
      <w:r>
        <w:rPr>
          <w:rFonts w:hint="eastAsia"/>
          <w:sz w:val="21"/>
          <w:szCs w:val="21"/>
        </w:rPr>
        <w:t>察点处的总电场，可视为该超表面上所有单元所产生辐射场的叠加结果</w:t>
      </w:r>
      <w:r w:rsidR="00844BEE">
        <w:rPr>
          <w:rFonts w:hint="eastAsia"/>
          <w:sz w:val="21"/>
          <w:szCs w:val="21"/>
        </w:rPr>
        <w:t>，可表示</w:t>
      </w:r>
      <w:r w:rsidR="00C52CB2">
        <w:rPr>
          <w:rFonts w:hint="eastAsia"/>
          <w:sz w:val="21"/>
          <w:szCs w:val="21"/>
        </w:rPr>
        <w:t>为</w:t>
      </w:r>
    </w:p>
    <w:commentRangeStart w:id="5"/>
    <w:p w14:paraId="1AC8CCFF" w14:textId="728233BB" w:rsidR="00F17155" w:rsidRDefault="008E0542" w:rsidP="00C52CB2">
      <w:pPr>
        <w:wordWrap w:val="0"/>
        <w:spacing w:line="240" w:lineRule="auto"/>
        <w:ind w:firstLineChars="0" w:firstLine="0"/>
        <w:jc w:val="right"/>
        <w:rPr>
          <w:rFonts w:ascii="宋体" w:hAnsi="宋体" w:cs="宋体"/>
          <w:i/>
          <w:sz w:val="21"/>
          <w:szCs w:val="21"/>
        </w:rPr>
      </w:pPr>
      <m:oMath>
        <m:acc>
          <m:accPr>
            <m:chr m:val="⃗"/>
            <m:ctrlPr>
              <w:rPr>
                <w:rFonts w:ascii="Cambria Math" w:hAnsi="Cambria Math" w:cs="宋体" w:hint="eastAsia"/>
                <w:i/>
                <w:sz w:val="21"/>
                <w:szCs w:val="21"/>
              </w:rPr>
            </m:ctrlPr>
          </m:accPr>
          <m:e>
            <m:r>
              <w:rPr>
                <w:rFonts w:ascii="Cambria Math" w:hAnsi="Cambria Math" w:cs="宋体" w:hint="eastAsia"/>
                <w:sz w:val="21"/>
                <w:szCs w:val="21"/>
              </w:rPr>
              <m:t>E</m:t>
            </m:r>
          </m:e>
        </m:acc>
        <m:r>
          <w:rPr>
            <w:rFonts w:ascii="Cambria Math" w:hAnsi="Cambria Math" w:cs="宋体" w:hint="eastAsia"/>
            <w:sz w:val="21"/>
            <w:szCs w:val="21"/>
          </w:rPr>
          <m:t>(</m:t>
        </m:r>
        <m:acc>
          <m:accPr>
            <m:ctrlPr>
              <w:rPr>
                <w:rFonts w:ascii="Cambria Math" w:hAnsi="Cambria Math" w:cs="宋体" w:hint="eastAsia"/>
                <w:i/>
                <w:sz w:val="21"/>
                <w:szCs w:val="21"/>
              </w:rPr>
            </m:ctrlPr>
          </m:accPr>
          <m:e>
            <m:r>
              <w:rPr>
                <w:rFonts w:ascii="Cambria Math" w:hAnsi="Cambria Math" w:cs="宋体" w:hint="eastAsia"/>
                <w:sz w:val="21"/>
                <w:szCs w:val="21"/>
              </w:rPr>
              <m:t>u</m:t>
            </m:r>
          </m:e>
        </m:acc>
        <m:r>
          <w:rPr>
            <w:rFonts w:ascii="Cambria Math" w:hAnsi="Cambria Math" w:cs="宋体" w:hint="eastAsia"/>
            <w:sz w:val="21"/>
            <w:szCs w:val="21"/>
          </w:rPr>
          <m:t>)=</m:t>
        </m:r>
        <m:nary>
          <m:naryPr>
            <m:chr m:val="∑"/>
            <m:limLoc m:val="undOvr"/>
            <m:ctrlPr>
              <w:rPr>
                <w:rFonts w:ascii="Cambria Math" w:hAnsi="Cambria Math" w:cs="宋体" w:hint="eastAsia"/>
                <w:i/>
                <w:sz w:val="21"/>
                <w:szCs w:val="21"/>
              </w:rPr>
            </m:ctrlPr>
          </m:naryPr>
          <m:sub>
            <m:r>
              <w:rPr>
                <w:rFonts w:ascii="Cambria Math" w:hAnsi="Cambria Math" w:cs="宋体" w:hint="eastAsia"/>
                <w:sz w:val="21"/>
                <w:szCs w:val="21"/>
              </w:rPr>
              <m:t>m=1</m:t>
            </m:r>
          </m:sub>
          <m:sup>
            <m:r>
              <w:rPr>
                <w:rFonts w:ascii="Cambria Math" w:hAnsi="Cambria Math" w:cs="宋体" w:hint="eastAsia"/>
                <w:sz w:val="21"/>
                <w:szCs w:val="21"/>
              </w:rPr>
              <m:t>M</m:t>
            </m:r>
          </m:sup>
          <m:e>
            <m:nary>
              <m:naryPr>
                <m:chr m:val="∑"/>
                <m:limLoc m:val="undOvr"/>
                <m:ctrlPr>
                  <w:rPr>
                    <w:rFonts w:ascii="Cambria Math" w:hAnsi="Cambria Math" w:cs="宋体" w:hint="eastAsia"/>
                    <w:i/>
                    <w:sz w:val="21"/>
                    <w:szCs w:val="21"/>
                  </w:rPr>
                </m:ctrlPr>
              </m:naryPr>
              <m:sub>
                <m:r>
                  <w:rPr>
                    <w:rFonts w:ascii="Cambria Math" w:hAnsi="Cambria Math" w:cs="宋体" w:hint="eastAsia"/>
                    <w:sz w:val="21"/>
                    <w:szCs w:val="21"/>
                  </w:rPr>
                  <m:t>n=1</m:t>
                </m:r>
              </m:sub>
              <m:sup>
                <m:r>
                  <w:rPr>
                    <w:rFonts w:ascii="Cambria Math" w:hAnsi="Cambria Math" w:cs="宋体" w:hint="eastAsia"/>
                    <w:sz w:val="21"/>
                    <w:szCs w:val="21"/>
                  </w:rPr>
                  <m:t>N</m:t>
                </m:r>
              </m:sup>
              <m:e>
                <m:r>
                  <w:rPr>
                    <w:rFonts w:ascii="Cambria Math" w:hAnsi="Cambria Math" w:cs="宋体" w:hint="eastAsia"/>
                    <w:sz w:val="21"/>
                    <w:szCs w:val="21"/>
                  </w:rPr>
                  <m:t>F(</m:t>
                </m:r>
                <m:sSub>
                  <m:sSubPr>
                    <m:ctrlPr>
                      <w:rPr>
                        <w:rFonts w:ascii="Cambria Math" w:hAnsi="Cambria Math" w:cs="宋体" w:hint="eastAsia"/>
                        <w:i/>
                        <w:sz w:val="21"/>
                        <w:szCs w:val="21"/>
                      </w:rPr>
                    </m:ctrlPr>
                  </m:sSubPr>
                  <m:e>
                    <m:acc>
                      <m:accPr>
                        <m:chr m:val="⃗"/>
                        <m:ctrlPr>
                          <w:rPr>
                            <w:rFonts w:ascii="Cambria Math" w:hAnsi="Cambria Math" w:cs="宋体" w:hint="eastAsia"/>
                            <w:i/>
                            <w:sz w:val="21"/>
                            <w:szCs w:val="21"/>
                          </w:rPr>
                        </m:ctrlPr>
                      </m:accPr>
                      <m:e>
                        <m:r>
                          <w:rPr>
                            <w:rFonts w:ascii="Cambria Math" w:hAnsi="Cambria Math" w:cs="宋体" w:hint="eastAsia"/>
                            <w:sz w:val="21"/>
                            <w:szCs w:val="21"/>
                          </w:rPr>
                          <m:t>r</m:t>
                        </m:r>
                      </m:e>
                    </m:acc>
                  </m:e>
                  <m:sub>
                    <m:r>
                      <w:rPr>
                        <w:rFonts w:ascii="Cambria Math" w:hAnsi="Cambria Math" w:cs="宋体" w:hint="eastAsia"/>
                        <w:sz w:val="21"/>
                        <w:szCs w:val="21"/>
                      </w:rPr>
                      <m:t>mn</m:t>
                    </m:r>
                  </m:sub>
                </m:sSub>
                <m:r>
                  <w:rPr>
                    <w:rFonts w:ascii="Cambria Math" w:hAnsi="Cambria Math" w:cs="宋体" w:hint="eastAsia"/>
                    <w:sz w:val="21"/>
                    <w:szCs w:val="21"/>
                  </w:rPr>
                  <m:t>∙</m:t>
                </m:r>
                <m:sSub>
                  <m:sSubPr>
                    <m:ctrlPr>
                      <w:rPr>
                        <w:rFonts w:ascii="Cambria Math" w:hAnsi="Cambria Math" w:cs="宋体" w:hint="eastAsia"/>
                        <w:i/>
                        <w:sz w:val="21"/>
                        <w:szCs w:val="21"/>
                      </w:rPr>
                    </m:ctrlPr>
                  </m:sSubPr>
                  <m:e>
                    <m:acc>
                      <m:accPr>
                        <m:ctrlPr>
                          <w:rPr>
                            <w:rFonts w:ascii="Cambria Math" w:hAnsi="Cambria Math" w:cs="宋体" w:hint="eastAsia"/>
                            <w:i/>
                            <w:sz w:val="21"/>
                            <w:szCs w:val="21"/>
                          </w:rPr>
                        </m:ctrlPr>
                      </m:accPr>
                      <m:e>
                        <m:r>
                          <w:rPr>
                            <w:rFonts w:ascii="Cambria Math" w:hAnsi="Cambria Math" w:cs="宋体" w:hint="eastAsia"/>
                            <w:sz w:val="21"/>
                            <w:szCs w:val="21"/>
                          </w:rPr>
                          <m:t>u</m:t>
                        </m:r>
                      </m:e>
                    </m:acc>
                  </m:e>
                  <m:sub>
                    <m:r>
                      <w:rPr>
                        <w:rFonts w:ascii="Cambria Math" w:hAnsi="Cambria Math" w:cs="宋体" w:hint="eastAsia"/>
                        <w:sz w:val="21"/>
                        <w:szCs w:val="21"/>
                      </w:rPr>
                      <m:t>0</m:t>
                    </m:r>
                  </m:sub>
                </m:sSub>
                <m:r>
                  <w:rPr>
                    <w:rFonts w:ascii="Cambria Math" w:hAnsi="Cambria Math" w:cs="宋体" w:hint="eastAsia"/>
                    <w:sz w:val="21"/>
                    <w:szCs w:val="21"/>
                  </w:rPr>
                  <m:t>)A(</m:t>
                </m:r>
                <m:sSub>
                  <m:sSubPr>
                    <m:ctrlPr>
                      <w:rPr>
                        <w:rFonts w:ascii="Cambria Math" w:hAnsi="Cambria Math" w:cs="宋体" w:hint="eastAsia"/>
                        <w:i/>
                        <w:sz w:val="21"/>
                        <w:szCs w:val="21"/>
                      </w:rPr>
                    </m:ctrlPr>
                  </m:sSubPr>
                  <m:e>
                    <m:acc>
                      <m:accPr>
                        <m:ctrlPr>
                          <w:rPr>
                            <w:rFonts w:ascii="Cambria Math" w:hAnsi="Cambria Math" w:cs="宋体" w:hint="eastAsia"/>
                            <w:i/>
                            <w:sz w:val="21"/>
                            <w:szCs w:val="21"/>
                          </w:rPr>
                        </m:ctrlPr>
                      </m:accPr>
                      <m:e>
                        <m:r>
                          <w:rPr>
                            <w:rFonts w:ascii="Cambria Math" w:hAnsi="Cambria Math" w:cs="宋体" w:hint="eastAsia"/>
                            <w:sz w:val="21"/>
                            <w:szCs w:val="21"/>
                          </w:rPr>
                          <m:t>u</m:t>
                        </m:r>
                      </m:e>
                    </m:acc>
                  </m:e>
                  <m:sub>
                    <m:r>
                      <w:rPr>
                        <w:rFonts w:ascii="Cambria Math" w:hAnsi="Cambria Math" w:cs="宋体" w:hint="eastAsia"/>
                        <w:sz w:val="21"/>
                        <w:szCs w:val="21"/>
                      </w:rPr>
                      <m:t>0</m:t>
                    </m:r>
                  </m:sub>
                </m:sSub>
                <m:r>
                  <w:rPr>
                    <w:rFonts w:ascii="Cambria Math" w:hAnsi="Cambria Math" w:cs="宋体" w:hint="eastAsia"/>
                    <w:sz w:val="21"/>
                    <w:szCs w:val="21"/>
                  </w:rPr>
                  <m:t>∙</m:t>
                </m:r>
                <m:acc>
                  <m:accPr>
                    <m:ctrlPr>
                      <w:rPr>
                        <w:rFonts w:ascii="Cambria Math" w:hAnsi="Cambria Math" w:cs="宋体" w:hint="eastAsia"/>
                        <w:i/>
                        <w:sz w:val="21"/>
                        <w:szCs w:val="21"/>
                      </w:rPr>
                    </m:ctrlPr>
                  </m:accPr>
                  <m:e>
                    <m:r>
                      <w:rPr>
                        <w:rFonts w:ascii="Cambria Math" w:hAnsi="Cambria Math" w:cs="宋体" w:hint="eastAsia"/>
                        <w:sz w:val="21"/>
                        <w:szCs w:val="21"/>
                      </w:rPr>
                      <m:t>u</m:t>
                    </m:r>
                  </m:e>
                </m:acc>
                <m:r>
                  <w:rPr>
                    <w:rFonts w:ascii="Cambria Math" w:hAnsi="Cambria Math" w:cs="宋体" w:hint="eastAsia"/>
                    <w:sz w:val="21"/>
                    <w:szCs w:val="21"/>
                  </w:rPr>
                  <m:t>)</m:t>
                </m:r>
              </m:e>
            </m:nary>
          </m:e>
        </m:nary>
      </m:oMath>
      <w:r w:rsidR="00C52CB2">
        <w:rPr>
          <w:rFonts w:ascii="宋体" w:hAnsi="宋体" w:cs="宋体" w:hint="eastAsia"/>
          <w:sz w:val="21"/>
          <w:szCs w:val="21"/>
        </w:rPr>
        <w:t xml:space="preserve">  </w:t>
      </w:r>
      <w:r w:rsidR="00C52CB2">
        <w:rPr>
          <w:rFonts w:ascii="宋体" w:hAnsi="宋体" w:cs="宋体"/>
          <w:sz w:val="21"/>
          <w:szCs w:val="21"/>
        </w:rPr>
        <w:t xml:space="preserve">            </w:t>
      </w:r>
      <w:r w:rsidR="00C52CB2" w:rsidRPr="00615D6D">
        <w:rPr>
          <w:rFonts w:ascii="宋体" w:hAnsi="宋体" w:cs="宋体" w:hint="eastAsia"/>
          <w:sz w:val="21"/>
          <w:szCs w:val="21"/>
        </w:rPr>
        <w:t>（</w:t>
      </w:r>
      <w:r w:rsidR="00C52CB2">
        <w:rPr>
          <w:rFonts w:ascii="宋体" w:hAnsi="宋体" w:cs="宋体"/>
          <w:sz w:val="21"/>
          <w:szCs w:val="21"/>
        </w:rPr>
        <w:t>4</w:t>
      </w:r>
      <w:r w:rsidR="00C52CB2" w:rsidRPr="00615D6D">
        <w:rPr>
          <w:rFonts w:ascii="宋体" w:hAnsi="宋体" w:cs="宋体" w:hint="eastAsia"/>
          <w:sz w:val="21"/>
          <w:szCs w:val="21"/>
        </w:rPr>
        <w:t>）</w:t>
      </w:r>
    </w:p>
    <w:p w14:paraId="246D1733" w14:textId="63FF4B12" w:rsidR="00F17155" w:rsidRDefault="00844BEE" w:rsidP="00C52CB2">
      <w:pPr>
        <w:wordWrap w:val="0"/>
        <w:spacing w:line="240" w:lineRule="auto"/>
        <w:ind w:firstLineChars="0" w:firstLine="0"/>
        <w:jc w:val="right"/>
        <w:rPr>
          <w:rFonts w:ascii="宋体" w:hAnsi="宋体" w:cs="宋体"/>
          <w:sz w:val="21"/>
          <w:szCs w:val="21"/>
        </w:rPr>
      </w:pPr>
      <m:oMath>
        <m:r>
          <w:rPr>
            <w:rFonts w:ascii="Cambria Math" w:hAnsi="Cambria Math" w:cs="宋体" w:hint="eastAsia"/>
            <w:sz w:val="21"/>
            <w:szCs w:val="21"/>
          </w:rPr>
          <m:t>∙</m:t>
        </m:r>
        <m:r>
          <w:rPr>
            <w:rFonts w:ascii="Cambria Math" w:hAnsi="Cambria Math" w:cs="宋体" w:hint="eastAsia"/>
            <w:sz w:val="21"/>
            <w:szCs w:val="21"/>
          </w:rPr>
          <m:t>exp{</m:t>
        </m:r>
        <m:r>
          <w:rPr>
            <w:rFonts w:ascii="Cambria Math" w:hAnsi="Cambria Math" w:cs="宋体" w:hint="eastAsia"/>
            <w:sz w:val="21"/>
            <w:szCs w:val="21"/>
          </w:rPr>
          <m:t>-</m:t>
        </m:r>
        <m:r>
          <w:rPr>
            <w:rFonts w:ascii="Cambria Math" w:hAnsi="Cambria Math" w:cs="宋体" w:hint="eastAsia"/>
            <w:sz w:val="21"/>
            <w:szCs w:val="21"/>
          </w:rPr>
          <m:t>j</m:t>
        </m:r>
        <m:sSub>
          <m:sSubPr>
            <m:ctrlPr>
              <w:rPr>
                <w:rFonts w:ascii="Cambria Math" w:hAnsi="Cambria Math" w:cs="宋体" w:hint="eastAsia"/>
                <w:i/>
                <w:sz w:val="21"/>
                <w:szCs w:val="21"/>
              </w:rPr>
            </m:ctrlPr>
          </m:sSubPr>
          <m:e>
            <m:r>
              <w:rPr>
                <w:rFonts w:ascii="Cambria Math" w:hAnsi="Cambria Math" w:cs="宋体" w:hint="eastAsia"/>
                <w:sz w:val="21"/>
                <w:szCs w:val="21"/>
              </w:rPr>
              <m:t>k</m:t>
            </m:r>
          </m:e>
          <m:sub>
            <m:r>
              <w:rPr>
                <w:rFonts w:ascii="Cambria Math" w:hAnsi="Cambria Math" w:cs="宋体" w:hint="eastAsia"/>
                <w:sz w:val="21"/>
                <w:szCs w:val="21"/>
              </w:rPr>
              <m:t>0</m:t>
            </m:r>
          </m:sub>
        </m:sSub>
        <m:r>
          <w:rPr>
            <w:rFonts w:ascii="Cambria Math" w:hAnsi="Cambria Math" w:cs="宋体" w:hint="eastAsia"/>
            <w:sz w:val="21"/>
            <w:szCs w:val="21"/>
          </w:rPr>
          <m:t>[</m:t>
        </m:r>
        <m:d>
          <m:dPr>
            <m:begChr m:val="|"/>
            <m:endChr m:val="|"/>
            <m:ctrlPr>
              <w:rPr>
                <w:rFonts w:ascii="Cambria Math" w:hAnsi="Cambria Math" w:cs="宋体" w:hint="eastAsia"/>
                <w:i/>
                <w:sz w:val="21"/>
                <w:szCs w:val="21"/>
              </w:rPr>
            </m:ctrlPr>
          </m:dPr>
          <m:e>
            <m:sSub>
              <m:sSubPr>
                <m:ctrlPr>
                  <w:rPr>
                    <w:rFonts w:ascii="Cambria Math" w:hAnsi="Cambria Math" w:cs="宋体" w:hint="eastAsia"/>
                    <w:i/>
                    <w:sz w:val="21"/>
                    <w:szCs w:val="21"/>
                  </w:rPr>
                </m:ctrlPr>
              </m:sSubPr>
              <m:e>
                <m:acc>
                  <m:accPr>
                    <m:chr m:val="⃗"/>
                    <m:ctrlPr>
                      <w:rPr>
                        <w:rFonts w:ascii="Cambria Math" w:hAnsi="Cambria Math" w:cs="宋体" w:hint="eastAsia"/>
                        <w:i/>
                        <w:sz w:val="21"/>
                        <w:szCs w:val="21"/>
                      </w:rPr>
                    </m:ctrlPr>
                  </m:accPr>
                  <m:e>
                    <m:r>
                      <w:rPr>
                        <w:rFonts w:ascii="Cambria Math" w:hAnsi="Cambria Math" w:cs="宋体" w:hint="eastAsia"/>
                        <w:sz w:val="21"/>
                        <w:szCs w:val="21"/>
                      </w:rPr>
                      <m:t>r</m:t>
                    </m:r>
                  </m:e>
                </m:acc>
              </m:e>
              <m:sub>
                <m:r>
                  <w:rPr>
                    <w:rFonts w:ascii="Cambria Math" w:hAnsi="Cambria Math" w:cs="宋体" w:hint="eastAsia"/>
                    <w:sz w:val="21"/>
                    <w:szCs w:val="21"/>
                  </w:rPr>
                  <m:t>mn</m:t>
                </m:r>
              </m:sub>
            </m:sSub>
            <m:r>
              <w:rPr>
                <w:rFonts w:ascii="Cambria Math" w:hAnsi="Cambria Math" w:cs="宋体" w:hint="eastAsia"/>
                <w:sz w:val="21"/>
                <w:szCs w:val="21"/>
              </w:rPr>
              <m:t>-</m:t>
            </m:r>
            <m:sSub>
              <m:sSubPr>
                <m:ctrlPr>
                  <w:rPr>
                    <w:rFonts w:ascii="Cambria Math" w:hAnsi="Cambria Math" w:cs="宋体" w:hint="eastAsia"/>
                    <w:i/>
                    <w:sz w:val="21"/>
                    <w:szCs w:val="21"/>
                  </w:rPr>
                </m:ctrlPr>
              </m:sSubPr>
              <m:e>
                <m:acc>
                  <m:accPr>
                    <m:chr m:val="⃗"/>
                    <m:ctrlPr>
                      <w:rPr>
                        <w:rFonts w:ascii="Cambria Math" w:hAnsi="Cambria Math" w:cs="宋体" w:hint="eastAsia"/>
                        <w:i/>
                        <w:sz w:val="21"/>
                        <w:szCs w:val="21"/>
                      </w:rPr>
                    </m:ctrlPr>
                  </m:accPr>
                  <m:e>
                    <m:r>
                      <w:rPr>
                        <w:rFonts w:ascii="Cambria Math" w:hAnsi="Cambria Math" w:cs="宋体" w:hint="eastAsia"/>
                        <w:sz w:val="21"/>
                        <w:szCs w:val="21"/>
                      </w:rPr>
                      <m:t>r</m:t>
                    </m:r>
                  </m:e>
                </m:acc>
              </m:e>
              <m:sub>
                <m:r>
                  <w:rPr>
                    <w:rFonts w:ascii="Cambria Math" w:hAnsi="Cambria Math" w:cs="宋体" w:hint="eastAsia"/>
                    <w:sz w:val="21"/>
                    <w:szCs w:val="21"/>
                  </w:rPr>
                  <m:t>f</m:t>
                </m:r>
              </m:sub>
            </m:sSub>
          </m:e>
        </m:d>
        <m:r>
          <w:rPr>
            <w:rFonts w:ascii="Cambria Math" w:hAnsi="Cambria Math" w:cs="宋体" w:hint="eastAsia"/>
            <w:sz w:val="21"/>
            <w:szCs w:val="21"/>
          </w:rPr>
          <m:t>+</m:t>
        </m:r>
        <m:sSub>
          <m:sSubPr>
            <m:ctrlPr>
              <w:rPr>
                <w:rFonts w:ascii="Cambria Math" w:hAnsi="Cambria Math" w:cs="宋体" w:hint="eastAsia"/>
                <w:i/>
                <w:sz w:val="21"/>
                <w:szCs w:val="21"/>
              </w:rPr>
            </m:ctrlPr>
          </m:sSubPr>
          <m:e>
            <m:acc>
              <m:accPr>
                <m:chr m:val="⃗"/>
                <m:ctrlPr>
                  <w:rPr>
                    <w:rFonts w:ascii="Cambria Math" w:hAnsi="Cambria Math" w:cs="宋体" w:hint="eastAsia"/>
                    <w:i/>
                    <w:sz w:val="21"/>
                    <w:szCs w:val="21"/>
                  </w:rPr>
                </m:ctrlPr>
              </m:accPr>
              <m:e>
                <m:r>
                  <w:rPr>
                    <w:rFonts w:ascii="Cambria Math" w:hAnsi="Cambria Math" w:cs="宋体" w:hint="eastAsia"/>
                    <w:sz w:val="21"/>
                    <w:szCs w:val="21"/>
                  </w:rPr>
                  <m:t>r</m:t>
                </m:r>
              </m:e>
            </m:acc>
          </m:e>
          <m:sub>
            <m:r>
              <w:rPr>
                <w:rFonts w:ascii="Cambria Math" w:hAnsi="Cambria Math" w:cs="宋体" w:hint="eastAsia"/>
                <w:sz w:val="21"/>
                <w:szCs w:val="21"/>
              </w:rPr>
              <m:t>mn</m:t>
            </m:r>
          </m:sub>
        </m:sSub>
        <m:r>
          <w:rPr>
            <w:rFonts w:ascii="Cambria Math" w:hAnsi="Cambria Math" w:cs="宋体" w:hint="eastAsia"/>
            <w:sz w:val="21"/>
            <w:szCs w:val="21"/>
          </w:rPr>
          <m:t>∙</m:t>
        </m:r>
        <m:acc>
          <m:accPr>
            <m:ctrlPr>
              <w:rPr>
                <w:rFonts w:ascii="Cambria Math" w:hAnsi="Cambria Math" w:cs="宋体" w:hint="eastAsia"/>
                <w:i/>
                <w:sz w:val="21"/>
                <w:szCs w:val="21"/>
              </w:rPr>
            </m:ctrlPr>
          </m:accPr>
          <m:e>
            <m:r>
              <w:rPr>
                <w:rFonts w:ascii="Cambria Math" w:hAnsi="Cambria Math" w:cs="宋体" w:hint="eastAsia"/>
                <w:sz w:val="21"/>
                <w:szCs w:val="21"/>
              </w:rPr>
              <m:t>u</m:t>
            </m:r>
          </m:e>
        </m:acc>
        <m:r>
          <w:rPr>
            <w:rFonts w:ascii="Cambria Math" w:hAnsi="Cambria Math" w:cs="宋体" w:hint="eastAsia"/>
            <w:sz w:val="21"/>
            <w:szCs w:val="21"/>
          </w:rPr>
          <m:t>]+j</m:t>
        </m:r>
        <m:sSubSup>
          <m:sSubSupPr>
            <m:ctrlPr>
              <w:rPr>
                <w:rFonts w:ascii="Cambria Math" w:hAnsi="Cambria Math" w:cs="宋体" w:hint="eastAsia"/>
                <w:i/>
                <w:sz w:val="21"/>
                <w:szCs w:val="21"/>
              </w:rPr>
            </m:ctrlPr>
          </m:sSubSupPr>
          <m:e>
            <m:r>
              <w:rPr>
                <w:rFonts w:ascii="Cambria Math" w:hAnsi="Cambria Math" w:cs="宋体" w:hint="eastAsia"/>
                <w:sz w:val="21"/>
                <w:szCs w:val="21"/>
              </w:rPr>
              <m:t>ϕ</m:t>
            </m:r>
          </m:e>
          <m:sub>
            <m:r>
              <w:rPr>
                <w:rFonts w:ascii="Cambria Math" w:hAnsi="Cambria Math" w:cs="宋体" w:hint="eastAsia"/>
                <w:sz w:val="21"/>
                <w:szCs w:val="21"/>
              </w:rPr>
              <m:t>mn</m:t>
            </m:r>
          </m:sub>
          <m:sup>
            <m:r>
              <w:rPr>
                <w:rFonts w:ascii="Cambria Math" w:hAnsi="Cambria Math" w:cs="宋体" w:hint="eastAsia"/>
                <w:sz w:val="21"/>
                <w:szCs w:val="21"/>
              </w:rPr>
              <m:t>c</m:t>
            </m:r>
          </m:sup>
        </m:sSubSup>
        <m:r>
          <w:rPr>
            <w:rFonts w:ascii="Cambria Math" w:hAnsi="Cambria Math" w:cs="宋体" w:hint="eastAsia"/>
            <w:sz w:val="21"/>
            <w:szCs w:val="21"/>
          </w:rPr>
          <m:t>}</m:t>
        </m:r>
      </m:oMath>
      <w:r w:rsidR="00C52CB2">
        <w:rPr>
          <w:rFonts w:ascii="宋体" w:hAnsi="宋体" w:cs="宋体" w:hint="eastAsia"/>
          <w:sz w:val="21"/>
          <w:szCs w:val="21"/>
        </w:rPr>
        <w:t xml:space="preserve">  </w:t>
      </w:r>
      <w:r w:rsidR="00C52CB2">
        <w:rPr>
          <w:rFonts w:ascii="宋体" w:hAnsi="宋体" w:cs="宋体"/>
          <w:sz w:val="21"/>
          <w:szCs w:val="21"/>
        </w:rPr>
        <w:t xml:space="preserve">            </w:t>
      </w:r>
      <w:r w:rsidR="00C52CB2" w:rsidRPr="00615D6D">
        <w:rPr>
          <w:rFonts w:ascii="宋体" w:hAnsi="宋体" w:cs="宋体" w:hint="eastAsia"/>
          <w:sz w:val="21"/>
          <w:szCs w:val="21"/>
        </w:rPr>
        <w:t>（</w:t>
      </w:r>
      <w:r w:rsidR="00C52CB2">
        <w:rPr>
          <w:rFonts w:ascii="宋体" w:hAnsi="宋体" w:cs="宋体"/>
          <w:sz w:val="21"/>
          <w:szCs w:val="21"/>
        </w:rPr>
        <w:t>5</w:t>
      </w:r>
      <w:r w:rsidR="00C52CB2" w:rsidRPr="00615D6D">
        <w:rPr>
          <w:rFonts w:ascii="宋体" w:hAnsi="宋体" w:cs="宋体" w:hint="eastAsia"/>
          <w:sz w:val="21"/>
          <w:szCs w:val="21"/>
        </w:rPr>
        <w:t>）</w:t>
      </w:r>
      <w:commentRangeEnd w:id="5"/>
      <w:r w:rsidR="007B0507">
        <w:rPr>
          <w:rStyle w:val="a8"/>
        </w:rPr>
        <w:commentReference w:id="5"/>
      </w:r>
    </w:p>
    <w:p w14:paraId="6C4BAD7C" w14:textId="4EC93D1F" w:rsidR="00DD58AA" w:rsidRPr="00DD58AA" w:rsidRDefault="00DD58AA" w:rsidP="00DD58AA">
      <w:pPr>
        <w:spacing w:line="240" w:lineRule="auto"/>
        <w:ind w:firstLineChars="0" w:firstLine="0"/>
        <w:rPr>
          <w:color w:val="000000" w:themeColor="text1"/>
          <w:sz w:val="21"/>
          <w:szCs w:val="21"/>
        </w:rPr>
      </w:pPr>
      <w:r>
        <w:rPr>
          <w:rFonts w:hint="eastAsia"/>
          <w:sz w:val="21"/>
          <w:szCs w:val="21"/>
        </w:rPr>
        <w:t>其</w:t>
      </w:r>
      <w:r>
        <w:rPr>
          <w:rFonts w:hint="eastAsia"/>
          <w:color w:val="000000" w:themeColor="text1"/>
          <w:sz w:val="21"/>
          <w:szCs w:val="21"/>
        </w:rPr>
        <w:t>中，</w:t>
      </w:r>
      <m:oMath>
        <m:r>
          <w:rPr>
            <w:rFonts w:ascii="Cambria Math" w:hAnsi="Cambria Math" w:cs="宋体" w:hint="eastAsia"/>
            <w:color w:val="000000" w:themeColor="text1"/>
            <w:sz w:val="21"/>
            <w:szCs w:val="21"/>
          </w:rPr>
          <m:t>A(</m:t>
        </m:r>
        <m:sSub>
          <m:sSubPr>
            <m:ctrlPr>
              <w:rPr>
                <w:rFonts w:ascii="Cambria Math" w:hAnsi="Cambria Math" w:cs="宋体" w:hint="eastAsia"/>
                <w:i/>
                <w:color w:val="000000" w:themeColor="text1"/>
                <w:sz w:val="21"/>
                <w:szCs w:val="21"/>
              </w:rPr>
            </m:ctrlPr>
          </m:sSubPr>
          <m:e>
            <m:acc>
              <m:accPr>
                <m:ctrlPr>
                  <w:rPr>
                    <w:rFonts w:ascii="Cambria Math" w:hAnsi="Cambria Math" w:cs="宋体" w:hint="eastAsia"/>
                    <w:i/>
                    <w:color w:val="000000" w:themeColor="text1"/>
                    <w:sz w:val="21"/>
                    <w:szCs w:val="21"/>
                  </w:rPr>
                </m:ctrlPr>
              </m:accPr>
              <m:e>
                <m:r>
                  <w:rPr>
                    <w:rFonts w:ascii="Cambria Math" w:hAnsi="Cambria Math" w:cs="宋体" w:hint="eastAsia"/>
                    <w:color w:val="000000" w:themeColor="text1"/>
                    <w:sz w:val="21"/>
                    <w:szCs w:val="21"/>
                  </w:rPr>
                  <m:t>u</m:t>
                </m:r>
              </m:e>
            </m:acc>
          </m:e>
          <m:sub>
            <m:r>
              <w:rPr>
                <w:rFonts w:ascii="Cambria Math" w:hAnsi="Cambria Math" w:cs="宋体" w:hint="eastAsia"/>
                <w:color w:val="000000" w:themeColor="text1"/>
                <w:sz w:val="21"/>
                <w:szCs w:val="21"/>
              </w:rPr>
              <m:t>0</m:t>
            </m:r>
          </m:sub>
        </m:sSub>
        <m:r>
          <w:rPr>
            <w:rFonts w:ascii="微软雅黑" w:eastAsia="微软雅黑" w:hAnsi="微软雅黑" w:cs="微软雅黑" w:hint="eastAsia"/>
            <w:color w:val="000000" w:themeColor="text1"/>
            <w:sz w:val="21"/>
            <w:szCs w:val="21"/>
          </w:rPr>
          <m:t>∙</m:t>
        </m:r>
        <m:acc>
          <m:accPr>
            <m:ctrlPr>
              <w:rPr>
                <w:rFonts w:ascii="Cambria Math" w:hAnsi="Cambria Math" w:cs="宋体" w:hint="eastAsia"/>
                <w:i/>
                <w:color w:val="000000" w:themeColor="text1"/>
                <w:sz w:val="21"/>
                <w:szCs w:val="21"/>
              </w:rPr>
            </m:ctrlPr>
          </m:accPr>
          <m:e>
            <m:r>
              <w:rPr>
                <w:rFonts w:ascii="Cambria Math" w:hAnsi="Cambria Math" w:cs="宋体" w:hint="eastAsia"/>
                <w:color w:val="000000" w:themeColor="text1"/>
                <w:sz w:val="21"/>
                <w:szCs w:val="21"/>
              </w:rPr>
              <m:t>u</m:t>
            </m:r>
          </m:e>
        </m:acc>
        <m:r>
          <w:rPr>
            <w:rFonts w:ascii="Cambria Math" w:hAnsi="Cambria Math" w:cs="宋体" w:hint="eastAsia"/>
            <w:color w:val="000000" w:themeColor="text1"/>
            <w:sz w:val="21"/>
            <w:szCs w:val="21"/>
          </w:rPr>
          <m:t>)</m:t>
        </m:r>
      </m:oMath>
      <w:r>
        <w:rPr>
          <w:rFonts w:hAnsi="Cambria Math" w:cs="宋体" w:hint="eastAsia"/>
          <w:color w:val="000000" w:themeColor="text1"/>
          <w:sz w:val="21"/>
          <w:szCs w:val="21"/>
        </w:rPr>
        <w:t>和</w:t>
      </w:r>
      <m:oMath>
        <m:r>
          <w:rPr>
            <w:rFonts w:ascii="Cambria Math" w:hAnsi="Cambria Math" w:cs="宋体" w:hint="eastAsia"/>
            <w:color w:val="000000" w:themeColor="text1"/>
            <w:sz w:val="21"/>
            <w:szCs w:val="21"/>
          </w:rPr>
          <m:t>F(</m:t>
        </m:r>
        <m:sSub>
          <m:sSubPr>
            <m:ctrlPr>
              <w:rPr>
                <w:rFonts w:ascii="Cambria Math" w:hAnsi="Cambria Math" w:cs="宋体" w:hint="eastAsia"/>
                <w:i/>
                <w:color w:val="000000" w:themeColor="text1"/>
                <w:sz w:val="21"/>
                <w:szCs w:val="21"/>
              </w:rPr>
            </m:ctrlPr>
          </m:sSubPr>
          <m:e>
            <m:acc>
              <m:accPr>
                <m:chr m:val="⃗"/>
                <m:ctrlPr>
                  <w:rPr>
                    <w:rFonts w:ascii="Cambria Math" w:hAnsi="Cambria Math" w:cs="宋体" w:hint="eastAsia"/>
                    <w:i/>
                    <w:color w:val="000000" w:themeColor="text1"/>
                    <w:sz w:val="21"/>
                    <w:szCs w:val="21"/>
                  </w:rPr>
                </m:ctrlPr>
              </m:accPr>
              <m:e>
                <m:r>
                  <w:rPr>
                    <w:rFonts w:ascii="Cambria Math" w:hAnsi="Cambria Math" w:cs="宋体" w:hint="eastAsia"/>
                    <w:color w:val="000000" w:themeColor="text1"/>
                    <w:sz w:val="21"/>
                    <w:szCs w:val="21"/>
                  </w:rPr>
                  <m:t>r</m:t>
                </m:r>
              </m:e>
            </m:acc>
          </m:e>
          <m:sub>
            <m:r>
              <w:rPr>
                <w:rFonts w:ascii="Cambria Math" w:hAnsi="Cambria Math" w:cs="宋体" w:hint="eastAsia"/>
                <w:color w:val="000000" w:themeColor="text1"/>
                <w:sz w:val="21"/>
                <w:szCs w:val="21"/>
              </w:rPr>
              <m:t>mn</m:t>
            </m:r>
          </m:sub>
        </m:sSub>
        <m:r>
          <w:rPr>
            <w:rFonts w:ascii="微软雅黑" w:eastAsia="微软雅黑" w:hAnsi="微软雅黑" w:cs="微软雅黑" w:hint="eastAsia"/>
            <w:color w:val="000000" w:themeColor="text1"/>
            <w:sz w:val="21"/>
            <w:szCs w:val="21"/>
          </w:rPr>
          <m:t>∙</m:t>
        </m:r>
        <m:sSub>
          <m:sSubPr>
            <m:ctrlPr>
              <w:rPr>
                <w:rFonts w:ascii="Cambria Math" w:hAnsi="Cambria Math" w:cs="宋体" w:hint="eastAsia"/>
                <w:i/>
                <w:color w:val="000000" w:themeColor="text1"/>
                <w:sz w:val="21"/>
                <w:szCs w:val="21"/>
              </w:rPr>
            </m:ctrlPr>
          </m:sSubPr>
          <m:e>
            <m:acc>
              <m:accPr>
                <m:ctrlPr>
                  <w:rPr>
                    <w:rFonts w:ascii="Cambria Math" w:hAnsi="Cambria Math" w:cs="宋体" w:hint="eastAsia"/>
                    <w:i/>
                    <w:color w:val="000000" w:themeColor="text1"/>
                    <w:sz w:val="21"/>
                    <w:szCs w:val="21"/>
                  </w:rPr>
                </m:ctrlPr>
              </m:accPr>
              <m:e>
                <m:r>
                  <w:rPr>
                    <w:rFonts w:ascii="Cambria Math" w:hAnsi="Cambria Math" w:cs="宋体" w:hint="eastAsia"/>
                    <w:color w:val="000000" w:themeColor="text1"/>
                    <w:sz w:val="21"/>
                    <w:szCs w:val="21"/>
                  </w:rPr>
                  <m:t>u</m:t>
                </m:r>
              </m:e>
            </m:acc>
          </m:e>
          <m:sub>
            <m:r>
              <w:rPr>
                <w:rFonts w:ascii="Cambria Math" w:hAnsi="Cambria Math" w:cs="宋体" w:hint="eastAsia"/>
                <w:color w:val="000000" w:themeColor="text1"/>
                <w:sz w:val="21"/>
                <w:szCs w:val="21"/>
              </w:rPr>
              <m:t>0</m:t>
            </m:r>
          </m:sub>
        </m:sSub>
        <m:r>
          <w:rPr>
            <w:rFonts w:ascii="Cambria Math" w:hAnsi="Cambria Math" w:cs="宋体" w:hint="eastAsia"/>
            <w:color w:val="000000" w:themeColor="text1"/>
            <w:sz w:val="21"/>
            <w:szCs w:val="21"/>
          </w:rPr>
          <m:t>)</m:t>
        </m:r>
      </m:oMath>
      <w:r>
        <w:rPr>
          <w:rFonts w:hAnsi="Cambria Math" w:cs="宋体" w:hint="eastAsia"/>
          <w:color w:val="000000" w:themeColor="text1"/>
          <w:sz w:val="21"/>
          <w:szCs w:val="21"/>
        </w:rPr>
        <w:t>分别</w:t>
      </w:r>
      <w:r>
        <w:rPr>
          <w:rFonts w:hint="eastAsia"/>
          <w:color w:val="000000" w:themeColor="text1"/>
          <w:sz w:val="21"/>
          <w:szCs w:val="21"/>
        </w:rPr>
        <w:t>表示单元结构辐射方向图函数和馈源喇叭天线的辐射方向图函数，</w:t>
      </w:r>
      <m:oMath>
        <m:sSub>
          <m:sSubPr>
            <m:ctrlPr>
              <w:rPr>
                <w:rFonts w:ascii="Cambria Math" w:hAnsi="Cambria Math" w:hint="eastAsia"/>
                <w:i/>
                <w:iCs/>
                <w:color w:val="000000" w:themeColor="text1"/>
                <w:sz w:val="21"/>
                <w:szCs w:val="21"/>
              </w:rPr>
            </m:ctrlPr>
          </m:sSubPr>
          <m:e>
            <m:acc>
              <m:accPr>
                <m:chr m:val="⃗"/>
                <m:ctrlPr>
                  <w:rPr>
                    <w:rFonts w:ascii="Cambria Math" w:hAnsi="Cambria Math" w:hint="eastAsia"/>
                    <w:i/>
                    <w:iCs/>
                    <w:color w:val="000000" w:themeColor="text1"/>
                    <w:sz w:val="21"/>
                    <w:szCs w:val="21"/>
                  </w:rPr>
                </m:ctrlPr>
              </m:accPr>
              <m:e>
                <m:r>
                  <w:rPr>
                    <w:rFonts w:ascii="Cambria Math" w:hAnsi="Cambria Math" w:hint="eastAsia"/>
                    <w:color w:val="000000" w:themeColor="text1"/>
                    <w:sz w:val="21"/>
                    <w:szCs w:val="21"/>
                  </w:rPr>
                  <m:t>r</m:t>
                </m:r>
              </m:e>
            </m:acc>
          </m:e>
          <m:sub>
            <m:r>
              <w:rPr>
                <w:rFonts w:ascii="Cambria Math" w:hAnsi="Cambria Math" w:hint="eastAsia"/>
                <w:color w:val="000000" w:themeColor="text1"/>
                <w:sz w:val="21"/>
                <w:szCs w:val="21"/>
              </w:rPr>
              <m:t>mn</m:t>
            </m:r>
          </m:sub>
        </m:sSub>
      </m:oMath>
      <w:r>
        <w:rPr>
          <w:rFonts w:hint="eastAsia"/>
          <w:color w:val="000000" w:themeColor="text1"/>
          <w:sz w:val="21"/>
          <w:szCs w:val="21"/>
        </w:rPr>
        <w:t>和</w:t>
      </w:r>
      <m:oMath>
        <m:sSub>
          <m:sSubPr>
            <m:ctrlPr>
              <w:rPr>
                <w:rFonts w:ascii="Cambria Math" w:hAnsi="Cambria Math" w:hint="eastAsia"/>
                <w:i/>
                <w:iCs/>
                <w:color w:val="000000" w:themeColor="text1"/>
                <w:sz w:val="21"/>
                <w:szCs w:val="21"/>
              </w:rPr>
            </m:ctrlPr>
          </m:sSubPr>
          <m:e>
            <m:acc>
              <m:accPr>
                <m:chr m:val="⃗"/>
                <m:ctrlPr>
                  <w:rPr>
                    <w:rFonts w:ascii="Cambria Math" w:hAnsi="Cambria Math" w:hint="eastAsia"/>
                    <w:i/>
                    <w:iCs/>
                    <w:color w:val="000000" w:themeColor="text1"/>
                    <w:sz w:val="21"/>
                    <w:szCs w:val="21"/>
                  </w:rPr>
                </m:ctrlPr>
              </m:accPr>
              <m:e>
                <m:r>
                  <w:rPr>
                    <w:rFonts w:ascii="Cambria Math" w:hAnsi="Cambria Math" w:hint="eastAsia"/>
                    <w:color w:val="000000" w:themeColor="text1"/>
                    <w:sz w:val="21"/>
                    <w:szCs w:val="21"/>
                  </w:rPr>
                  <m:t>r</m:t>
                </m:r>
              </m:e>
            </m:acc>
          </m:e>
          <m:sub>
            <m:r>
              <w:rPr>
                <w:rFonts w:ascii="Cambria Math" w:hAnsi="Cambria Math" w:hint="eastAsia"/>
                <w:color w:val="000000" w:themeColor="text1"/>
                <w:sz w:val="21"/>
                <w:szCs w:val="21"/>
              </w:rPr>
              <m:t>f</m:t>
            </m:r>
          </m:sub>
        </m:sSub>
      </m:oMath>
      <w:r>
        <w:rPr>
          <w:rFonts w:hint="eastAsia"/>
          <w:color w:val="000000" w:themeColor="text1"/>
          <w:sz w:val="21"/>
          <w:szCs w:val="21"/>
        </w:rPr>
        <w:t>分别表示第</w:t>
      </w:r>
      <w:r>
        <w:rPr>
          <w:rFonts w:hint="eastAsia"/>
          <w:color w:val="000000" w:themeColor="text1"/>
          <w:sz w:val="21"/>
          <w:szCs w:val="21"/>
        </w:rPr>
        <w:t xml:space="preserve"> </w:t>
      </w:r>
      <w:r>
        <w:rPr>
          <w:rFonts w:hint="eastAsia"/>
          <w:i/>
          <w:iCs/>
          <w:color w:val="000000" w:themeColor="text1"/>
          <w:sz w:val="21"/>
          <w:szCs w:val="21"/>
        </w:rPr>
        <w:t>m</w:t>
      </w:r>
      <w:r>
        <w:rPr>
          <w:rFonts w:hint="eastAsia"/>
          <w:color w:val="000000" w:themeColor="text1"/>
          <w:sz w:val="21"/>
          <w:szCs w:val="21"/>
        </w:rPr>
        <w:t>行第</w:t>
      </w:r>
      <w:r>
        <w:rPr>
          <w:rFonts w:hint="eastAsia"/>
          <w:i/>
          <w:iCs/>
          <w:color w:val="000000" w:themeColor="text1"/>
          <w:sz w:val="21"/>
          <w:szCs w:val="21"/>
        </w:rPr>
        <w:t>n</w:t>
      </w:r>
      <w:r>
        <w:rPr>
          <w:rFonts w:hint="eastAsia"/>
          <w:color w:val="000000" w:themeColor="text1"/>
          <w:sz w:val="21"/>
          <w:szCs w:val="21"/>
        </w:rPr>
        <w:t>个辐射单元结构的位置矢量和馈源位置矢量，</w:t>
      </w:r>
      <m:oMath>
        <m:sSubSup>
          <m:sSubSupPr>
            <m:ctrlPr>
              <w:rPr>
                <w:rFonts w:ascii="Cambria Math" w:hAnsi="Cambria Math" w:hint="eastAsia"/>
                <w:i/>
                <w:iCs/>
                <w:color w:val="000000" w:themeColor="text1"/>
                <w:sz w:val="21"/>
                <w:szCs w:val="21"/>
              </w:rPr>
            </m:ctrlPr>
          </m:sSubSupPr>
          <m:e>
            <m:r>
              <w:rPr>
                <w:rFonts w:ascii="Cambria Math" w:hAnsi="Cambria Math" w:hint="eastAsia"/>
                <w:color w:val="000000" w:themeColor="text1"/>
                <w:sz w:val="21"/>
                <w:szCs w:val="21"/>
              </w:rPr>
              <m:t>ϕ</m:t>
            </m:r>
          </m:e>
          <m:sub>
            <m:r>
              <w:rPr>
                <w:rFonts w:ascii="Cambria Math" w:hAnsi="Cambria Math" w:hint="eastAsia"/>
                <w:color w:val="000000" w:themeColor="text1"/>
                <w:sz w:val="21"/>
                <w:szCs w:val="21"/>
              </w:rPr>
              <m:t>mn</m:t>
            </m:r>
          </m:sub>
          <m:sup>
            <m:r>
              <w:rPr>
                <w:rFonts w:ascii="Cambria Math" w:hAnsi="Cambria Math" w:hint="eastAsia"/>
                <w:color w:val="000000" w:themeColor="text1"/>
                <w:sz w:val="21"/>
                <w:szCs w:val="21"/>
              </w:rPr>
              <m:t>c</m:t>
            </m:r>
          </m:sup>
        </m:sSubSup>
      </m:oMath>
      <w:r>
        <w:rPr>
          <w:rFonts w:hint="eastAsia"/>
          <w:color w:val="000000" w:themeColor="text1"/>
          <w:sz w:val="21"/>
          <w:szCs w:val="21"/>
        </w:rPr>
        <w:t>是每个单元结构的补偿相位，</w:t>
      </w:r>
      <m:oMath>
        <m:sSub>
          <m:sSubPr>
            <m:ctrlPr>
              <w:rPr>
                <w:rFonts w:ascii="Cambria Math" w:hAnsi="Cambria Math" w:hint="eastAsia"/>
                <w:i/>
                <w:iCs/>
                <w:color w:val="000000" w:themeColor="text1"/>
                <w:sz w:val="21"/>
                <w:szCs w:val="21"/>
              </w:rPr>
            </m:ctrlPr>
          </m:sSubPr>
          <m:e>
            <m:acc>
              <m:accPr>
                <m:ctrlPr>
                  <w:rPr>
                    <w:rFonts w:ascii="Cambria Math" w:hAnsi="Cambria Math" w:hint="eastAsia"/>
                    <w:i/>
                    <w:iCs/>
                    <w:color w:val="000000" w:themeColor="text1"/>
                    <w:sz w:val="21"/>
                    <w:szCs w:val="21"/>
                  </w:rPr>
                </m:ctrlPr>
              </m:accPr>
              <m:e>
                <m:r>
                  <w:rPr>
                    <w:rFonts w:ascii="Cambria Math" w:hAnsi="Cambria Math" w:hint="eastAsia"/>
                    <w:color w:val="000000" w:themeColor="text1"/>
                    <w:sz w:val="21"/>
                    <w:szCs w:val="21"/>
                  </w:rPr>
                  <m:t>u</m:t>
                </m:r>
              </m:e>
            </m:acc>
          </m:e>
          <m:sub>
            <m:r>
              <w:rPr>
                <w:rFonts w:ascii="Cambria Math" w:hAnsi="Cambria Math" w:hint="eastAsia"/>
                <w:color w:val="000000" w:themeColor="text1"/>
                <w:sz w:val="21"/>
                <w:szCs w:val="21"/>
              </w:rPr>
              <m:t>0</m:t>
            </m:r>
          </m:sub>
        </m:sSub>
      </m:oMath>
      <w:r>
        <w:rPr>
          <w:rFonts w:hint="eastAsia"/>
          <w:color w:val="000000" w:themeColor="text1"/>
          <w:sz w:val="21"/>
          <w:szCs w:val="21"/>
        </w:rPr>
        <w:t>为主波束方向，</w:t>
      </w:r>
      <m:oMath>
        <m:sSub>
          <m:sSubPr>
            <m:ctrlPr>
              <w:rPr>
                <w:rFonts w:ascii="Cambria Math" w:hAnsi="Cambria Math" w:hint="eastAsia"/>
                <w:i/>
                <w:iCs/>
                <w:color w:val="000000" w:themeColor="text1"/>
                <w:sz w:val="21"/>
                <w:szCs w:val="21"/>
              </w:rPr>
            </m:ctrlPr>
          </m:sSubPr>
          <m:e>
            <m:r>
              <w:rPr>
                <w:rFonts w:ascii="Cambria Math" w:hAnsi="Cambria Math"/>
                <w:color w:val="000000" w:themeColor="text1"/>
                <w:sz w:val="21"/>
                <w:szCs w:val="21"/>
              </w:rPr>
              <m:t>φ</m:t>
            </m:r>
          </m:e>
          <m:sub>
            <m:r>
              <w:rPr>
                <w:rFonts w:ascii="Cambria Math" w:hAnsi="Cambria Math" w:hint="eastAsia"/>
                <w:color w:val="000000" w:themeColor="text1"/>
                <w:sz w:val="21"/>
                <w:szCs w:val="21"/>
              </w:rPr>
              <m:t>mn</m:t>
            </m:r>
          </m:sub>
        </m:sSub>
      </m:oMath>
      <w:r>
        <w:rPr>
          <w:rFonts w:hint="eastAsia"/>
          <w:color w:val="000000" w:themeColor="text1"/>
          <w:sz w:val="21"/>
          <w:szCs w:val="21"/>
        </w:rPr>
        <w:t>是反射型超表面单元结构在极坐标下的方位角度值。</w:t>
      </w:r>
    </w:p>
    <w:p w14:paraId="081FBAB9" w14:textId="664C5FE5" w:rsidR="00F17155" w:rsidRDefault="00DE15BE">
      <w:pPr>
        <w:spacing w:line="240" w:lineRule="auto"/>
        <w:rPr>
          <w:sz w:val="21"/>
          <w:szCs w:val="21"/>
        </w:rPr>
      </w:pPr>
      <w:r>
        <w:rPr>
          <w:rFonts w:hint="eastAsia"/>
          <w:sz w:val="21"/>
          <w:szCs w:val="21"/>
        </w:rPr>
        <w:t>由于</w:t>
      </w:r>
      <w:r w:rsidR="00844BEE">
        <w:rPr>
          <w:rFonts w:hint="eastAsia"/>
          <w:sz w:val="21"/>
          <w:szCs w:val="21"/>
        </w:rPr>
        <w:t>携带轨道角动量的涡旋电磁波波束应具有</w:t>
      </w:r>
      <m:oMath>
        <m:r>
          <w:rPr>
            <w:rFonts w:ascii="Cambria Math" w:hAnsi="Cambria Math" w:hint="eastAsia"/>
            <w:sz w:val="21"/>
            <w:szCs w:val="21"/>
          </w:rPr>
          <m:t>exp(</m:t>
        </m:r>
        <m:r>
          <w:rPr>
            <w:rFonts w:ascii="微软雅黑" w:eastAsia="微软雅黑" w:hAnsi="微软雅黑" w:cs="微软雅黑" w:hint="eastAsia"/>
            <w:sz w:val="21"/>
            <w:szCs w:val="21"/>
          </w:rPr>
          <m:t>-</m:t>
        </m:r>
        <m:r>
          <w:rPr>
            <w:rFonts w:ascii="Cambria Math" w:hAnsi="Cambria Math" w:hint="eastAsia"/>
            <w:sz w:val="21"/>
            <w:szCs w:val="21"/>
          </w:rPr>
          <m:t>jl</m:t>
        </m:r>
        <m:r>
          <w:rPr>
            <w:rFonts w:ascii="Cambria Math" w:hAnsi="Cambria Math"/>
            <w:sz w:val="21"/>
            <w:szCs w:val="21"/>
          </w:rPr>
          <m:t>φ</m:t>
        </m:r>
        <m:r>
          <w:rPr>
            <w:rFonts w:ascii="Cambria Math" w:hAnsi="Cambria Math" w:hint="eastAsia"/>
            <w:sz w:val="21"/>
            <w:szCs w:val="21"/>
          </w:rPr>
          <m:t>)</m:t>
        </m:r>
      </m:oMath>
      <w:r>
        <w:rPr>
          <w:rFonts w:hint="eastAsia"/>
          <w:sz w:val="21"/>
          <w:szCs w:val="21"/>
        </w:rPr>
        <w:t>相位因子，</w:t>
      </w:r>
      <w:r w:rsidR="00844BEE">
        <w:rPr>
          <w:rFonts w:hint="eastAsia"/>
          <w:sz w:val="21"/>
          <w:szCs w:val="21"/>
        </w:rPr>
        <w:t>为了实现</w:t>
      </w:r>
      <w:r w:rsidR="00844BEE">
        <w:rPr>
          <w:rFonts w:hint="eastAsia"/>
          <w:sz w:val="21"/>
          <w:szCs w:val="21"/>
        </w:rPr>
        <w:t>OAM</w:t>
      </w:r>
      <w:r w:rsidR="00844BEE">
        <w:rPr>
          <w:rFonts w:hint="eastAsia"/>
          <w:sz w:val="21"/>
          <w:szCs w:val="21"/>
        </w:rPr>
        <w:t>涡旋波束，反射型超表面上各个单元结构所需要提供的独立相位应为</w:t>
      </w:r>
    </w:p>
    <w:p w14:paraId="444B11B7" w14:textId="2EED2B6B" w:rsidR="00F17155" w:rsidRDefault="008E0542" w:rsidP="00DD58AA">
      <w:pPr>
        <w:wordWrap w:val="0"/>
        <w:spacing w:line="240" w:lineRule="auto"/>
        <w:ind w:firstLineChars="0" w:firstLine="0"/>
        <w:jc w:val="right"/>
        <w:rPr>
          <w:rFonts w:ascii="宋体" w:hAnsi="宋体" w:cs="宋体"/>
          <w:sz w:val="21"/>
          <w:szCs w:val="21"/>
        </w:rPr>
      </w:pPr>
      <m:oMath>
        <m:sSubSup>
          <m:sSubSupPr>
            <m:ctrlPr>
              <w:rPr>
                <w:rFonts w:ascii="Cambria Math" w:hAnsi="Cambria Math" w:cs="宋体" w:hint="eastAsia"/>
                <w:i/>
                <w:sz w:val="21"/>
                <w:szCs w:val="21"/>
              </w:rPr>
            </m:ctrlPr>
          </m:sSubSupPr>
          <m:e>
            <m:r>
              <w:rPr>
                <w:rFonts w:ascii="Cambria Math" w:hAnsi="Cambria Math" w:cs="宋体" w:hint="eastAsia"/>
                <w:sz w:val="21"/>
                <w:szCs w:val="21"/>
              </w:rPr>
              <m:t>ϕ</m:t>
            </m:r>
          </m:e>
          <m:sub>
            <m:r>
              <w:rPr>
                <w:rFonts w:ascii="Cambria Math" w:hAnsi="Cambria Math" w:cs="宋体" w:hint="eastAsia"/>
                <w:sz w:val="21"/>
                <w:szCs w:val="21"/>
              </w:rPr>
              <m:t>mn</m:t>
            </m:r>
          </m:sub>
          <m:sup>
            <m:r>
              <w:rPr>
                <w:rFonts w:ascii="Cambria Math" w:hAnsi="Cambria Math" w:cs="宋体" w:hint="eastAsia"/>
                <w:sz w:val="21"/>
                <w:szCs w:val="21"/>
              </w:rPr>
              <m:t>c</m:t>
            </m:r>
          </m:sup>
        </m:sSubSup>
        <m:r>
          <w:rPr>
            <w:rFonts w:ascii="Cambria Math" w:hAnsi="Cambria Math" w:cs="宋体" w:hint="eastAsia"/>
            <w:sz w:val="21"/>
            <w:szCs w:val="21"/>
          </w:rPr>
          <m:t>=</m:t>
        </m:r>
        <m:sSub>
          <m:sSubPr>
            <m:ctrlPr>
              <w:rPr>
                <w:rFonts w:ascii="Cambria Math" w:hAnsi="Cambria Math" w:cs="宋体" w:hint="eastAsia"/>
                <w:i/>
                <w:sz w:val="21"/>
                <w:szCs w:val="21"/>
              </w:rPr>
            </m:ctrlPr>
          </m:sSubPr>
          <m:e>
            <m:r>
              <w:rPr>
                <w:rFonts w:ascii="Cambria Math" w:hAnsi="Cambria Math" w:cs="宋体" w:hint="eastAsia"/>
                <w:sz w:val="21"/>
                <w:szCs w:val="21"/>
              </w:rPr>
              <m:t>k</m:t>
            </m:r>
          </m:e>
          <m:sub>
            <m:r>
              <w:rPr>
                <w:rFonts w:ascii="Cambria Math" w:hAnsi="Cambria Math" w:cs="宋体" w:hint="eastAsia"/>
                <w:sz w:val="21"/>
                <w:szCs w:val="21"/>
              </w:rPr>
              <m:t>0</m:t>
            </m:r>
          </m:sub>
        </m:sSub>
        <m:r>
          <w:rPr>
            <w:rFonts w:ascii="Cambria Math" w:hAnsi="Cambria Math" w:cs="宋体" w:hint="eastAsia"/>
            <w:sz w:val="21"/>
            <w:szCs w:val="21"/>
          </w:rPr>
          <m:t>[</m:t>
        </m:r>
        <m:d>
          <m:dPr>
            <m:begChr m:val="|"/>
            <m:endChr m:val="|"/>
            <m:ctrlPr>
              <w:rPr>
                <w:rFonts w:ascii="Cambria Math" w:hAnsi="Cambria Math" w:cs="宋体" w:hint="eastAsia"/>
                <w:i/>
                <w:sz w:val="21"/>
                <w:szCs w:val="21"/>
              </w:rPr>
            </m:ctrlPr>
          </m:dPr>
          <m:e>
            <m:sSub>
              <m:sSubPr>
                <m:ctrlPr>
                  <w:rPr>
                    <w:rFonts w:ascii="Cambria Math" w:hAnsi="Cambria Math" w:cs="宋体" w:hint="eastAsia"/>
                    <w:i/>
                    <w:sz w:val="21"/>
                    <w:szCs w:val="21"/>
                  </w:rPr>
                </m:ctrlPr>
              </m:sSubPr>
              <m:e>
                <m:acc>
                  <m:accPr>
                    <m:chr m:val="⃗"/>
                    <m:ctrlPr>
                      <w:rPr>
                        <w:rFonts w:ascii="Cambria Math" w:hAnsi="Cambria Math" w:cs="宋体" w:hint="eastAsia"/>
                        <w:i/>
                        <w:sz w:val="21"/>
                        <w:szCs w:val="21"/>
                      </w:rPr>
                    </m:ctrlPr>
                  </m:accPr>
                  <m:e>
                    <m:r>
                      <w:rPr>
                        <w:rFonts w:ascii="Cambria Math" w:hAnsi="Cambria Math" w:cs="宋体" w:hint="eastAsia"/>
                        <w:sz w:val="21"/>
                        <w:szCs w:val="21"/>
                      </w:rPr>
                      <m:t>r</m:t>
                    </m:r>
                  </m:e>
                </m:acc>
              </m:e>
              <m:sub>
                <m:r>
                  <w:rPr>
                    <w:rFonts w:ascii="Cambria Math" w:hAnsi="Cambria Math" w:cs="宋体" w:hint="eastAsia"/>
                    <w:sz w:val="21"/>
                    <w:szCs w:val="21"/>
                  </w:rPr>
                  <m:t>mn</m:t>
                </m:r>
              </m:sub>
            </m:sSub>
            <m:r>
              <w:rPr>
                <w:rFonts w:ascii="Cambria Math" w:hAnsi="Cambria Math" w:cs="宋体" w:hint="eastAsia"/>
                <w:sz w:val="21"/>
                <w:szCs w:val="21"/>
              </w:rPr>
              <m:t>-</m:t>
            </m:r>
            <m:sSub>
              <m:sSubPr>
                <m:ctrlPr>
                  <w:rPr>
                    <w:rFonts w:ascii="Cambria Math" w:hAnsi="Cambria Math" w:cs="宋体" w:hint="eastAsia"/>
                    <w:i/>
                    <w:sz w:val="21"/>
                    <w:szCs w:val="21"/>
                  </w:rPr>
                </m:ctrlPr>
              </m:sSubPr>
              <m:e>
                <m:acc>
                  <m:accPr>
                    <m:chr m:val="⃗"/>
                    <m:ctrlPr>
                      <w:rPr>
                        <w:rFonts w:ascii="Cambria Math" w:hAnsi="Cambria Math" w:cs="宋体" w:hint="eastAsia"/>
                        <w:i/>
                        <w:sz w:val="21"/>
                        <w:szCs w:val="21"/>
                      </w:rPr>
                    </m:ctrlPr>
                  </m:accPr>
                  <m:e>
                    <m:r>
                      <w:rPr>
                        <w:rFonts w:ascii="Cambria Math" w:hAnsi="Cambria Math" w:cs="宋体" w:hint="eastAsia"/>
                        <w:sz w:val="21"/>
                        <w:szCs w:val="21"/>
                      </w:rPr>
                      <m:t>r</m:t>
                    </m:r>
                  </m:e>
                </m:acc>
              </m:e>
              <m:sub>
                <m:r>
                  <w:rPr>
                    <w:rFonts w:ascii="Cambria Math" w:hAnsi="Cambria Math" w:cs="宋体" w:hint="eastAsia"/>
                    <w:sz w:val="21"/>
                    <w:szCs w:val="21"/>
                  </w:rPr>
                  <m:t>f</m:t>
                </m:r>
              </m:sub>
            </m:sSub>
          </m:e>
        </m:d>
        <m:r>
          <w:rPr>
            <w:rFonts w:ascii="Cambria Math" w:hAnsi="Cambria Math" w:cs="宋体" w:hint="eastAsia"/>
            <w:sz w:val="21"/>
            <w:szCs w:val="21"/>
          </w:rPr>
          <m:t>+</m:t>
        </m:r>
        <m:sSub>
          <m:sSubPr>
            <m:ctrlPr>
              <w:rPr>
                <w:rFonts w:ascii="Cambria Math" w:hAnsi="Cambria Math" w:cs="宋体" w:hint="eastAsia"/>
                <w:i/>
                <w:sz w:val="21"/>
                <w:szCs w:val="21"/>
              </w:rPr>
            </m:ctrlPr>
          </m:sSubPr>
          <m:e>
            <m:acc>
              <m:accPr>
                <m:chr m:val="⃗"/>
                <m:ctrlPr>
                  <w:rPr>
                    <w:rFonts w:ascii="Cambria Math" w:hAnsi="Cambria Math" w:cs="宋体" w:hint="eastAsia"/>
                    <w:i/>
                    <w:sz w:val="21"/>
                    <w:szCs w:val="21"/>
                  </w:rPr>
                </m:ctrlPr>
              </m:accPr>
              <m:e>
                <m:r>
                  <w:rPr>
                    <w:rFonts w:ascii="Cambria Math" w:hAnsi="Cambria Math" w:cs="宋体" w:hint="eastAsia"/>
                    <w:sz w:val="21"/>
                    <w:szCs w:val="21"/>
                  </w:rPr>
                  <m:t>r</m:t>
                </m:r>
              </m:e>
            </m:acc>
          </m:e>
          <m:sub>
            <m:r>
              <w:rPr>
                <w:rFonts w:ascii="Cambria Math" w:hAnsi="Cambria Math" w:cs="宋体" w:hint="eastAsia"/>
                <w:sz w:val="21"/>
                <w:szCs w:val="21"/>
              </w:rPr>
              <m:t>mn</m:t>
            </m:r>
          </m:sub>
        </m:sSub>
        <m:r>
          <w:rPr>
            <w:rFonts w:ascii="Cambria Math" w:hAnsi="Cambria Math" w:cs="宋体" w:hint="eastAsia"/>
            <w:sz w:val="21"/>
            <w:szCs w:val="21"/>
          </w:rPr>
          <m:t>∙</m:t>
        </m:r>
        <m:sSub>
          <m:sSubPr>
            <m:ctrlPr>
              <w:rPr>
                <w:rFonts w:ascii="Cambria Math" w:hAnsi="Cambria Math" w:cs="宋体" w:hint="eastAsia"/>
                <w:i/>
                <w:sz w:val="21"/>
                <w:szCs w:val="21"/>
              </w:rPr>
            </m:ctrlPr>
          </m:sSubPr>
          <m:e>
            <m:acc>
              <m:accPr>
                <m:ctrlPr>
                  <w:rPr>
                    <w:rFonts w:ascii="Cambria Math" w:hAnsi="Cambria Math" w:cs="宋体" w:hint="eastAsia"/>
                    <w:i/>
                    <w:sz w:val="21"/>
                    <w:szCs w:val="21"/>
                  </w:rPr>
                </m:ctrlPr>
              </m:accPr>
              <m:e>
                <m:r>
                  <w:rPr>
                    <w:rFonts w:ascii="Cambria Math" w:hAnsi="Cambria Math" w:cs="宋体" w:hint="eastAsia"/>
                    <w:sz w:val="21"/>
                    <w:szCs w:val="21"/>
                  </w:rPr>
                  <m:t>u</m:t>
                </m:r>
              </m:e>
            </m:acc>
          </m:e>
          <m:sub>
            <m:r>
              <w:rPr>
                <w:rFonts w:ascii="Cambria Math" w:hAnsi="Cambria Math" w:cs="宋体" w:hint="eastAsia"/>
                <w:sz w:val="21"/>
                <w:szCs w:val="21"/>
              </w:rPr>
              <m:t>0</m:t>
            </m:r>
          </m:sub>
        </m:sSub>
        <m:r>
          <w:rPr>
            <w:rFonts w:ascii="Cambria Math" w:hAnsi="Cambria Math" w:cs="宋体" w:hint="eastAsia"/>
            <w:sz w:val="21"/>
            <w:szCs w:val="21"/>
          </w:rPr>
          <m:t>]</m:t>
        </m:r>
        <m:r>
          <w:rPr>
            <w:rFonts w:ascii="Cambria Math" w:hAnsi="Cambria Math" w:cs="宋体" w:hint="eastAsia"/>
            <w:sz w:val="21"/>
            <w:szCs w:val="21"/>
          </w:rPr>
          <m:t>±</m:t>
        </m:r>
        <m:r>
          <w:rPr>
            <w:rFonts w:ascii="Cambria Math" w:hAnsi="Cambria Math" w:cs="宋体" w:hint="eastAsia"/>
            <w:sz w:val="21"/>
            <w:szCs w:val="21"/>
          </w:rPr>
          <m:t>l</m:t>
        </m:r>
        <m:sSub>
          <m:sSubPr>
            <m:ctrlPr>
              <w:rPr>
                <w:rFonts w:ascii="Cambria Math" w:hAnsi="Cambria Math" w:cs="宋体" w:hint="eastAsia"/>
                <w:i/>
                <w:sz w:val="21"/>
                <w:szCs w:val="21"/>
              </w:rPr>
            </m:ctrlPr>
          </m:sSubPr>
          <m:e>
            <m:r>
              <w:rPr>
                <w:rFonts w:ascii="Cambria Math" w:hAnsi="Cambria Math" w:cs="宋体" w:hint="eastAsia"/>
                <w:sz w:val="21"/>
                <w:szCs w:val="21"/>
              </w:rPr>
              <m:t>φ</m:t>
            </m:r>
          </m:e>
          <m:sub>
            <m:r>
              <w:rPr>
                <w:rFonts w:ascii="Cambria Math" w:hAnsi="Cambria Math" w:cs="宋体" w:hint="eastAsia"/>
                <w:sz w:val="21"/>
                <w:szCs w:val="21"/>
              </w:rPr>
              <m:t>mn</m:t>
            </m:r>
          </m:sub>
        </m:sSub>
      </m:oMath>
      <w:r w:rsidR="00DD58AA">
        <w:rPr>
          <w:rFonts w:ascii="宋体" w:hAnsi="宋体" w:cs="宋体" w:hint="eastAsia"/>
          <w:sz w:val="21"/>
          <w:szCs w:val="21"/>
        </w:rPr>
        <w:t xml:space="preserve">  </w:t>
      </w:r>
      <w:r w:rsidR="00DD58AA">
        <w:rPr>
          <w:rFonts w:ascii="宋体" w:hAnsi="宋体" w:cs="宋体"/>
          <w:sz w:val="21"/>
          <w:szCs w:val="21"/>
        </w:rPr>
        <w:t xml:space="preserve">           </w:t>
      </w:r>
      <w:r w:rsidR="00DD58AA">
        <w:rPr>
          <w:rFonts w:ascii="宋体" w:hAnsi="宋体" w:cs="宋体" w:hint="eastAsia"/>
          <w:sz w:val="21"/>
          <w:szCs w:val="21"/>
        </w:rPr>
        <w:t>（6）</w:t>
      </w:r>
    </w:p>
    <w:p w14:paraId="5BA782D5" w14:textId="04453238" w:rsidR="00DD58AA" w:rsidRDefault="00DD58AA" w:rsidP="00DD58AA">
      <w:pPr>
        <w:spacing w:line="240" w:lineRule="auto"/>
        <w:ind w:firstLineChars="0" w:firstLine="0"/>
        <w:jc w:val="left"/>
        <w:rPr>
          <w:rFonts w:ascii="宋体" w:hAnsi="宋体" w:cs="宋体"/>
          <w:sz w:val="21"/>
          <w:szCs w:val="21"/>
        </w:rPr>
      </w:pPr>
      <w:r>
        <w:rPr>
          <w:rFonts w:hint="eastAsia"/>
          <w:sz w:val="21"/>
          <w:szCs w:val="21"/>
        </w:rPr>
        <w:t>其</w:t>
      </w:r>
      <w:r>
        <w:rPr>
          <w:rFonts w:hint="eastAsia"/>
          <w:color w:val="000000" w:themeColor="text1"/>
          <w:sz w:val="21"/>
          <w:szCs w:val="21"/>
        </w:rPr>
        <w:t>中，</w:t>
      </w:r>
      <w:r>
        <w:rPr>
          <w:rFonts w:hint="eastAsia"/>
          <w:i/>
          <w:iCs/>
          <w:color w:val="000000" w:themeColor="text1"/>
          <w:sz w:val="21"/>
          <w:szCs w:val="21"/>
        </w:rPr>
        <w:t>l</w:t>
      </w:r>
      <w:r>
        <w:rPr>
          <w:rFonts w:hint="eastAsia"/>
          <w:color w:val="000000" w:themeColor="text1"/>
          <w:sz w:val="21"/>
          <w:szCs w:val="21"/>
        </w:rPr>
        <w:t>是携带轨道角动量涡旋电磁波的模态数。</w:t>
      </w:r>
    </w:p>
    <w:p w14:paraId="2C2BC782" w14:textId="77777777" w:rsidR="00F17155" w:rsidRDefault="00F17155">
      <w:pPr>
        <w:spacing w:line="240" w:lineRule="auto"/>
        <w:rPr>
          <w:sz w:val="21"/>
          <w:szCs w:val="21"/>
        </w:rPr>
      </w:pPr>
    </w:p>
    <w:p w14:paraId="26918086" w14:textId="77777777" w:rsidR="00F17155" w:rsidRDefault="00844BEE">
      <w:pPr>
        <w:spacing w:line="240" w:lineRule="auto"/>
        <w:ind w:firstLineChars="0" w:firstLine="0"/>
        <w:rPr>
          <w:rFonts w:ascii="宋体" w:hAnsi="宋体" w:cs="宋体"/>
          <w:b/>
          <w:bCs/>
        </w:rPr>
      </w:pPr>
      <w:r>
        <w:rPr>
          <w:rFonts w:ascii="宋体" w:hAnsi="宋体" w:cs="宋体" w:hint="eastAsia"/>
          <w:b/>
          <w:bCs/>
        </w:rPr>
        <w:t>2  仿真分析</w:t>
      </w:r>
    </w:p>
    <w:p w14:paraId="093AA342" w14:textId="77255459" w:rsidR="00F17155" w:rsidRDefault="00844BEE" w:rsidP="00C859B1">
      <w:pPr>
        <w:spacing w:line="240" w:lineRule="auto"/>
        <w:jc w:val="left"/>
        <w:rPr>
          <w:b/>
          <w:sz w:val="15"/>
          <w:szCs w:val="15"/>
        </w:rPr>
      </w:pPr>
      <w:r>
        <w:rPr>
          <w:rFonts w:hint="eastAsia"/>
          <w:sz w:val="21"/>
          <w:szCs w:val="21"/>
        </w:rPr>
        <w:t>本</w:t>
      </w:r>
      <w:r w:rsidR="000D14EA">
        <w:rPr>
          <w:rFonts w:hint="eastAsia"/>
          <w:sz w:val="21"/>
          <w:szCs w:val="21"/>
        </w:rPr>
        <w:t>文</w:t>
      </w:r>
      <w:r>
        <w:rPr>
          <w:rFonts w:hint="eastAsia"/>
          <w:sz w:val="21"/>
          <w:szCs w:val="21"/>
        </w:rPr>
        <w:t>提出的</w:t>
      </w:r>
      <w:r w:rsidR="000D14EA">
        <w:rPr>
          <w:rFonts w:hint="eastAsia"/>
          <w:sz w:val="21"/>
          <w:szCs w:val="21"/>
        </w:rPr>
        <w:t>超</w:t>
      </w:r>
      <w:r w:rsidR="000D14EA">
        <w:rPr>
          <w:sz w:val="21"/>
          <w:szCs w:val="21"/>
        </w:rPr>
        <w:t>表面</w:t>
      </w:r>
      <w:r>
        <w:rPr>
          <w:rFonts w:hint="eastAsia"/>
          <w:sz w:val="21"/>
          <w:szCs w:val="21"/>
        </w:rPr>
        <w:t>单元结构采用了正六边形设计，</w:t>
      </w:r>
      <w:r w:rsidR="000D14EA">
        <w:rPr>
          <w:rFonts w:hint="eastAsia"/>
          <w:sz w:val="21"/>
          <w:szCs w:val="21"/>
        </w:rPr>
        <w:t>示</w:t>
      </w:r>
      <w:r w:rsidR="000D14EA">
        <w:rPr>
          <w:sz w:val="21"/>
          <w:szCs w:val="21"/>
        </w:rPr>
        <w:t>意图</w:t>
      </w:r>
      <w:r w:rsidR="000D14EA">
        <w:rPr>
          <w:rFonts w:hint="eastAsia"/>
          <w:sz w:val="21"/>
          <w:szCs w:val="21"/>
        </w:rPr>
        <w:t>如图</w:t>
      </w:r>
      <w:r w:rsidR="000D14EA">
        <w:rPr>
          <w:rFonts w:hint="eastAsia"/>
          <w:sz w:val="21"/>
          <w:szCs w:val="21"/>
        </w:rPr>
        <w:t>1</w:t>
      </w:r>
      <w:r w:rsidR="000D14EA">
        <w:rPr>
          <w:rFonts w:hint="eastAsia"/>
          <w:sz w:val="21"/>
          <w:szCs w:val="21"/>
        </w:rPr>
        <w:t>所示。相</w:t>
      </w:r>
      <w:r w:rsidR="000D14EA">
        <w:rPr>
          <w:sz w:val="21"/>
          <w:szCs w:val="21"/>
        </w:rPr>
        <w:t>较于</w:t>
      </w:r>
      <w:r>
        <w:rPr>
          <w:rFonts w:hint="eastAsia"/>
          <w:sz w:val="21"/>
          <w:szCs w:val="21"/>
        </w:rPr>
        <w:t>传统的四边形单元结构，</w:t>
      </w:r>
      <w:r w:rsidR="000D14EA">
        <w:rPr>
          <w:rFonts w:hint="eastAsia"/>
          <w:sz w:val="21"/>
          <w:szCs w:val="21"/>
        </w:rPr>
        <w:t>该</w:t>
      </w:r>
      <w:r w:rsidR="000D14EA">
        <w:rPr>
          <w:sz w:val="21"/>
          <w:szCs w:val="21"/>
        </w:rPr>
        <w:t>单元</w:t>
      </w:r>
      <w:r w:rsidR="000D14EA">
        <w:rPr>
          <w:rFonts w:hint="eastAsia"/>
          <w:sz w:val="21"/>
          <w:szCs w:val="21"/>
        </w:rPr>
        <w:t>结构</w:t>
      </w:r>
      <w:r>
        <w:rPr>
          <w:rFonts w:hint="eastAsia"/>
          <w:sz w:val="21"/>
          <w:szCs w:val="21"/>
        </w:rPr>
        <w:t>在相同外接正方形面积下展现出更为紧凑的布局。该单元结构的工作频率为</w:t>
      </w:r>
      <w:r>
        <w:rPr>
          <w:sz w:val="21"/>
          <w:szCs w:val="21"/>
        </w:rPr>
        <w:t>1</w:t>
      </w:r>
      <w:r>
        <w:rPr>
          <w:rFonts w:hint="eastAsia"/>
          <w:sz w:val="21"/>
          <w:szCs w:val="21"/>
        </w:rPr>
        <w:t>4</w:t>
      </w:r>
      <w:r>
        <w:rPr>
          <w:sz w:val="21"/>
          <w:szCs w:val="21"/>
        </w:rPr>
        <w:t>GHz</w:t>
      </w:r>
      <w:r>
        <w:rPr>
          <w:rFonts w:hint="eastAsia"/>
          <w:sz w:val="21"/>
          <w:szCs w:val="21"/>
        </w:rPr>
        <w:t>，参数</w:t>
      </w:r>
      <w:r w:rsidRPr="000D14EA">
        <w:rPr>
          <w:i/>
          <w:sz w:val="21"/>
          <w:szCs w:val="21"/>
        </w:rPr>
        <w:t>p</w:t>
      </w:r>
      <w:r>
        <w:rPr>
          <w:rFonts w:hint="eastAsia"/>
          <w:sz w:val="21"/>
          <w:szCs w:val="21"/>
        </w:rPr>
        <w:t>设定为</w:t>
      </w:r>
      <w:r>
        <w:rPr>
          <w:sz w:val="21"/>
          <w:szCs w:val="21"/>
        </w:rPr>
        <w:t>3</w:t>
      </w:r>
      <w:r w:rsidR="000D14EA">
        <w:rPr>
          <w:rFonts w:hint="eastAsia"/>
          <w:sz w:val="21"/>
          <w:szCs w:val="21"/>
        </w:rPr>
        <w:t xml:space="preserve"> mm</w:t>
      </w:r>
      <w:r>
        <w:rPr>
          <w:rFonts w:hint="eastAsia"/>
          <w:sz w:val="21"/>
          <w:szCs w:val="21"/>
        </w:rPr>
        <w:t>。</w:t>
      </w:r>
      <w:r w:rsidR="00C859B1" w:rsidRPr="00C859B1">
        <w:rPr>
          <w:rFonts w:hint="eastAsia"/>
          <w:sz w:val="21"/>
          <w:szCs w:val="21"/>
        </w:rPr>
        <w:t>具体而言，其顶层金属层由铜制成，并保持了精密的六边形几何形状，该六边形的两对角顶点与下方介质层严格对齐。通过调节这个六边形的“宽窄”尺寸（即参数</w:t>
      </w:r>
      <w:r w:rsidR="00FF3D16" w:rsidRPr="00FF3D16">
        <w:rPr>
          <w:rFonts w:hint="eastAsia"/>
          <w:sz w:val="21"/>
          <w:szCs w:val="21"/>
        </w:rPr>
        <w:t>p'</w:t>
      </w:r>
      <w:r w:rsidR="00A14A4E">
        <w:rPr>
          <w:rFonts w:hint="eastAsia"/>
          <w:sz w:val="21"/>
          <w:szCs w:val="21"/>
        </w:rPr>
        <w:t>），可以精准地控制电磁波的反射相位和反射强度</w:t>
      </w:r>
      <w:r w:rsidR="00C859B1" w:rsidRPr="00C859B1">
        <w:rPr>
          <w:rFonts w:hint="eastAsia"/>
          <w:sz w:val="21"/>
          <w:szCs w:val="21"/>
        </w:rPr>
        <w:t>。中间的介质层选用了聚酰亚胺材料，其厚度</w:t>
      </w:r>
      <w:r w:rsidR="00C859B1" w:rsidRPr="00C859B1">
        <w:rPr>
          <w:rFonts w:hint="eastAsia"/>
          <w:sz w:val="21"/>
          <w:szCs w:val="21"/>
        </w:rPr>
        <w:t>h</w:t>
      </w:r>
      <w:r w:rsidR="00C859B1" w:rsidRPr="00C859B1">
        <w:rPr>
          <w:rFonts w:hint="eastAsia"/>
          <w:sz w:val="21"/>
          <w:szCs w:val="21"/>
        </w:rPr>
        <w:t>为</w:t>
      </w:r>
      <w:r w:rsidR="00C859B1" w:rsidRPr="00C859B1">
        <w:rPr>
          <w:rFonts w:hint="eastAsia"/>
          <w:sz w:val="21"/>
          <w:szCs w:val="21"/>
        </w:rPr>
        <w:t>1</w:t>
      </w:r>
      <w:r w:rsidR="00A14A4E">
        <w:rPr>
          <w:rFonts w:hint="eastAsia"/>
          <w:sz w:val="21"/>
          <w:szCs w:val="21"/>
        </w:rPr>
        <w:t>mm</w:t>
      </w:r>
      <w:r w:rsidR="00C859B1" w:rsidRPr="00C859B1">
        <w:rPr>
          <w:rFonts w:hint="eastAsia"/>
          <w:sz w:val="21"/>
          <w:szCs w:val="21"/>
        </w:rPr>
        <w:t>。而最底层则同样采用铜材质，作为完整的金属反射底板，共同构成了一个高效且可定制的电磁调控单元</w:t>
      </w:r>
      <w:r w:rsidR="00C859B1">
        <w:rPr>
          <w:rFonts w:hint="eastAsia"/>
          <w:sz w:val="21"/>
          <w:szCs w:val="21"/>
        </w:rPr>
        <w:t>。</w:t>
      </w:r>
      <w:r>
        <w:rPr>
          <w:rFonts w:hint="eastAsia"/>
          <w:b/>
          <w:sz w:val="15"/>
          <w:szCs w:val="15"/>
        </w:rPr>
        <w:object w:dxaOrig="6803" w:dyaOrig="2331" w14:anchorId="7A4C27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39.6pt;height:116.55pt" o:ole="">
            <v:imagedata r:id="rId10" o:title=""/>
          </v:shape>
          <o:OLEObject Type="Embed" ProgID="Visio.Drawing.15" ShapeID="_x0000_i1025" DrawAspect="Content" ObjectID="_1822115053" r:id="rId11"/>
        </w:object>
      </w:r>
    </w:p>
    <w:p w14:paraId="2995BE92" w14:textId="77777777" w:rsidR="00F17155" w:rsidRDefault="00844BEE">
      <w:pPr>
        <w:spacing w:line="240" w:lineRule="auto"/>
        <w:ind w:firstLineChars="0" w:firstLine="0"/>
        <w:jc w:val="center"/>
      </w:pPr>
      <w:commentRangeStart w:id="6"/>
      <w:r>
        <w:rPr>
          <w:rFonts w:hint="eastAsia"/>
          <w:b/>
          <w:sz w:val="15"/>
          <w:szCs w:val="15"/>
        </w:rPr>
        <w:t>图</w:t>
      </w:r>
      <w:r>
        <w:rPr>
          <w:rFonts w:hint="eastAsia"/>
          <w:b/>
          <w:sz w:val="15"/>
          <w:szCs w:val="15"/>
        </w:rPr>
        <w:t>1</w:t>
      </w:r>
      <w:commentRangeEnd w:id="6"/>
      <w:r w:rsidR="003D3B10">
        <w:rPr>
          <w:rStyle w:val="a8"/>
        </w:rPr>
        <w:commentReference w:id="6"/>
      </w:r>
      <w:r>
        <w:rPr>
          <w:rFonts w:hint="eastAsia"/>
        </w:rPr>
        <w:t xml:space="preserve"> </w:t>
      </w:r>
      <w:r>
        <w:rPr>
          <w:rFonts w:hint="eastAsia"/>
          <w:b/>
          <w:sz w:val="15"/>
          <w:szCs w:val="15"/>
        </w:rPr>
        <w:t>超表面单元结构设计示意图</w:t>
      </w:r>
    </w:p>
    <w:p w14:paraId="70BCA53A" w14:textId="4F9B710B" w:rsidR="00F17155" w:rsidRDefault="003048BD">
      <w:pPr>
        <w:spacing w:line="240" w:lineRule="auto"/>
      </w:pPr>
      <w:r>
        <w:rPr>
          <w:rFonts w:hint="eastAsia"/>
          <w:sz w:val="21"/>
          <w:szCs w:val="21"/>
        </w:rPr>
        <w:t>本</w:t>
      </w:r>
      <w:r>
        <w:rPr>
          <w:sz w:val="21"/>
          <w:szCs w:val="21"/>
        </w:rPr>
        <w:t>文</w:t>
      </w:r>
      <w:r w:rsidRPr="003048BD">
        <w:rPr>
          <w:rFonts w:hint="eastAsia"/>
          <w:sz w:val="21"/>
          <w:szCs w:val="21"/>
        </w:rPr>
        <w:t>采用</w:t>
      </w:r>
      <w:r w:rsidRPr="003048BD">
        <w:rPr>
          <w:rFonts w:hint="eastAsia"/>
          <w:sz w:val="21"/>
          <w:szCs w:val="21"/>
        </w:rPr>
        <w:t>ANSYS</w:t>
      </w:r>
      <w:r w:rsidRPr="003048BD">
        <w:rPr>
          <w:rFonts w:hint="eastAsia"/>
          <w:sz w:val="21"/>
          <w:szCs w:val="21"/>
        </w:rPr>
        <w:t>仿真软件，利用其周期边界功能对设计的单元结构进行了深入分析。该方法的核心是应用主从边界条件，并结合</w:t>
      </w:r>
      <w:r w:rsidRPr="003048BD">
        <w:rPr>
          <w:rFonts w:hint="eastAsia"/>
          <w:sz w:val="21"/>
          <w:szCs w:val="21"/>
        </w:rPr>
        <w:t>Floquet</w:t>
      </w:r>
      <w:r w:rsidRPr="003048BD">
        <w:rPr>
          <w:rFonts w:hint="eastAsia"/>
          <w:sz w:val="21"/>
          <w:szCs w:val="21"/>
        </w:rPr>
        <w:t>端口进行激励，从</w:t>
      </w:r>
      <w:r>
        <w:rPr>
          <w:rFonts w:hint="eastAsia"/>
          <w:sz w:val="21"/>
          <w:szCs w:val="21"/>
        </w:rPr>
        <w:t>而能够高效地研究平面周期结构的电磁特性。具体</w:t>
      </w:r>
      <w:r w:rsidRPr="003048BD">
        <w:rPr>
          <w:rFonts w:hint="eastAsia"/>
          <w:sz w:val="21"/>
          <w:szCs w:val="21"/>
        </w:rPr>
        <w:t>通过</w:t>
      </w:r>
      <w:r w:rsidRPr="003048BD">
        <w:rPr>
          <w:rFonts w:hint="eastAsia"/>
          <w:sz w:val="21"/>
          <w:szCs w:val="21"/>
        </w:rPr>
        <w:t>Floquet</w:t>
      </w:r>
      <w:r w:rsidRPr="003048BD">
        <w:rPr>
          <w:rFonts w:hint="eastAsia"/>
          <w:sz w:val="21"/>
          <w:szCs w:val="21"/>
        </w:rPr>
        <w:t>端口求解基于</w:t>
      </w:r>
      <w:r w:rsidRPr="003048BD">
        <w:rPr>
          <w:rFonts w:hint="eastAsia"/>
          <w:sz w:val="21"/>
          <w:szCs w:val="21"/>
        </w:rPr>
        <w:t>Floquet</w:t>
      </w:r>
      <w:r w:rsidRPr="003048BD">
        <w:rPr>
          <w:rFonts w:hint="eastAsia"/>
          <w:sz w:val="21"/>
          <w:szCs w:val="21"/>
        </w:rPr>
        <w:t>模式的场分布，并直接以</w:t>
      </w:r>
      <w:r w:rsidRPr="003048BD">
        <w:rPr>
          <w:rFonts w:hint="eastAsia"/>
          <w:sz w:val="21"/>
          <w:szCs w:val="21"/>
        </w:rPr>
        <w:t>S</w:t>
      </w:r>
      <w:r w:rsidRPr="003048BD">
        <w:rPr>
          <w:rFonts w:hint="eastAsia"/>
          <w:sz w:val="21"/>
          <w:szCs w:val="21"/>
        </w:rPr>
        <w:t>参数的形式获取反射系数。此方法与传统的波导端口激励原理相似，但优势在于避免了后处理中复杂的场求解器操作，简化了流程。在模型设置上，由于单元本身为六边形，为适配仿真需求，将</w:t>
      </w:r>
      <w:r>
        <w:rPr>
          <w:rFonts w:hint="eastAsia"/>
          <w:sz w:val="21"/>
          <w:szCs w:val="21"/>
        </w:rPr>
        <w:t>4</w:t>
      </w:r>
      <w:r w:rsidRPr="003048BD">
        <w:rPr>
          <w:rFonts w:hint="eastAsia"/>
          <w:sz w:val="21"/>
          <w:szCs w:val="21"/>
        </w:rPr>
        <w:t>个单元结构拼接并截取为一个长方形</w:t>
      </w:r>
      <w:r>
        <w:rPr>
          <w:rFonts w:hint="eastAsia"/>
          <w:sz w:val="21"/>
          <w:szCs w:val="21"/>
        </w:rPr>
        <w:t>，</w:t>
      </w:r>
      <w:r>
        <w:rPr>
          <w:sz w:val="21"/>
          <w:szCs w:val="21"/>
        </w:rPr>
        <w:lastRenderedPageBreak/>
        <w:t>如图</w:t>
      </w:r>
      <w:r>
        <w:rPr>
          <w:rFonts w:hint="eastAsia"/>
          <w:sz w:val="21"/>
          <w:szCs w:val="21"/>
        </w:rPr>
        <w:t>2</w:t>
      </w:r>
      <w:r>
        <w:rPr>
          <w:rFonts w:hint="eastAsia"/>
          <w:sz w:val="21"/>
          <w:szCs w:val="21"/>
        </w:rPr>
        <w:t>所</w:t>
      </w:r>
      <w:r>
        <w:rPr>
          <w:sz w:val="21"/>
          <w:szCs w:val="21"/>
        </w:rPr>
        <w:t>示</w:t>
      </w:r>
      <w:r w:rsidRPr="003048BD">
        <w:rPr>
          <w:rFonts w:hint="eastAsia"/>
          <w:sz w:val="21"/>
          <w:szCs w:val="21"/>
        </w:rPr>
        <w:t>。这一操作成功地模拟了一个在平面上无限延伸的周期性结构，为准确分析其宏观电磁特性奠定了基础。</w:t>
      </w:r>
    </w:p>
    <w:p w14:paraId="101B9922" w14:textId="77777777" w:rsidR="00F17155" w:rsidRDefault="00844BEE">
      <w:pPr>
        <w:spacing w:line="240" w:lineRule="auto"/>
        <w:ind w:firstLineChars="0" w:firstLine="0"/>
        <w:jc w:val="center"/>
      </w:pPr>
      <w:r>
        <w:rPr>
          <w:rFonts w:hint="eastAsia"/>
        </w:rPr>
        <w:object w:dxaOrig="6803" w:dyaOrig="2632" w14:anchorId="568E36E8">
          <v:shape id="_x0000_i1026" type="#_x0000_t75" alt="" style="width:339.6pt;height:131.5pt" o:ole="">
            <v:imagedata r:id="rId12" o:title=""/>
          </v:shape>
          <o:OLEObject Type="Embed" ProgID="Visio.Drawing.15" ShapeID="_x0000_i1026" DrawAspect="Content" ObjectID="_1822115054" r:id="rId13"/>
        </w:object>
      </w:r>
    </w:p>
    <w:p w14:paraId="243245BE" w14:textId="77777777" w:rsidR="00900734" w:rsidRDefault="00900734">
      <w:pPr>
        <w:spacing w:line="240" w:lineRule="auto"/>
        <w:ind w:firstLineChars="0" w:firstLine="0"/>
        <w:jc w:val="center"/>
        <w:rPr>
          <w:b/>
          <w:sz w:val="15"/>
          <w:szCs w:val="15"/>
        </w:rPr>
      </w:pPr>
    </w:p>
    <w:p w14:paraId="0DCE78F5" w14:textId="00F3CDFE" w:rsidR="00F17155" w:rsidRDefault="00844BEE">
      <w:pPr>
        <w:spacing w:line="240" w:lineRule="auto"/>
        <w:ind w:firstLineChars="0" w:firstLine="0"/>
        <w:jc w:val="center"/>
      </w:pPr>
      <w:commentRangeStart w:id="7"/>
      <w:r>
        <w:rPr>
          <w:rFonts w:hint="eastAsia"/>
          <w:b/>
          <w:sz w:val="15"/>
          <w:szCs w:val="15"/>
        </w:rPr>
        <w:t>图</w:t>
      </w:r>
      <w:r>
        <w:rPr>
          <w:rFonts w:hint="eastAsia"/>
          <w:b/>
          <w:sz w:val="15"/>
          <w:szCs w:val="15"/>
        </w:rPr>
        <w:t>2</w:t>
      </w:r>
      <w:commentRangeEnd w:id="7"/>
      <w:r w:rsidR="00900734">
        <w:rPr>
          <w:rStyle w:val="a8"/>
        </w:rPr>
        <w:commentReference w:id="7"/>
      </w:r>
      <w:r>
        <w:rPr>
          <w:rFonts w:hint="eastAsia"/>
          <w:b/>
          <w:sz w:val="15"/>
          <w:szCs w:val="15"/>
        </w:rPr>
        <w:t xml:space="preserve"> </w:t>
      </w:r>
      <w:r>
        <w:rPr>
          <w:rFonts w:hint="eastAsia"/>
          <w:b/>
          <w:sz w:val="15"/>
          <w:szCs w:val="15"/>
        </w:rPr>
        <w:t>均匀六边形格子中单元的模拟模型顶视图</w:t>
      </w:r>
    </w:p>
    <w:p w14:paraId="53883DC8" w14:textId="77777777" w:rsidR="00834511" w:rsidRDefault="00FF3D16">
      <w:pPr>
        <w:spacing w:line="240" w:lineRule="auto"/>
        <w:rPr>
          <w:sz w:val="21"/>
          <w:szCs w:val="21"/>
        </w:rPr>
      </w:pPr>
      <w:r w:rsidRPr="00FF3D16">
        <w:rPr>
          <w:rFonts w:hint="eastAsia"/>
          <w:sz w:val="21"/>
          <w:szCs w:val="21"/>
        </w:rPr>
        <w:t>为调控电磁波的反射相位，我们对顶层金属的关键尺寸参数</w:t>
      </w:r>
      <w:r w:rsidRPr="00FF3D16">
        <w:rPr>
          <w:rFonts w:hint="eastAsia"/>
          <w:sz w:val="21"/>
          <w:szCs w:val="21"/>
        </w:rPr>
        <w:t>p'</w:t>
      </w:r>
      <w:r w:rsidRPr="00FF3D16">
        <w:rPr>
          <w:rFonts w:hint="eastAsia"/>
          <w:sz w:val="21"/>
          <w:szCs w:val="21"/>
        </w:rPr>
        <w:t>进行了扫参分析，</w:t>
      </w:r>
      <w:r w:rsidR="00844BEE">
        <w:rPr>
          <w:rFonts w:hint="eastAsia"/>
          <w:sz w:val="21"/>
          <w:szCs w:val="21"/>
        </w:rPr>
        <w:t>变化范围为</w:t>
      </w:r>
      <w:r w:rsidR="00844BEE">
        <w:rPr>
          <w:rFonts w:hint="eastAsia"/>
          <w:sz w:val="21"/>
          <w:szCs w:val="21"/>
        </w:rPr>
        <w:t>1</w:t>
      </w:r>
      <w:r w:rsidR="00A238EE">
        <w:rPr>
          <w:sz w:val="21"/>
          <w:szCs w:val="21"/>
        </w:rPr>
        <w:t>~</w:t>
      </w:r>
      <w:r w:rsidR="00844BEE">
        <w:rPr>
          <w:rFonts w:hint="eastAsia"/>
          <w:sz w:val="21"/>
          <w:szCs w:val="21"/>
        </w:rPr>
        <w:t>5.1mm</w:t>
      </w:r>
      <w:r>
        <w:rPr>
          <w:rFonts w:hint="eastAsia"/>
          <w:sz w:val="21"/>
          <w:szCs w:val="21"/>
        </w:rPr>
        <w:t>。相</w:t>
      </w:r>
      <w:r>
        <w:rPr>
          <w:sz w:val="21"/>
          <w:szCs w:val="21"/>
        </w:rPr>
        <w:t>应的</w:t>
      </w:r>
      <w:r w:rsidR="00844BEE">
        <w:rPr>
          <w:rFonts w:hint="eastAsia"/>
          <w:sz w:val="21"/>
          <w:szCs w:val="21"/>
        </w:rPr>
        <w:t>电磁波反射相位</w:t>
      </w:r>
      <w:r>
        <w:rPr>
          <w:rFonts w:hint="eastAsia"/>
          <w:sz w:val="21"/>
          <w:szCs w:val="21"/>
        </w:rPr>
        <w:t>和</w:t>
      </w:r>
      <w:r w:rsidR="00844BEE">
        <w:rPr>
          <w:rFonts w:hint="eastAsia"/>
          <w:sz w:val="21"/>
          <w:szCs w:val="21"/>
        </w:rPr>
        <w:t>幅度变化曲线如图</w:t>
      </w:r>
      <w:r w:rsidR="00844BEE">
        <w:rPr>
          <w:rFonts w:hint="eastAsia"/>
          <w:sz w:val="21"/>
          <w:szCs w:val="21"/>
        </w:rPr>
        <w:t>3</w:t>
      </w:r>
      <w:r w:rsidR="00844BEE">
        <w:rPr>
          <w:rFonts w:hint="eastAsia"/>
          <w:sz w:val="21"/>
          <w:szCs w:val="21"/>
        </w:rPr>
        <w:t>所示，</w:t>
      </w:r>
      <w:r w:rsidRPr="00FF3D16">
        <w:rPr>
          <w:rFonts w:hint="eastAsia"/>
          <w:sz w:val="21"/>
          <w:szCs w:val="21"/>
        </w:rPr>
        <w:t>图中选</w:t>
      </w:r>
      <w:r>
        <w:rPr>
          <w:rFonts w:hint="eastAsia"/>
          <w:sz w:val="21"/>
          <w:szCs w:val="21"/>
        </w:rPr>
        <w:t>取了若干具有代表性的曲线进行简明展示</w:t>
      </w:r>
      <w:r w:rsidR="00844BEE">
        <w:rPr>
          <w:rFonts w:hint="eastAsia"/>
          <w:sz w:val="21"/>
          <w:szCs w:val="21"/>
        </w:rPr>
        <w:t>。</w:t>
      </w:r>
      <w:r w:rsidR="00FC3ACA">
        <w:rPr>
          <w:rFonts w:hint="eastAsia"/>
          <w:sz w:val="21"/>
          <w:szCs w:val="21"/>
        </w:rPr>
        <w:t>可以看</w:t>
      </w:r>
      <w:r w:rsidR="00FC3ACA">
        <w:rPr>
          <w:sz w:val="21"/>
          <w:szCs w:val="21"/>
        </w:rPr>
        <w:t>出</w:t>
      </w:r>
      <w:r w:rsidR="00844BEE">
        <w:rPr>
          <w:rFonts w:hint="eastAsia"/>
          <w:sz w:val="21"/>
          <w:szCs w:val="21"/>
        </w:rPr>
        <w:t>，电磁波反射相位满足</w:t>
      </w:r>
      <w:r w:rsidR="00844BEE">
        <w:rPr>
          <w:rFonts w:hint="eastAsia"/>
          <w:sz w:val="21"/>
          <w:szCs w:val="21"/>
        </w:rPr>
        <w:t>360</w:t>
      </w:r>
      <w:r w:rsidR="00844BEE">
        <w:rPr>
          <w:rFonts w:hint="eastAsia"/>
          <w:sz w:val="21"/>
          <w:szCs w:val="21"/>
        </w:rPr>
        <w:t>°相位覆盖，</w:t>
      </w:r>
      <w:r w:rsidR="00FC3ACA" w:rsidRPr="00FC3ACA">
        <w:rPr>
          <w:rFonts w:hint="eastAsia"/>
          <w:sz w:val="21"/>
          <w:szCs w:val="21"/>
        </w:rPr>
        <w:t>这从理论上保证了其能够有效构建涡旋波并实现波束汇聚；</w:t>
      </w:r>
      <w:r w:rsidR="00FC3ACA">
        <w:rPr>
          <w:rFonts w:hint="eastAsia"/>
          <w:sz w:val="21"/>
          <w:szCs w:val="21"/>
        </w:rPr>
        <w:t>此</w:t>
      </w:r>
      <w:r w:rsidR="00FC3ACA">
        <w:rPr>
          <w:sz w:val="21"/>
          <w:szCs w:val="21"/>
        </w:rPr>
        <w:t>外，</w:t>
      </w:r>
      <w:r w:rsidR="00FC3ACA" w:rsidRPr="00FC3ACA">
        <w:rPr>
          <w:rFonts w:hint="eastAsia"/>
          <w:sz w:val="21"/>
          <w:szCs w:val="21"/>
        </w:rPr>
        <w:t>反射幅度均保持在</w:t>
      </w:r>
      <w:r w:rsidR="00FC3ACA" w:rsidRPr="00FC3ACA">
        <w:rPr>
          <w:rFonts w:hint="eastAsia"/>
          <w:sz w:val="21"/>
          <w:szCs w:val="21"/>
        </w:rPr>
        <w:t>0.93</w:t>
      </w:r>
      <w:r w:rsidR="00FC3ACA" w:rsidRPr="00FC3ACA">
        <w:rPr>
          <w:rFonts w:hint="eastAsia"/>
          <w:sz w:val="21"/>
          <w:szCs w:val="21"/>
        </w:rPr>
        <w:t>以上，即超过</w:t>
      </w:r>
      <w:r w:rsidR="00FC3ACA" w:rsidRPr="00FC3ACA">
        <w:rPr>
          <w:rFonts w:hint="eastAsia"/>
          <w:sz w:val="21"/>
          <w:szCs w:val="21"/>
        </w:rPr>
        <w:t>90%</w:t>
      </w:r>
      <w:r w:rsidR="00FC3ACA" w:rsidRPr="00FC3ACA">
        <w:rPr>
          <w:rFonts w:hint="eastAsia"/>
          <w:sz w:val="21"/>
          <w:szCs w:val="21"/>
        </w:rPr>
        <w:t>的入射电磁波能量被反射，能量利用率很高。综上所述，该单元在反射相位与幅度两</w:t>
      </w:r>
      <w:r w:rsidR="00FC3ACA">
        <w:rPr>
          <w:rFonts w:hint="eastAsia"/>
          <w:sz w:val="21"/>
          <w:szCs w:val="21"/>
        </w:rPr>
        <w:t>方面均表现出优异性能，达到了设计预期，具备进一步组阵测试的价值</w:t>
      </w:r>
      <w:r w:rsidR="00844BEE">
        <w:rPr>
          <w:rFonts w:hint="eastAsia"/>
          <w:sz w:val="21"/>
          <w:szCs w:val="21"/>
        </w:rPr>
        <w:t>。</w:t>
      </w:r>
    </w:p>
    <w:p w14:paraId="06185377" w14:textId="458F7C90" w:rsidR="00834511" w:rsidRDefault="00834511">
      <w:pPr>
        <w:spacing w:line="240" w:lineRule="auto"/>
        <w:ind w:firstLine="480"/>
        <w:rPr>
          <w:sz w:val="21"/>
          <w:szCs w:val="21"/>
        </w:rPr>
      </w:pPr>
      <w:r>
        <w:rPr>
          <w:rFonts w:hint="eastAsia"/>
        </w:rPr>
        <w:object w:dxaOrig="6803" w:dyaOrig="2752" w14:anchorId="54BBD963">
          <v:shape id="_x0000_i1027" type="#_x0000_t75" alt="" style="width:339.6pt;height:137.75pt" o:ole="">
            <v:imagedata r:id="rId14" o:title=""/>
          </v:shape>
          <o:OLEObject Type="Embed" ProgID="Visio.Drawing.15" ShapeID="_x0000_i1027" DrawAspect="Content" ObjectID="_1822115055" r:id="rId15"/>
        </w:object>
      </w:r>
    </w:p>
    <w:p w14:paraId="45030D0B" w14:textId="2DAEFB73" w:rsidR="00F17155" w:rsidRPr="00834511" w:rsidRDefault="00834511" w:rsidP="00834511">
      <w:pPr>
        <w:spacing w:line="240" w:lineRule="auto"/>
        <w:ind w:firstLineChars="0" w:firstLine="0"/>
        <w:jc w:val="center"/>
      </w:pPr>
      <w:r>
        <w:rPr>
          <w:rFonts w:hint="eastAsia"/>
          <w:b/>
          <w:sz w:val="15"/>
          <w:szCs w:val="15"/>
        </w:rPr>
        <w:t>图</w:t>
      </w:r>
      <w:r>
        <w:rPr>
          <w:rFonts w:hint="eastAsia"/>
          <w:b/>
          <w:sz w:val="15"/>
          <w:szCs w:val="15"/>
        </w:rPr>
        <w:t xml:space="preserve">3 </w:t>
      </w:r>
      <w:r>
        <w:rPr>
          <w:rFonts w:hint="eastAsia"/>
          <w:b/>
          <w:sz w:val="15"/>
          <w:szCs w:val="15"/>
        </w:rPr>
        <w:t>单元结构仿真相位变化曲线图（左）幅度变化曲线图（右）</w:t>
      </w:r>
    </w:p>
    <w:p w14:paraId="2118481F" w14:textId="2AA68894" w:rsidR="00F17155" w:rsidRDefault="00A46166">
      <w:pPr>
        <w:spacing w:line="240" w:lineRule="auto"/>
        <w:rPr>
          <w:sz w:val="21"/>
          <w:szCs w:val="21"/>
        </w:rPr>
      </w:pPr>
      <w:r w:rsidRPr="00A46166">
        <w:rPr>
          <w:rFonts w:hint="eastAsia"/>
          <w:sz w:val="21"/>
          <w:szCs w:val="21"/>
        </w:rPr>
        <w:t>为清晰观测涡旋波相位，需保证超表面具有足够的电尺寸，因此本设计采用了</w:t>
      </w:r>
      <w:r w:rsidRPr="00A46166">
        <w:rPr>
          <w:rFonts w:hint="eastAsia"/>
          <w:sz w:val="21"/>
          <w:szCs w:val="21"/>
        </w:rPr>
        <w:t>29</w:t>
      </w:r>
      <w:r w:rsidRPr="00A46166">
        <w:rPr>
          <w:rFonts w:hint="eastAsia"/>
          <w:sz w:val="21"/>
          <w:szCs w:val="21"/>
        </w:rPr>
        <w:t>×</w:t>
      </w:r>
      <w:r w:rsidRPr="00A46166">
        <w:rPr>
          <w:rFonts w:hint="eastAsia"/>
          <w:sz w:val="21"/>
          <w:szCs w:val="21"/>
        </w:rPr>
        <w:t>29</w:t>
      </w:r>
      <w:r w:rsidRPr="00A46166">
        <w:rPr>
          <w:rFonts w:hint="eastAsia"/>
          <w:sz w:val="21"/>
          <w:szCs w:val="21"/>
        </w:rPr>
        <w:t>（共</w:t>
      </w:r>
      <w:r w:rsidRPr="00A46166">
        <w:rPr>
          <w:rFonts w:hint="eastAsia"/>
          <w:sz w:val="21"/>
          <w:szCs w:val="21"/>
        </w:rPr>
        <w:t>841</w:t>
      </w:r>
      <w:r w:rsidRPr="00A46166">
        <w:rPr>
          <w:rFonts w:hint="eastAsia"/>
          <w:sz w:val="21"/>
          <w:szCs w:val="21"/>
        </w:rPr>
        <w:t>个）单元进行排布，整体尺寸为</w:t>
      </w:r>
      <w:r w:rsidRPr="00A46166">
        <w:rPr>
          <w:rFonts w:hint="eastAsia"/>
          <w:sz w:val="21"/>
          <w:szCs w:val="21"/>
        </w:rPr>
        <w:t xml:space="preserve">132mm </w:t>
      </w:r>
      <w:r w:rsidRPr="00A46166">
        <w:rPr>
          <w:rFonts w:hint="eastAsia"/>
          <w:sz w:val="21"/>
          <w:szCs w:val="21"/>
        </w:rPr>
        <w:t>×</w:t>
      </w:r>
      <w:r w:rsidRPr="00A46166">
        <w:rPr>
          <w:rFonts w:hint="eastAsia"/>
          <w:sz w:val="21"/>
          <w:szCs w:val="21"/>
        </w:rPr>
        <w:t xml:space="preserve"> 150mm</w:t>
      </w:r>
      <w:r w:rsidRPr="00A46166">
        <w:rPr>
          <w:rFonts w:hint="eastAsia"/>
          <w:sz w:val="21"/>
          <w:szCs w:val="21"/>
        </w:rPr>
        <w:t>。各单元的反射相位由其结构尺寸唯一决定。基于此，我们通过</w:t>
      </w:r>
      <w:r w:rsidRPr="00A46166">
        <w:rPr>
          <w:rFonts w:hint="eastAsia"/>
          <w:sz w:val="21"/>
          <w:szCs w:val="21"/>
        </w:rPr>
        <w:t>MATLAB</w:t>
      </w:r>
      <w:r w:rsidRPr="00A46166">
        <w:rPr>
          <w:rFonts w:hint="eastAsia"/>
          <w:sz w:val="21"/>
          <w:szCs w:val="21"/>
        </w:rPr>
        <w:t>与</w:t>
      </w:r>
      <w:r w:rsidRPr="00A46166">
        <w:rPr>
          <w:rFonts w:hint="eastAsia"/>
          <w:sz w:val="21"/>
          <w:szCs w:val="21"/>
        </w:rPr>
        <w:t>ANSYS</w:t>
      </w:r>
      <w:r w:rsidRPr="00A46166">
        <w:rPr>
          <w:rFonts w:hint="eastAsia"/>
          <w:sz w:val="21"/>
          <w:szCs w:val="21"/>
        </w:rPr>
        <w:t>的联合仿真进行设计：首先，根据目标涡旋波束的相位分布要求，在</w:t>
      </w:r>
      <w:r w:rsidRPr="00A46166">
        <w:rPr>
          <w:rFonts w:hint="eastAsia"/>
          <w:sz w:val="21"/>
          <w:szCs w:val="21"/>
        </w:rPr>
        <w:t>MATLAB</w:t>
      </w:r>
      <w:r w:rsidRPr="00A46166">
        <w:rPr>
          <w:rFonts w:hint="eastAsia"/>
          <w:sz w:val="21"/>
          <w:szCs w:val="21"/>
        </w:rPr>
        <w:t>中计算出阵列中每个单元所需的目标相位；随后，将相位数据映射为对应的单元尺寸，并生成仿真模型；最后，在</w:t>
      </w:r>
      <w:r w:rsidRPr="00A46166">
        <w:rPr>
          <w:rFonts w:hint="eastAsia"/>
          <w:sz w:val="21"/>
          <w:szCs w:val="21"/>
        </w:rPr>
        <w:t>ANSYS</w:t>
      </w:r>
      <w:r w:rsidRPr="00A46166">
        <w:rPr>
          <w:rFonts w:hint="eastAsia"/>
          <w:sz w:val="21"/>
          <w:szCs w:val="21"/>
        </w:rPr>
        <w:t>中进行全波仿真。如图</w:t>
      </w:r>
      <w:r w:rsidRPr="00A46166">
        <w:rPr>
          <w:rFonts w:hint="eastAsia"/>
          <w:sz w:val="21"/>
          <w:szCs w:val="21"/>
        </w:rPr>
        <w:t>4</w:t>
      </w:r>
      <w:r w:rsidRPr="00A46166">
        <w:rPr>
          <w:rFonts w:hint="eastAsia"/>
          <w:sz w:val="21"/>
          <w:szCs w:val="21"/>
        </w:rPr>
        <w:t>所示，</w:t>
      </w:r>
      <w:commentRangeStart w:id="8"/>
      <w:r w:rsidRPr="00A46166">
        <w:rPr>
          <w:rFonts w:hint="eastAsia"/>
          <w:sz w:val="21"/>
          <w:szCs w:val="21"/>
        </w:rPr>
        <w:t>该超表面成功激发了一阶涡旋波束。</w:t>
      </w:r>
      <w:r>
        <w:rPr>
          <w:rFonts w:hint="eastAsia"/>
          <w:sz w:val="21"/>
          <w:szCs w:val="21"/>
        </w:rPr>
        <w:t>可</w:t>
      </w:r>
      <w:r>
        <w:rPr>
          <w:sz w:val="21"/>
          <w:szCs w:val="21"/>
        </w:rPr>
        <w:t>以清晰地看出，</w:t>
      </w:r>
      <w:r w:rsidRPr="00A46166">
        <w:rPr>
          <w:rFonts w:hint="eastAsia"/>
          <w:sz w:val="21"/>
          <w:szCs w:val="21"/>
        </w:rPr>
        <w:t>相位分布（图</w:t>
      </w:r>
      <w:r w:rsidRPr="00A46166">
        <w:rPr>
          <w:rFonts w:hint="eastAsia"/>
          <w:sz w:val="21"/>
          <w:szCs w:val="21"/>
        </w:rPr>
        <w:t>4a</w:t>
      </w:r>
      <w:r w:rsidRPr="00A46166">
        <w:rPr>
          <w:rFonts w:hint="eastAsia"/>
          <w:sz w:val="21"/>
          <w:szCs w:val="21"/>
        </w:rPr>
        <w:t>）呈现出典型的单螺旋结构，而电场幅度（图</w:t>
      </w:r>
      <w:r w:rsidRPr="00A46166">
        <w:rPr>
          <w:rFonts w:hint="eastAsia"/>
          <w:sz w:val="21"/>
          <w:szCs w:val="21"/>
        </w:rPr>
        <w:t>4b</w:t>
      </w:r>
      <w:r w:rsidRPr="00A46166">
        <w:rPr>
          <w:rFonts w:hint="eastAsia"/>
          <w:sz w:val="21"/>
          <w:szCs w:val="21"/>
        </w:rPr>
        <w:t>）则显示出中心强度为零的“甜甜圈”状分布。这</w:t>
      </w:r>
      <w:r>
        <w:rPr>
          <w:rFonts w:hint="eastAsia"/>
          <w:sz w:val="21"/>
          <w:szCs w:val="21"/>
        </w:rPr>
        <w:t>2</w:t>
      </w:r>
      <w:r w:rsidRPr="00A46166">
        <w:rPr>
          <w:rFonts w:hint="eastAsia"/>
          <w:sz w:val="21"/>
          <w:szCs w:val="21"/>
        </w:rPr>
        <w:t>个特征共同证实了模态数为</w:t>
      </w:r>
      <w:r w:rsidRPr="00A46166">
        <w:rPr>
          <w:rFonts w:hint="eastAsia"/>
          <w:sz w:val="21"/>
          <w:szCs w:val="21"/>
        </w:rPr>
        <w:t>1</w:t>
      </w:r>
      <w:r w:rsidRPr="00A46166">
        <w:rPr>
          <w:rFonts w:hint="eastAsia"/>
          <w:sz w:val="21"/>
          <w:szCs w:val="21"/>
        </w:rPr>
        <w:t>的轨道角动量被成功生成。</w:t>
      </w:r>
    </w:p>
    <w:commentRangeEnd w:id="8"/>
    <w:p w14:paraId="3B93A108" w14:textId="70019B3D" w:rsidR="00F17155" w:rsidRDefault="00A46166">
      <w:pPr>
        <w:spacing w:line="240" w:lineRule="auto"/>
        <w:ind w:firstLineChars="0" w:firstLine="0"/>
        <w:jc w:val="center"/>
      </w:pPr>
      <w:r>
        <w:rPr>
          <w:rStyle w:val="a8"/>
        </w:rPr>
        <w:commentReference w:id="8"/>
      </w:r>
    </w:p>
    <w:p w14:paraId="693F7124" w14:textId="77777777" w:rsidR="00F17155" w:rsidRDefault="00844BEE">
      <w:pPr>
        <w:spacing w:line="240" w:lineRule="auto"/>
        <w:ind w:firstLineChars="0" w:firstLine="0"/>
        <w:jc w:val="center"/>
        <w:rPr>
          <w:b/>
          <w:sz w:val="15"/>
          <w:szCs w:val="15"/>
        </w:rPr>
      </w:pPr>
      <w:r>
        <w:rPr>
          <w:rFonts w:hint="eastAsia"/>
          <w:b/>
          <w:sz w:val="15"/>
          <w:szCs w:val="15"/>
        </w:rPr>
        <w:object w:dxaOrig="6803" w:dyaOrig="3855" w14:anchorId="49A04B36">
          <v:shape id="_x0000_i1028" type="#_x0000_t75" alt="" style="width:339.6pt;height:193.1pt" o:ole="">
            <v:imagedata r:id="rId16" o:title=""/>
            <o:lock v:ext="edit" aspectratio="f"/>
          </v:shape>
          <o:OLEObject Type="Embed" ProgID="Visio.Drawing.15" ShapeID="_x0000_i1028" DrawAspect="Content" ObjectID="_1822115056" r:id="rId17"/>
        </w:object>
      </w:r>
    </w:p>
    <w:p w14:paraId="41E46EAF" w14:textId="77777777" w:rsidR="00F17155" w:rsidRDefault="00844BEE">
      <w:pPr>
        <w:spacing w:line="240" w:lineRule="auto"/>
        <w:ind w:firstLineChars="0" w:firstLine="0"/>
        <w:jc w:val="center"/>
        <w:rPr>
          <w:b/>
          <w:sz w:val="15"/>
          <w:szCs w:val="15"/>
        </w:rPr>
      </w:pPr>
      <w:r>
        <w:rPr>
          <w:rFonts w:hint="eastAsia"/>
          <w:b/>
          <w:sz w:val="15"/>
          <w:szCs w:val="15"/>
        </w:rPr>
        <w:t>图</w:t>
      </w:r>
      <w:r>
        <w:rPr>
          <w:rFonts w:hint="eastAsia"/>
          <w:b/>
          <w:sz w:val="15"/>
          <w:szCs w:val="15"/>
        </w:rPr>
        <w:t xml:space="preserve">4 </w:t>
      </w:r>
      <w:r>
        <w:rPr>
          <w:rFonts w:hint="eastAsia"/>
          <w:b/>
          <w:sz w:val="15"/>
          <w:szCs w:val="15"/>
        </w:rPr>
        <w:t>反射阵阵面</w:t>
      </w:r>
    </w:p>
    <w:p w14:paraId="73770C08" w14:textId="77777777" w:rsidR="00F17155" w:rsidRDefault="00844BEE">
      <w:pPr>
        <w:spacing w:line="240" w:lineRule="auto"/>
        <w:ind w:firstLineChars="0" w:firstLine="0"/>
        <w:jc w:val="center"/>
        <w:rPr>
          <w:b/>
          <w:color w:val="000000" w:themeColor="text1"/>
          <w:sz w:val="15"/>
          <w:szCs w:val="15"/>
        </w:rPr>
      </w:pPr>
      <w:r>
        <w:rPr>
          <w:rFonts w:hint="eastAsia"/>
          <w:b/>
          <w:color w:val="000000" w:themeColor="text1"/>
          <w:sz w:val="15"/>
          <w:szCs w:val="15"/>
        </w:rPr>
        <w:t>(a)matlab</w:t>
      </w:r>
      <w:r>
        <w:rPr>
          <w:rFonts w:hint="eastAsia"/>
          <w:b/>
          <w:color w:val="000000" w:themeColor="text1"/>
          <w:sz w:val="15"/>
          <w:szCs w:val="15"/>
        </w:rPr>
        <w:t>仿真排阵设计</w:t>
      </w:r>
      <w:r>
        <w:rPr>
          <w:rFonts w:hint="eastAsia"/>
          <w:b/>
          <w:color w:val="000000" w:themeColor="text1"/>
          <w:sz w:val="15"/>
          <w:szCs w:val="15"/>
        </w:rPr>
        <w:t xml:space="preserve"> (b)</w:t>
      </w:r>
      <w:r>
        <w:rPr>
          <w:rFonts w:hint="eastAsia"/>
          <w:color w:val="000000" w:themeColor="text1"/>
        </w:rPr>
        <w:t xml:space="preserve"> </w:t>
      </w:r>
      <w:r>
        <w:rPr>
          <w:rFonts w:hint="eastAsia"/>
          <w:b/>
          <w:color w:val="000000" w:themeColor="text1"/>
          <w:sz w:val="15"/>
          <w:szCs w:val="15"/>
        </w:rPr>
        <w:t>单元结构排阵图</w:t>
      </w:r>
    </w:p>
    <w:p w14:paraId="391594A7" w14:textId="3D4A9B12" w:rsidR="00F17155" w:rsidRDefault="00844BEE">
      <w:pPr>
        <w:spacing w:line="240" w:lineRule="auto"/>
      </w:pPr>
      <w:r>
        <w:rPr>
          <w:rFonts w:hint="eastAsia"/>
          <w:sz w:val="21"/>
          <w:szCs w:val="21"/>
        </w:rPr>
        <w:t>对该反射阵进行仿真分析，中心频率为</w:t>
      </w:r>
      <w:r>
        <w:rPr>
          <w:rFonts w:hint="eastAsia"/>
          <w:sz w:val="21"/>
          <w:szCs w:val="21"/>
        </w:rPr>
        <w:t>14GHz</w:t>
      </w:r>
      <w:r>
        <w:rPr>
          <w:rFonts w:hint="eastAsia"/>
          <w:sz w:val="21"/>
          <w:szCs w:val="21"/>
        </w:rPr>
        <w:t>，利用场计算器求解出该反射阵的电场相位分布图以及幅度图，如图</w:t>
      </w:r>
      <w:r>
        <w:rPr>
          <w:rFonts w:hint="eastAsia"/>
          <w:sz w:val="21"/>
          <w:szCs w:val="21"/>
        </w:rPr>
        <w:t>5</w:t>
      </w:r>
      <w:r>
        <w:rPr>
          <w:rFonts w:hint="eastAsia"/>
          <w:sz w:val="21"/>
          <w:szCs w:val="21"/>
        </w:rPr>
        <w:t>所示。从</w:t>
      </w:r>
      <w:r w:rsidR="0004549F">
        <w:rPr>
          <w:rFonts w:hint="eastAsia"/>
          <w:sz w:val="21"/>
          <w:szCs w:val="21"/>
        </w:rPr>
        <w:t>图</w:t>
      </w:r>
      <w:r w:rsidR="0004549F">
        <w:rPr>
          <w:rFonts w:hint="eastAsia"/>
          <w:sz w:val="21"/>
          <w:szCs w:val="21"/>
        </w:rPr>
        <w:t>5</w:t>
      </w:r>
      <w:r>
        <w:rPr>
          <w:rFonts w:hint="eastAsia"/>
          <w:sz w:val="21"/>
          <w:szCs w:val="21"/>
        </w:rPr>
        <w:t>(a)</w:t>
      </w:r>
      <w:r>
        <w:rPr>
          <w:rFonts w:hint="eastAsia"/>
          <w:sz w:val="21"/>
          <w:szCs w:val="21"/>
        </w:rPr>
        <w:t>可以看出，电场相位呈涡旋状，且中心存在相位奇点</w:t>
      </w:r>
      <w:r w:rsidR="003451EF">
        <w:rPr>
          <w:rFonts w:hint="eastAsia"/>
          <w:sz w:val="21"/>
          <w:szCs w:val="21"/>
        </w:rPr>
        <w:t>；</w:t>
      </w:r>
      <w:r>
        <w:rPr>
          <w:rFonts w:hint="eastAsia"/>
          <w:sz w:val="21"/>
          <w:szCs w:val="21"/>
        </w:rPr>
        <w:t>从</w:t>
      </w:r>
      <w:r w:rsidR="003451EF">
        <w:rPr>
          <w:rFonts w:hint="eastAsia"/>
          <w:sz w:val="21"/>
          <w:szCs w:val="21"/>
        </w:rPr>
        <w:t>图</w:t>
      </w:r>
      <w:r w:rsidR="003451EF">
        <w:rPr>
          <w:rFonts w:hint="eastAsia"/>
          <w:sz w:val="21"/>
          <w:szCs w:val="21"/>
        </w:rPr>
        <w:t>5</w:t>
      </w:r>
      <w:r>
        <w:rPr>
          <w:rFonts w:hint="eastAsia"/>
          <w:sz w:val="21"/>
          <w:szCs w:val="21"/>
        </w:rPr>
        <w:t>(b)</w:t>
      </w:r>
      <w:r>
        <w:rPr>
          <w:rFonts w:hint="eastAsia"/>
          <w:sz w:val="21"/>
          <w:szCs w:val="21"/>
        </w:rPr>
        <w:t>可以看出，电场幅度图呈“甜甜圈”状，中心位置电场强度为</w:t>
      </w:r>
      <w:r>
        <w:rPr>
          <w:rFonts w:hint="eastAsia"/>
          <w:sz w:val="21"/>
          <w:szCs w:val="21"/>
        </w:rPr>
        <w:t>0</w:t>
      </w:r>
      <w:r>
        <w:rPr>
          <w:rFonts w:hint="eastAsia"/>
          <w:sz w:val="21"/>
          <w:szCs w:val="21"/>
        </w:rPr>
        <w:t>，符合涡旋电磁波束中心空洞这一物理特性，仿真结果与单元结构设计吻合，验证了该单元结构设计的合理性。</w:t>
      </w:r>
    </w:p>
    <w:p w14:paraId="0BF4AD5A" w14:textId="77777777" w:rsidR="00F17155" w:rsidRDefault="00844BEE">
      <w:pPr>
        <w:spacing w:line="240" w:lineRule="auto"/>
        <w:ind w:firstLineChars="0" w:firstLine="0"/>
        <w:jc w:val="center"/>
      </w:pPr>
      <w:r>
        <w:rPr>
          <w:rFonts w:hint="eastAsia"/>
        </w:rPr>
        <w:object w:dxaOrig="7313" w:dyaOrig="3081" w14:anchorId="25722B37">
          <v:shape id="_x0000_i1029" type="#_x0000_t75" alt="" style="width:365.85pt;height:154.4pt" o:ole="">
            <v:imagedata r:id="rId18" o:title=""/>
          </v:shape>
          <o:OLEObject Type="Embed" ProgID="Visio.Drawing.15" ShapeID="_x0000_i1029" DrawAspect="Content" ObjectID="_1822115057" r:id="rId19"/>
        </w:object>
      </w:r>
    </w:p>
    <w:p w14:paraId="1EC150F4" w14:textId="7CA47997" w:rsidR="0004549F" w:rsidRPr="0004549F" w:rsidRDefault="0004549F" w:rsidP="0004549F">
      <w:pPr>
        <w:spacing w:line="240" w:lineRule="auto"/>
        <w:ind w:firstLineChars="0" w:firstLine="0"/>
        <w:jc w:val="center"/>
        <w:rPr>
          <w:rFonts w:hint="eastAsia"/>
          <w:b/>
          <w:color w:val="000000" w:themeColor="text1"/>
          <w:sz w:val="15"/>
          <w:szCs w:val="15"/>
        </w:rPr>
      </w:pPr>
      <w:r w:rsidRPr="0004549F">
        <w:rPr>
          <w:rFonts w:hint="eastAsia"/>
          <w:b/>
          <w:color w:val="000000" w:themeColor="text1"/>
          <w:sz w:val="15"/>
          <w:szCs w:val="15"/>
        </w:rPr>
        <w:t>(a</w:t>
      </w:r>
      <w:r w:rsidRPr="0004549F">
        <w:rPr>
          <w:rFonts w:hint="eastAsia"/>
          <w:b/>
          <w:color w:val="000000" w:themeColor="text1"/>
          <w:sz w:val="15"/>
          <w:szCs w:val="15"/>
        </w:rPr>
        <w:t>)</w:t>
      </w:r>
      <w:r w:rsidRPr="0004549F">
        <w:rPr>
          <w:rFonts w:hint="eastAsia"/>
          <w:b/>
          <w:sz w:val="15"/>
          <w:szCs w:val="15"/>
        </w:rPr>
        <w:t>反射阵电场相位图</w:t>
      </w:r>
      <w:r w:rsidRPr="0004549F">
        <w:rPr>
          <w:rFonts w:hint="eastAsia"/>
          <w:b/>
          <w:color w:val="000000" w:themeColor="text1"/>
          <w:sz w:val="15"/>
          <w:szCs w:val="15"/>
        </w:rPr>
        <w:t xml:space="preserve"> (b) </w:t>
      </w:r>
      <w:r w:rsidRPr="0004549F">
        <w:rPr>
          <w:rFonts w:hint="eastAsia"/>
          <w:b/>
          <w:sz w:val="15"/>
          <w:szCs w:val="15"/>
        </w:rPr>
        <w:t>电场幅度图</w:t>
      </w:r>
    </w:p>
    <w:p w14:paraId="44AB11A3" w14:textId="3BA18DBB" w:rsidR="00F17155" w:rsidRDefault="00844BEE">
      <w:pPr>
        <w:spacing w:line="240" w:lineRule="auto"/>
        <w:ind w:firstLineChars="0" w:firstLine="0"/>
        <w:jc w:val="center"/>
        <w:rPr>
          <w:b/>
          <w:sz w:val="15"/>
          <w:szCs w:val="15"/>
        </w:rPr>
      </w:pPr>
      <w:r>
        <w:rPr>
          <w:rFonts w:hint="eastAsia"/>
          <w:b/>
          <w:sz w:val="15"/>
          <w:szCs w:val="15"/>
        </w:rPr>
        <w:t>图</w:t>
      </w:r>
      <w:r>
        <w:rPr>
          <w:rFonts w:hint="eastAsia"/>
          <w:b/>
          <w:sz w:val="15"/>
          <w:szCs w:val="15"/>
        </w:rPr>
        <w:t xml:space="preserve">5 </w:t>
      </w:r>
      <w:r>
        <w:rPr>
          <w:rFonts w:hint="eastAsia"/>
          <w:b/>
          <w:sz w:val="15"/>
          <w:szCs w:val="15"/>
        </w:rPr>
        <w:t>反射阵仿真相位分布图以及电场强</w:t>
      </w:r>
      <w:r w:rsidR="0004549F">
        <w:rPr>
          <w:rFonts w:hint="eastAsia"/>
          <w:b/>
          <w:sz w:val="15"/>
          <w:szCs w:val="15"/>
        </w:rPr>
        <w:t>度图</w:t>
      </w:r>
    </w:p>
    <w:p w14:paraId="71D0800A" w14:textId="71C92559" w:rsidR="00F17155" w:rsidRDefault="003451EF">
      <w:pPr>
        <w:spacing w:line="240" w:lineRule="auto"/>
        <w:rPr>
          <w:color w:val="000000" w:themeColor="text1"/>
          <w:sz w:val="21"/>
          <w:szCs w:val="21"/>
        </w:rPr>
      </w:pPr>
      <w:r w:rsidRPr="003451EF">
        <w:rPr>
          <w:rFonts w:hint="eastAsia"/>
          <w:color w:val="000000" w:themeColor="text1"/>
          <w:sz w:val="21"/>
          <w:szCs w:val="21"/>
        </w:rPr>
        <w:t>近年来，反射型超表面设计多采用正方形结构。本文提出的六边形单元以蜂窝状嵌入式排列方式，在实现</w:t>
      </w:r>
      <w:r w:rsidRPr="003451EF">
        <w:rPr>
          <w:rFonts w:hint="eastAsia"/>
          <w:color w:val="000000" w:themeColor="text1"/>
          <w:sz w:val="21"/>
          <w:szCs w:val="21"/>
        </w:rPr>
        <w:t>360</w:t>
      </w:r>
      <w:r w:rsidRPr="003451EF">
        <w:rPr>
          <w:rFonts w:hint="eastAsia"/>
          <w:color w:val="000000" w:themeColor="text1"/>
          <w:sz w:val="21"/>
          <w:szCs w:val="21"/>
        </w:rPr>
        <w:t>°相位覆盖的同时，相比传统外接正方形结构，可显著减小超表面占用的物理面积，如图</w:t>
      </w:r>
      <w:r w:rsidRPr="003451EF">
        <w:rPr>
          <w:rFonts w:hint="eastAsia"/>
          <w:color w:val="000000" w:themeColor="text1"/>
          <w:sz w:val="21"/>
          <w:szCs w:val="21"/>
        </w:rPr>
        <w:t>6</w:t>
      </w:r>
      <w:r w:rsidRPr="003451EF">
        <w:rPr>
          <w:rFonts w:hint="eastAsia"/>
          <w:color w:val="000000" w:themeColor="text1"/>
          <w:sz w:val="21"/>
          <w:szCs w:val="21"/>
        </w:rPr>
        <w:t>所示。</w:t>
      </w:r>
      <w:r w:rsidR="00844BEE">
        <w:rPr>
          <w:rFonts w:hint="eastAsia"/>
          <w:color w:val="000000" w:themeColor="text1"/>
          <w:sz w:val="21"/>
          <w:szCs w:val="21"/>
        </w:rPr>
        <w:t>这是其几何结构上的优势，从系统性能上看，正方形单元结构排布仿真后，由于其口径面积增大，在生成涡旋波束的效率上，比六边形生成涡旋波束效率低。用</w:t>
      </w:r>
      <m:oMath>
        <m:sSub>
          <m:sSubPr>
            <m:ctrlPr>
              <w:rPr>
                <w:rFonts w:ascii="Cambria Math" w:hAnsi="Cambria Math" w:hint="eastAsia"/>
                <w:color w:val="000000" w:themeColor="text1"/>
                <w:sz w:val="21"/>
                <w:szCs w:val="21"/>
              </w:rPr>
            </m:ctrlPr>
          </m:sSubPr>
          <m:e>
            <m:r>
              <m:rPr>
                <m:sty m:val="p"/>
              </m:rPr>
              <w:rPr>
                <w:rFonts w:ascii="Cambria Math" w:hAnsi="Cambria Math" w:hint="eastAsia"/>
                <w:color w:val="000000" w:themeColor="text1"/>
                <w:sz w:val="21"/>
                <w:szCs w:val="21"/>
              </w:rPr>
              <m:t>P</m:t>
            </m:r>
          </m:e>
          <m:sub>
            <m:r>
              <m:rPr>
                <m:sty m:val="p"/>
              </m:rPr>
              <w:rPr>
                <w:rFonts w:ascii="Cambria Math" w:hAnsi="Cambria Math" w:hint="eastAsia"/>
                <w:color w:val="000000" w:themeColor="text1"/>
                <w:sz w:val="21"/>
                <w:szCs w:val="21"/>
              </w:rPr>
              <m:t>涡旋</m:t>
            </m:r>
          </m:sub>
        </m:sSub>
      </m:oMath>
      <w:r w:rsidR="00844BEE">
        <w:rPr>
          <w:rFonts w:hint="eastAsia"/>
          <w:color w:val="000000" w:themeColor="text1"/>
          <w:sz w:val="21"/>
          <w:szCs w:val="21"/>
        </w:rPr>
        <w:t>和</w:t>
      </w:r>
      <m:oMath>
        <m:sSub>
          <m:sSubPr>
            <m:ctrlPr>
              <w:rPr>
                <w:rFonts w:ascii="Cambria Math" w:hAnsi="Cambria Math" w:hint="eastAsia"/>
                <w:color w:val="000000" w:themeColor="text1"/>
                <w:sz w:val="21"/>
                <w:szCs w:val="21"/>
              </w:rPr>
            </m:ctrlPr>
          </m:sSubPr>
          <m:e>
            <m:r>
              <m:rPr>
                <m:sty m:val="p"/>
              </m:rPr>
              <w:rPr>
                <w:rFonts w:ascii="Cambria Math" w:hAnsi="Cambria Math" w:hint="eastAsia"/>
                <w:color w:val="000000" w:themeColor="text1"/>
                <w:sz w:val="21"/>
                <w:szCs w:val="21"/>
              </w:rPr>
              <m:t>P</m:t>
            </m:r>
          </m:e>
          <m:sub>
            <m:r>
              <m:rPr>
                <m:sty m:val="p"/>
              </m:rPr>
              <w:rPr>
                <w:rFonts w:ascii="Cambria Math" w:hAnsi="Cambria Math" w:hint="eastAsia"/>
                <w:color w:val="000000" w:themeColor="text1"/>
                <w:sz w:val="21"/>
                <w:szCs w:val="21"/>
              </w:rPr>
              <m:t>入射</m:t>
            </m:r>
          </m:sub>
        </m:sSub>
      </m:oMath>
      <w:r w:rsidR="00844BEE">
        <w:rPr>
          <w:rFonts w:hint="eastAsia"/>
          <w:color w:val="000000" w:themeColor="text1"/>
          <w:sz w:val="21"/>
          <w:szCs w:val="21"/>
        </w:rPr>
        <w:t>分布表示产生涡旋波束和入射平面波的功率，根据式</w:t>
      </w:r>
      <m:oMath>
        <m:r>
          <m:rPr>
            <m:sty m:val="p"/>
          </m:rPr>
          <w:rPr>
            <w:rFonts w:ascii="Cambria Math" w:hAnsi="Cambria Math" w:hint="eastAsia"/>
            <w:color w:val="000000" w:themeColor="text1"/>
            <w:sz w:val="21"/>
            <w:szCs w:val="21"/>
          </w:rPr>
          <m:t>η</m:t>
        </m:r>
        <m:r>
          <m:rPr>
            <m:sty m:val="p"/>
          </m:rPr>
          <w:rPr>
            <w:rFonts w:ascii="Cambria Math" w:hAnsi="Cambria Math" w:hint="eastAsia"/>
            <w:color w:val="000000" w:themeColor="text1"/>
            <w:sz w:val="21"/>
            <w:szCs w:val="21"/>
          </w:rPr>
          <m:t>=</m:t>
        </m:r>
        <m:f>
          <m:fPr>
            <m:ctrlPr>
              <w:rPr>
                <w:rFonts w:ascii="Cambria Math" w:hAnsi="Cambria Math" w:hint="eastAsia"/>
                <w:color w:val="000000" w:themeColor="text1"/>
                <w:sz w:val="21"/>
                <w:szCs w:val="21"/>
              </w:rPr>
            </m:ctrlPr>
          </m:fPr>
          <m:num>
            <m:sSub>
              <m:sSubPr>
                <m:ctrlPr>
                  <w:rPr>
                    <w:rFonts w:ascii="Cambria Math" w:hAnsi="Cambria Math" w:hint="eastAsia"/>
                    <w:color w:val="000000" w:themeColor="text1"/>
                    <w:sz w:val="21"/>
                    <w:szCs w:val="21"/>
                  </w:rPr>
                </m:ctrlPr>
              </m:sSubPr>
              <m:e>
                <m:r>
                  <m:rPr>
                    <m:sty m:val="p"/>
                  </m:rPr>
                  <w:rPr>
                    <w:rFonts w:ascii="Cambria Math" w:hAnsi="Cambria Math" w:hint="eastAsia"/>
                    <w:color w:val="000000" w:themeColor="text1"/>
                    <w:sz w:val="21"/>
                    <w:szCs w:val="21"/>
                  </w:rPr>
                  <m:t>P</m:t>
                </m:r>
              </m:e>
              <m:sub>
                <m:r>
                  <m:rPr>
                    <m:sty m:val="p"/>
                  </m:rPr>
                  <w:rPr>
                    <w:rFonts w:ascii="Cambria Math" w:hAnsi="Cambria Math" w:hint="eastAsia"/>
                    <w:color w:val="000000" w:themeColor="text1"/>
                    <w:sz w:val="21"/>
                    <w:szCs w:val="21"/>
                  </w:rPr>
                  <m:t>涡旋</m:t>
                </m:r>
              </m:sub>
            </m:sSub>
          </m:num>
          <m:den>
            <m:sSub>
              <m:sSubPr>
                <m:ctrlPr>
                  <w:rPr>
                    <w:rFonts w:ascii="Cambria Math" w:hAnsi="Cambria Math" w:hint="eastAsia"/>
                    <w:color w:val="000000" w:themeColor="text1"/>
                    <w:sz w:val="21"/>
                    <w:szCs w:val="21"/>
                  </w:rPr>
                </m:ctrlPr>
              </m:sSubPr>
              <m:e>
                <m:r>
                  <m:rPr>
                    <m:sty m:val="p"/>
                  </m:rPr>
                  <w:rPr>
                    <w:rFonts w:ascii="Cambria Math" w:hAnsi="Cambria Math" w:hint="eastAsia"/>
                    <w:color w:val="000000" w:themeColor="text1"/>
                    <w:sz w:val="21"/>
                    <w:szCs w:val="21"/>
                  </w:rPr>
                  <m:t>P</m:t>
                </m:r>
              </m:e>
              <m:sub>
                <m:r>
                  <m:rPr>
                    <m:sty m:val="p"/>
                  </m:rPr>
                  <w:rPr>
                    <w:rFonts w:ascii="Cambria Math" w:hAnsi="Cambria Math" w:hint="eastAsia"/>
                    <w:color w:val="000000" w:themeColor="text1"/>
                    <w:sz w:val="21"/>
                    <w:szCs w:val="21"/>
                  </w:rPr>
                  <m:t>入射</m:t>
                </m:r>
              </m:sub>
            </m:sSub>
          </m:den>
        </m:f>
      </m:oMath>
      <w:r w:rsidR="00844BEE">
        <w:rPr>
          <w:rFonts w:hint="eastAsia"/>
          <w:color w:val="000000" w:themeColor="text1"/>
          <w:sz w:val="21"/>
          <w:szCs w:val="21"/>
        </w:rPr>
        <w:t>得出所设计六边形反射型超表面生成涡旋波束的效率为</w:t>
      </w:r>
      <w:r w:rsidR="00844BEE">
        <w:rPr>
          <w:rFonts w:hint="eastAsia"/>
          <w:color w:val="000000" w:themeColor="text1"/>
          <w:sz w:val="21"/>
          <w:szCs w:val="21"/>
        </w:rPr>
        <w:t>57.8%</w:t>
      </w:r>
      <w:r w:rsidR="00844BEE">
        <w:rPr>
          <w:rFonts w:hint="eastAsia"/>
          <w:color w:val="000000" w:themeColor="text1"/>
          <w:sz w:val="21"/>
          <w:szCs w:val="21"/>
        </w:rPr>
        <w:t>，而正方形单元结构只能达到</w:t>
      </w:r>
      <w:r w:rsidR="00844BEE">
        <w:rPr>
          <w:rFonts w:hint="eastAsia"/>
          <w:color w:val="000000" w:themeColor="text1"/>
          <w:sz w:val="21"/>
          <w:szCs w:val="21"/>
        </w:rPr>
        <w:t>52.4%</w:t>
      </w:r>
      <w:r w:rsidR="00844BEE">
        <w:rPr>
          <w:rFonts w:hint="eastAsia"/>
          <w:color w:val="000000" w:themeColor="text1"/>
          <w:sz w:val="21"/>
          <w:szCs w:val="21"/>
        </w:rPr>
        <w:t>。</w:t>
      </w:r>
    </w:p>
    <w:p w14:paraId="66CCFA10" w14:textId="77777777" w:rsidR="00F17155" w:rsidRDefault="00844BEE">
      <w:pPr>
        <w:spacing w:line="240" w:lineRule="auto"/>
        <w:ind w:firstLineChars="0" w:firstLine="0"/>
        <w:jc w:val="center"/>
      </w:pPr>
      <w:r>
        <w:rPr>
          <w:rFonts w:hint="eastAsia"/>
        </w:rPr>
        <w:object w:dxaOrig="3795" w:dyaOrig="3180" w14:anchorId="27F0933B">
          <v:shape id="_x0000_i1030" type="#_x0000_t75" alt="" style="width:189.35pt;height:159pt" o:ole="">
            <v:imagedata r:id="rId20" o:title=""/>
          </v:shape>
          <o:OLEObject Type="Embed" ProgID="Visio.Drawing.15" ShapeID="_x0000_i1030" DrawAspect="Content" ObjectID="_1822115058" r:id="rId21"/>
        </w:object>
      </w:r>
    </w:p>
    <w:p w14:paraId="60A23085" w14:textId="77777777" w:rsidR="00F17155" w:rsidRDefault="00844BEE">
      <w:pPr>
        <w:spacing w:line="240" w:lineRule="auto"/>
        <w:ind w:firstLineChars="0" w:firstLine="0"/>
        <w:jc w:val="center"/>
        <w:rPr>
          <w:b/>
          <w:sz w:val="15"/>
          <w:szCs w:val="15"/>
        </w:rPr>
      </w:pPr>
      <w:commentRangeStart w:id="9"/>
      <w:r>
        <w:rPr>
          <w:rFonts w:hint="eastAsia"/>
          <w:b/>
          <w:sz w:val="15"/>
          <w:szCs w:val="15"/>
        </w:rPr>
        <w:t>图</w:t>
      </w:r>
      <w:r>
        <w:rPr>
          <w:rFonts w:hint="eastAsia"/>
          <w:b/>
          <w:sz w:val="15"/>
          <w:szCs w:val="15"/>
        </w:rPr>
        <w:t>6</w:t>
      </w:r>
      <w:commentRangeEnd w:id="9"/>
      <w:r w:rsidR="003451EF">
        <w:rPr>
          <w:rStyle w:val="a8"/>
        </w:rPr>
        <w:commentReference w:id="9"/>
      </w:r>
      <w:r>
        <w:rPr>
          <w:rFonts w:hint="eastAsia"/>
          <w:b/>
          <w:sz w:val="15"/>
          <w:szCs w:val="15"/>
        </w:rPr>
        <w:t xml:space="preserve"> </w:t>
      </w:r>
      <w:r>
        <w:rPr>
          <w:rFonts w:hint="eastAsia"/>
          <w:b/>
          <w:sz w:val="15"/>
          <w:szCs w:val="15"/>
        </w:rPr>
        <w:t>正方形单元结构与六边形单元结构尺寸对比图</w:t>
      </w:r>
    </w:p>
    <w:p w14:paraId="492C500F" w14:textId="77777777" w:rsidR="00F17155" w:rsidRDefault="00F17155">
      <w:pPr>
        <w:spacing w:line="240" w:lineRule="auto"/>
        <w:ind w:firstLineChars="0" w:firstLine="0"/>
        <w:rPr>
          <w:b/>
          <w:sz w:val="21"/>
          <w:szCs w:val="21"/>
        </w:rPr>
      </w:pPr>
    </w:p>
    <w:p w14:paraId="44081EF3" w14:textId="77777777" w:rsidR="00F17155" w:rsidRDefault="00844BEE">
      <w:pPr>
        <w:spacing w:line="240" w:lineRule="auto"/>
        <w:ind w:firstLineChars="0" w:firstLine="0"/>
        <w:rPr>
          <w:rFonts w:ascii="宋体" w:hAnsi="宋体" w:cs="宋体"/>
          <w:b/>
          <w:bCs/>
        </w:rPr>
      </w:pPr>
      <w:r>
        <w:rPr>
          <w:rFonts w:ascii="宋体" w:hAnsi="宋体" w:cs="宋体" w:hint="eastAsia"/>
          <w:b/>
          <w:bCs/>
        </w:rPr>
        <w:t>3  实物测试</w:t>
      </w:r>
    </w:p>
    <w:p w14:paraId="14FC5643" w14:textId="77777777" w:rsidR="00CE0AA8" w:rsidRDefault="00844BEE" w:rsidP="00CE0AA8">
      <w:pPr>
        <w:spacing w:line="240" w:lineRule="auto"/>
        <w:rPr>
          <w:sz w:val="21"/>
          <w:szCs w:val="21"/>
        </w:rPr>
      </w:pPr>
      <w:r>
        <w:rPr>
          <w:rFonts w:hint="eastAsia"/>
          <w:sz w:val="21"/>
          <w:szCs w:val="21"/>
        </w:rPr>
        <w:t>反射型超表面工作中心频率位于</w:t>
      </w:r>
      <w:r>
        <w:rPr>
          <w:rFonts w:hint="eastAsia"/>
          <w:sz w:val="21"/>
          <w:szCs w:val="21"/>
        </w:rPr>
        <w:t>14GHz</w:t>
      </w:r>
      <w:r>
        <w:rPr>
          <w:rFonts w:hint="eastAsia"/>
          <w:sz w:val="21"/>
          <w:szCs w:val="21"/>
        </w:rPr>
        <w:t>，其</w:t>
      </w:r>
      <w:r>
        <w:rPr>
          <w:rFonts w:hint="eastAsia"/>
          <w:sz w:val="21"/>
          <w:szCs w:val="21"/>
        </w:rPr>
        <w:t>OAM</w:t>
      </w:r>
      <w:r>
        <w:rPr>
          <w:rFonts w:hint="eastAsia"/>
          <w:sz w:val="21"/>
          <w:szCs w:val="21"/>
        </w:rPr>
        <w:t>模态为</w:t>
      </w:r>
      <w:r>
        <w:rPr>
          <w:rFonts w:hint="eastAsia"/>
          <w:sz w:val="21"/>
          <w:szCs w:val="21"/>
        </w:rPr>
        <w:t>l=+1</w:t>
      </w:r>
      <w:r>
        <w:rPr>
          <w:rFonts w:hint="eastAsia"/>
          <w:sz w:val="21"/>
          <w:szCs w:val="21"/>
        </w:rPr>
        <w:t>，该超表面加工实物图如图</w:t>
      </w:r>
      <w:r>
        <w:rPr>
          <w:rFonts w:hint="eastAsia"/>
          <w:sz w:val="21"/>
          <w:szCs w:val="21"/>
        </w:rPr>
        <w:t>7</w:t>
      </w:r>
      <w:r>
        <w:rPr>
          <w:rFonts w:hint="eastAsia"/>
          <w:sz w:val="21"/>
          <w:szCs w:val="21"/>
        </w:rPr>
        <w:t>所示。</w:t>
      </w:r>
      <w:r w:rsidR="00CE0AA8" w:rsidRPr="00CE0AA8">
        <w:rPr>
          <w:rFonts w:hint="eastAsia"/>
          <w:sz w:val="21"/>
          <w:szCs w:val="21"/>
        </w:rPr>
        <w:t>出于防止铜层氧化的考虑，加工厂商在铜表面覆盖了一层厚度可忽略的防氧化薄膜。</w:t>
      </w:r>
    </w:p>
    <w:p w14:paraId="14F98511" w14:textId="067D6E47" w:rsidR="00F17155" w:rsidRDefault="00844BEE" w:rsidP="00CE0AA8">
      <w:pPr>
        <w:spacing w:line="240" w:lineRule="auto"/>
        <w:ind w:firstLine="480"/>
        <w:jc w:val="center"/>
      </w:pPr>
      <w:r>
        <w:rPr>
          <w:rFonts w:hint="eastAsia"/>
        </w:rPr>
        <w:object w:dxaOrig="3402" w:dyaOrig="3024" w14:anchorId="534D0564">
          <v:shape id="_x0000_i1031" type="#_x0000_t75" alt="" style="width:170.2pt;height:151.5pt" o:ole="">
            <v:imagedata r:id="rId22" o:title=""/>
          </v:shape>
          <o:OLEObject Type="Embed" ProgID="Visio.Drawing.15" ShapeID="_x0000_i1031" DrawAspect="Content" ObjectID="_1822115059" r:id="rId23"/>
        </w:object>
      </w:r>
    </w:p>
    <w:p w14:paraId="43729E10" w14:textId="66477B73" w:rsidR="00F17155" w:rsidRDefault="00844BEE">
      <w:pPr>
        <w:spacing w:line="240" w:lineRule="auto"/>
        <w:ind w:firstLineChars="0" w:firstLine="0"/>
        <w:jc w:val="center"/>
        <w:rPr>
          <w:b/>
          <w:sz w:val="15"/>
          <w:szCs w:val="15"/>
        </w:rPr>
      </w:pPr>
      <w:r>
        <w:rPr>
          <w:rFonts w:hint="eastAsia"/>
          <w:b/>
          <w:sz w:val="15"/>
          <w:szCs w:val="15"/>
        </w:rPr>
        <w:t>图</w:t>
      </w:r>
      <w:r>
        <w:rPr>
          <w:rFonts w:hint="eastAsia"/>
          <w:b/>
          <w:sz w:val="15"/>
          <w:szCs w:val="15"/>
        </w:rPr>
        <w:t xml:space="preserve">7 </w:t>
      </w:r>
      <w:r>
        <w:rPr>
          <w:rFonts w:hint="eastAsia"/>
          <w:b/>
          <w:sz w:val="15"/>
          <w:szCs w:val="15"/>
        </w:rPr>
        <w:t>涡旋电磁波反射阵实物图</w:t>
      </w:r>
    </w:p>
    <w:p w14:paraId="5F57DD1E" w14:textId="77777777" w:rsidR="00A01E2A" w:rsidRDefault="00A01E2A">
      <w:pPr>
        <w:spacing w:line="240" w:lineRule="auto"/>
        <w:ind w:firstLineChars="0" w:firstLine="0"/>
        <w:jc w:val="center"/>
        <w:rPr>
          <w:rFonts w:hint="eastAsia"/>
        </w:rPr>
      </w:pPr>
    </w:p>
    <w:p w14:paraId="0BB9A5D0" w14:textId="77777777" w:rsidR="00A01E2A" w:rsidRDefault="00A01E2A" w:rsidP="00A01E2A">
      <w:pPr>
        <w:spacing w:line="240" w:lineRule="auto"/>
        <w:ind w:firstLineChars="0"/>
        <w:jc w:val="left"/>
        <w:rPr>
          <w:sz w:val="21"/>
          <w:szCs w:val="21"/>
        </w:rPr>
      </w:pPr>
      <w:r w:rsidRPr="00A01E2A">
        <w:rPr>
          <w:sz w:val="21"/>
          <w:szCs w:val="21"/>
        </w:rPr>
        <w:t>OAM</w:t>
      </w:r>
      <w:r w:rsidRPr="00A01E2A">
        <w:rPr>
          <w:rFonts w:hint="eastAsia"/>
          <w:sz w:val="21"/>
          <w:szCs w:val="21"/>
        </w:rPr>
        <w:t>反射阵采用正馈方式进行测试，馈源选用标准增益喇叭天线，其工作频率覆盖</w:t>
      </w:r>
      <w:r w:rsidRPr="00A01E2A">
        <w:rPr>
          <w:sz w:val="21"/>
          <w:szCs w:val="21"/>
        </w:rPr>
        <w:t>2~18 GHz</w:t>
      </w:r>
      <w:r w:rsidRPr="00A01E2A">
        <w:rPr>
          <w:rFonts w:hint="eastAsia"/>
          <w:sz w:val="21"/>
          <w:szCs w:val="21"/>
        </w:rPr>
        <w:t>。天线底部连接有探针，用于扫描超表面电场分布。测试时，超表面水平放置，馈源通过支架固定，喇叭口面至阵面的垂直距离</w:t>
      </w:r>
      <w:r w:rsidRPr="00A01E2A">
        <w:rPr>
          <w:sz w:val="21"/>
          <w:szCs w:val="21"/>
        </w:rPr>
        <w:t>h₁</w:t>
      </w:r>
      <w:r w:rsidRPr="00A01E2A">
        <w:rPr>
          <w:rFonts w:hint="eastAsia"/>
          <w:sz w:val="21"/>
          <w:szCs w:val="21"/>
        </w:rPr>
        <w:t>设定为</w:t>
      </w:r>
      <w:r w:rsidRPr="00A01E2A">
        <w:rPr>
          <w:sz w:val="21"/>
          <w:szCs w:val="21"/>
        </w:rPr>
        <w:t>320 mm</w:t>
      </w:r>
      <w:r w:rsidRPr="00A01E2A">
        <w:rPr>
          <w:rFonts w:hint="eastAsia"/>
          <w:sz w:val="21"/>
          <w:szCs w:val="21"/>
        </w:rPr>
        <w:t>。测试场地布置如图</w:t>
      </w:r>
      <w:r w:rsidRPr="00A01E2A">
        <w:rPr>
          <w:sz w:val="21"/>
          <w:szCs w:val="21"/>
        </w:rPr>
        <w:t>8</w:t>
      </w:r>
      <w:r w:rsidRPr="00A01E2A">
        <w:rPr>
          <w:rFonts w:hint="eastAsia"/>
          <w:sz w:val="21"/>
          <w:szCs w:val="21"/>
        </w:rPr>
        <w:t>所示。</w:t>
      </w:r>
    </w:p>
    <w:p w14:paraId="2A68756D" w14:textId="5F6A4A84" w:rsidR="00F17155" w:rsidRDefault="00844BEE">
      <w:pPr>
        <w:spacing w:line="240" w:lineRule="auto"/>
        <w:ind w:firstLineChars="0" w:firstLine="0"/>
        <w:jc w:val="center"/>
        <w:rPr>
          <w:sz w:val="21"/>
          <w:szCs w:val="21"/>
        </w:rPr>
      </w:pPr>
      <w:r>
        <w:rPr>
          <w:rFonts w:hint="eastAsia"/>
        </w:rPr>
        <w:object w:dxaOrig="3855" w:dyaOrig="2898" w14:anchorId="4CD4A7B1">
          <v:shape id="_x0000_i1032" type="#_x0000_t75" alt="" style="width:193.1pt;height:144.4pt" o:ole="">
            <v:imagedata r:id="rId24" o:title=""/>
          </v:shape>
          <o:OLEObject Type="Embed" ProgID="Visio.Drawing.15" ShapeID="_x0000_i1032" DrawAspect="Content" ObjectID="_1822115060" r:id="rId25"/>
        </w:object>
      </w:r>
    </w:p>
    <w:p w14:paraId="046D9B29" w14:textId="77777777" w:rsidR="00F17155" w:rsidRDefault="00844BEE">
      <w:pPr>
        <w:spacing w:line="240" w:lineRule="auto"/>
        <w:ind w:firstLineChars="0" w:firstLine="0"/>
        <w:jc w:val="center"/>
        <w:rPr>
          <w:b/>
          <w:sz w:val="15"/>
          <w:szCs w:val="15"/>
        </w:rPr>
      </w:pPr>
      <w:r>
        <w:rPr>
          <w:rFonts w:hint="eastAsia"/>
          <w:b/>
          <w:sz w:val="15"/>
          <w:szCs w:val="15"/>
        </w:rPr>
        <w:t>图</w:t>
      </w:r>
      <w:r>
        <w:rPr>
          <w:rFonts w:hint="eastAsia"/>
          <w:b/>
          <w:sz w:val="15"/>
          <w:szCs w:val="15"/>
        </w:rPr>
        <w:t xml:space="preserve">8 </w:t>
      </w:r>
      <w:r>
        <w:rPr>
          <w:rFonts w:hint="eastAsia"/>
          <w:b/>
          <w:sz w:val="15"/>
          <w:szCs w:val="15"/>
        </w:rPr>
        <w:t>超表面实物近场测试场地</w:t>
      </w:r>
    </w:p>
    <w:p w14:paraId="48A94BDD" w14:textId="70018211" w:rsidR="00F17155" w:rsidRPr="009843A2" w:rsidRDefault="00A01E2A" w:rsidP="009843A2">
      <w:pPr>
        <w:spacing w:line="240" w:lineRule="auto"/>
        <w:jc w:val="left"/>
        <w:rPr>
          <w:sz w:val="21"/>
          <w:szCs w:val="21"/>
        </w:rPr>
      </w:pPr>
      <w:r w:rsidRPr="00A01E2A">
        <w:rPr>
          <w:rFonts w:hint="eastAsia"/>
          <w:sz w:val="21"/>
          <w:szCs w:val="21"/>
        </w:rPr>
        <w:t>在反射阵测试过程中，由于喇叭天线垂直置于超表面正上方，探针所采集的电场数据同时包含超表面反射场与喇叭天线直射场的叠加。为准确提取超表面自身的反射响应，测试首先在未放置超表面金属板的情况下进行：保持喇叭天线高度固定于</w:t>
      </w:r>
      <w:r w:rsidR="00844BEE">
        <w:rPr>
          <w:rFonts w:hint="eastAsia"/>
          <w:sz w:val="21"/>
          <w:szCs w:val="21"/>
        </w:rPr>
        <w:t>h1=320 mm</w:t>
      </w:r>
      <w:r w:rsidR="00844BEE">
        <w:rPr>
          <w:rFonts w:hint="eastAsia"/>
          <w:sz w:val="21"/>
          <w:szCs w:val="21"/>
        </w:rPr>
        <w:t>处</w:t>
      </w:r>
      <w:r w:rsidRPr="00A01E2A">
        <w:rPr>
          <w:rFonts w:hint="eastAsia"/>
          <w:sz w:val="21"/>
          <w:szCs w:val="21"/>
        </w:rPr>
        <w:t>，测量得到入射波的电场分布作为参考背景。随后，安装加工完成的超表面金属板并重新采集电场数据，将其与参考背景数据相减，即可分离出超表</w:t>
      </w:r>
      <w:r w:rsidRPr="00A01E2A">
        <w:rPr>
          <w:rFonts w:hint="eastAsia"/>
          <w:sz w:val="21"/>
          <w:szCs w:val="21"/>
        </w:rPr>
        <w:lastRenderedPageBreak/>
        <w:t>面自身的反射电场。基于该处理后的数据，绘制得到超表面的相位与幅度分布图，如图</w:t>
      </w:r>
      <w:r w:rsidRPr="00A01E2A">
        <w:rPr>
          <w:rFonts w:hint="eastAsia"/>
          <w:sz w:val="21"/>
          <w:szCs w:val="21"/>
        </w:rPr>
        <w:t>9</w:t>
      </w:r>
      <w:r w:rsidRPr="00A01E2A">
        <w:rPr>
          <w:rFonts w:hint="eastAsia"/>
          <w:sz w:val="21"/>
          <w:szCs w:val="21"/>
        </w:rPr>
        <w:t>所示。</w:t>
      </w:r>
      <w:r w:rsidR="009843A2">
        <w:rPr>
          <w:rFonts w:hint="eastAsia"/>
          <w:sz w:val="21"/>
          <w:szCs w:val="21"/>
        </w:rPr>
        <w:t>可</w:t>
      </w:r>
      <w:r w:rsidR="009843A2">
        <w:rPr>
          <w:sz w:val="21"/>
          <w:szCs w:val="21"/>
        </w:rPr>
        <w:t>以看出</w:t>
      </w:r>
      <w:r w:rsidR="009843A2">
        <w:rPr>
          <w:rFonts w:hint="eastAsia"/>
          <w:sz w:val="21"/>
          <w:szCs w:val="21"/>
        </w:rPr>
        <w:t>，该超表面近场辐射相位图能看出明显的</w:t>
      </w:r>
      <w:r w:rsidR="009843A2" w:rsidRPr="009843A2">
        <w:rPr>
          <w:rFonts w:hint="eastAsia"/>
          <w:sz w:val="21"/>
          <w:szCs w:val="21"/>
        </w:rPr>
        <w:t>涡旋电磁波特征，测试频率为</w:t>
      </w:r>
      <w:r w:rsidR="009843A2" w:rsidRPr="009843A2">
        <w:rPr>
          <w:rFonts w:hint="eastAsia"/>
          <w:sz w:val="21"/>
          <w:szCs w:val="21"/>
        </w:rPr>
        <w:t>13.8 GHz</w:t>
      </w:r>
      <w:r w:rsidR="009843A2" w:rsidRPr="009843A2">
        <w:rPr>
          <w:rFonts w:hint="eastAsia"/>
          <w:sz w:val="21"/>
          <w:szCs w:val="21"/>
        </w:rPr>
        <w:t>。与仿真结果相比，工作频率略有左偏，但相位分布仍维持在</w:t>
      </w:r>
      <w:r w:rsidR="009843A2" w:rsidRPr="009843A2">
        <w:rPr>
          <w:rFonts w:hint="eastAsia"/>
          <w:sz w:val="21"/>
          <w:szCs w:val="21"/>
        </w:rPr>
        <w:t>-180</w:t>
      </w:r>
      <w:r w:rsidR="009843A2" w:rsidRPr="009843A2">
        <w:rPr>
          <w:rFonts w:hint="eastAsia"/>
          <w:sz w:val="21"/>
          <w:szCs w:val="21"/>
        </w:rPr>
        <w:t>°至</w:t>
      </w:r>
      <w:r w:rsidR="009843A2" w:rsidRPr="009843A2">
        <w:rPr>
          <w:rFonts w:hint="eastAsia"/>
          <w:sz w:val="21"/>
          <w:szCs w:val="21"/>
        </w:rPr>
        <w:t>180</w:t>
      </w:r>
      <w:r w:rsidR="009843A2" w:rsidRPr="009843A2">
        <w:rPr>
          <w:rFonts w:hint="eastAsia"/>
          <w:sz w:val="21"/>
          <w:szCs w:val="21"/>
        </w:rPr>
        <w:t>°范围内。在靠近超表面边缘区域，相位分布出现轻微紊乱，导致涡旋波束的汇聚效果有所下降。从</w:t>
      </w:r>
      <w:r w:rsidR="009843A2">
        <w:rPr>
          <w:rFonts w:hint="eastAsia"/>
          <w:sz w:val="21"/>
          <w:szCs w:val="21"/>
        </w:rPr>
        <w:t>该</w:t>
      </w:r>
      <w:r w:rsidR="009843A2">
        <w:rPr>
          <w:sz w:val="21"/>
          <w:szCs w:val="21"/>
        </w:rPr>
        <w:t>电场强度图</w:t>
      </w:r>
      <w:r w:rsidR="009843A2" w:rsidRPr="009843A2">
        <w:rPr>
          <w:rFonts w:hint="eastAsia"/>
          <w:sz w:val="21"/>
          <w:szCs w:val="21"/>
        </w:rPr>
        <w:t>来看，“甜甜圈”状幅度分布虽不如仿真结果显著，但仍可辨识出</w:t>
      </w:r>
      <w:r w:rsidR="009843A2">
        <w:rPr>
          <w:rFonts w:hint="eastAsia"/>
          <w:sz w:val="21"/>
          <w:szCs w:val="21"/>
        </w:rPr>
        <w:t>相位奇点的存在，且中心位置电场强度为零，符合涡旋波束的基本特性</w:t>
      </w:r>
      <w:r w:rsidR="009843A2">
        <w:rPr>
          <w:rFonts w:hint="eastAsia"/>
          <w:sz w:val="21"/>
          <w:szCs w:val="21"/>
        </w:rPr>
        <w:t>。</w:t>
      </w:r>
      <w:r w:rsidR="00844BEE">
        <w:rPr>
          <w:rFonts w:hint="eastAsia"/>
        </w:rPr>
        <w:t xml:space="preserve">                                                                                    </w:t>
      </w:r>
      <w:r w:rsidR="00844BEE">
        <w:rPr>
          <w:rFonts w:hint="eastAsia"/>
        </w:rPr>
        <w:object w:dxaOrig="7726" w:dyaOrig="2805" w14:anchorId="15320D64">
          <v:shape id="_x0000_i1033" type="#_x0000_t75" alt="" style="width:386.2pt;height:140.25pt" o:ole="">
            <v:imagedata r:id="rId26" o:title=""/>
          </v:shape>
          <o:OLEObject Type="Embed" ProgID="Visio.Drawing.15" ShapeID="_x0000_i1033" DrawAspect="Content" ObjectID="_1822115061" r:id="rId27"/>
        </w:object>
      </w:r>
    </w:p>
    <w:p w14:paraId="21D03447" w14:textId="77777777" w:rsidR="00F17155" w:rsidRDefault="00844BEE">
      <w:pPr>
        <w:spacing w:line="240" w:lineRule="auto"/>
        <w:ind w:firstLine="301"/>
        <w:jc w:val="center"/>
        <w:rPr>
          <w:b/>
          <w:sz w:val="15"/>
          <w:szCs w:val="15"/>
        </w:rPr>
      </w:pPr>
      <w:r>
        <w:rPr>
          <w:rFonts w:hint="eastAsia"/>
          <w:b/>
          <w:sz w:val="15"/>
          <w:szCs w:val="15"/>
        </w:rPr>
        <w:t>图</w:t>
      </w:r>
      <w:r>
        <w:rPr>
          <w:rFonts w:hint="eastAsia"/>
          <w:b/>
          <w:sz w:val="15"/>
          <w:szCs w:val="15"/>
        </w:rPr>
        <w:t xml:space="preserve">9 </w:t>
      </w:r>
      <w:r>
        <w:rPr>
          <w:rFonts w:hint="eastAsia"/>
          <w:b/>
          <w:sz w:val="15"/>
          <w:szCs w:val="15"/>
        </w:rPr>
        <w:t>反射阵实测相位分布图（左）以及电场强度图（右）</w:t>
      </w:r>
    </w:p>
    <w:p w14:paraId="743924E8" w14:textId="77777777" w:rsidR="00DB590B" w:rsidRDefault="00DB590B">
      <w:pPr>
        <w:spacing w:line="240" w:lineRule="auto"/>
        <w:rPr>
          <w:sz w:val="21"/>
          <w:szCs w:val="21"/>
        </w:rPr>
      </w:pPr>
      <w:r w:rsidRPr="00DB590B">
        <w:rPr>
          <w:rFonts w:hint="eastAsia"/>
          <w:sz w:val="21"/>
          <w:szCs w:val="21"/>
        </w:rPr>
        <w:t>实测结果与仿真结果之间存在一定偏差，主要源于以下几方面因素：</w:t>
      </w:r>
      <w:r w:rsidRPr="00DB590B">
        <w:rPr>
          <w:rFonts w:hint="eastAsia"/>
          <w:sz w:val="21"/>
          <w:szCs w:val="21"/>
        </w:rPr>
        <w:t>1</w:t>
      </w:r>
      <w:r w:rsidRPr="00DB590B">
        <w:rPr>
          <w:rFonts w:hint="eastAsia"/>
          <w:sz w:val="21"/>
          <w:szCs w:val="21"/>
        </w:rPr>
        <w:t>）环境差异。理想仿真环境难以完全复现实际测试条件，实测环境中存在的杂散电磁干扰可能影响测量准确性。</w:t>
      </w:r>
      <w:r w:rsidRPr="00DB590B">
        <w:rPr>
          <w:rFonts w:hint="eastAsia"/>
          <w:sz w:val="21"/>
          <w:szCs w:val="21"/>
        </w:rPr>
        <w:t>2</w:t>
      </w:r>
      <w:r w:rsidRPr="00DB590B">
        <w:rPr>
          <w:rFonts w:hint="eastAsia"/>
          <w:sz w:val="21"/>
          <w:szCs w:val="21"/>
        </w:rPr>
        <w:t>）加工精度限制：无源超表面的相位调制依赖结构尺寸的机械性调整。为实现</w:t>
      </w:r>
      <w:r w:rsidRPr="00DB590B">
        <w:rPr>
          <w:rFonts w:hint="eastAsia"/>
          <w:sz w:val="21"/>
          <w:szCs w:val="21"/>
        </w:rPr>
        <w:t>360</w:t>
      </w:r>
      <w:r w:rsidRPr="00DB590B">
        <w:rPr>
          <w:rFonts w:hint="eastAsia"/>
          <w:sz w:val="21"/>
          <w:szCs w:val="21"/>
        </w:rPr>
        <w:t>°相位覆盖，仿真中设定的尺寸步长往往较小，导致加工复杂度提升，实际制造中易引入微米级尺寸误差。</w:t>
      </w:r>
      <w:r w:rsidRPr="00DB590B">
        <w:rPr>
          <w:rFonts w:hint="eastAsia"/>
          <w:sz w:val="21"/>
          <w:szCs w:val="21"/>
        </w:rPr>
        <w:t>3</w:t>
      </w:r>
      <w:r w:rsidRPr="00DB590B">
        <w:rPr>
          <w:rFonts w:hint="eastAsia"/>
          <w:sz w:val="21"/>
          <w:szCs w:val="21"/>
        </w:rPr>
        <w:t>）防氧化层影响：尽管理论上覆盖于超表面顶层的防氧化膜对电磁响应影响可忽略，但实际测试中其材料特性与附着方式仍可能对电磁波传播造成细微扰动。</w:t>
      </w:r>
    </w:p>
    <w:p w14:paraId="1C5B6786" w14:textId="5FEFFBA9" w:rsidR="00F17155" w:rsidRDefault="00CE5415">
      <w:pPr>
        <w:spacing w:line="240" w:lineRule="auto"/>
        <w:rPr>
          <w:color w:val="000000" w:themeColor="text1"/>
          <w:sz w:val="21"/>
          <w:szCs w:val="21"/>
        </w:rPr>
      </w:pPr>
      <w:r w:rsidRPr="00CE5415">
        <w:rPr>
          <w:rFonts w:hint="eastAsia"/>
          <w:color w:val="000000" w:themeColor="text1"/>
          <w:sz w:val="21"/>
          <w:szCs w:val="21"/>
        </w:rPr>
        <w:t>最后，本文对所设计的反射型超表面生成涡旋波束的效率进行了定量评估，并与现有反射型超表面进行了性能对比，结果如表</w:t>
      </w:r>
      <w:r w:rsidRPr="00CE5415">
        <w:rPr>
          <w:rFonts w:hint="eastAsia"/>
          <w:color w:val="000000" w:themeColor="text1"/>
          <w:sz w:val="21"/>
          <w:szCs w:val="21"/>
        </w:rPr>
        <w:t>1</w:t>
      </w:r>
      <w:r w:rsidRPr="00CE5415">
        <w:rPr>
          <w:rFonts w:hint="eastAsia"/>
          <w:color w:val="000000" w:themeColor="text1"/>
          <w:sz w:val="21"/>
          <w:szCs w:val="21"/>
        </w:rPr>
        <w:t>所示。</w:t>
      </w:r>
      <w:r>
        <w:rPr>
          <w:rFonts w:hint="eastAsia"/>
          <w:color w:val="000000" w:themeColor="text1"/>
          <w:sz w:val="21"/>
          <w:szCs w:val="21"/>
        </w:rPr>
        <w:t>可以</w:t>
      </w:r>
      <w:r>
        <w:rPr>
          <w:color w:val="000000" w:themeColor="text1"/>
          <w:sz w:val="21"/>
          <w:szCs w:val="21"/>
        </w:rPr>
        <w:t>看出</w:t>
      </w:r>
      <w:r w:rsidRPr="00CE5415">
        <w:rPr>
          <w:rFonts w:hint="eastAsia"/>
          <w:color w:val="000000" w:themeColor="text1"/>
          <w:sz w:val="21"/>
          <w:szCs w:val="21"/>
        </w:rPr>
        <w:t>，本设计在保持较高涡旋波束生成效率方面具有良好表现。</w:t>
      </w:r>
    </w:p>
    <w:p w14:paraId="799F37F3" w14:textId="77777777" w:rsidR="00F17155" w:rsidRDefault="00844BEE">
      <w:pPr>
        <w:spacing w:line="240" w:lineRule="auto"/>
        <w:ind w:firstLine="301"/>
        <w:jc w:val="center"/>
        <w:rPr>
          <w:sz w:val="21"/>
          <w:szCs w:val="21"/>
        </w:rPr>
      </w:pPr>
      <w:r>
        <w:rPr>
          <w:rFonts w:hint="eastAsia"/>
          <w:b/>
          <w:sz w:val="15"/>
          <w:szCs w:val="15"/>
        </w:rPr>
        <w:t>表</w:t>
      </w:r>
      <w:r>
        <w:rPr>
          <w:rFonts w:hint="eastAsia"/>
          <w:b/>
          <w:sz w:val="15"/>
          <w:szCs w:val="15"/>
        </w:rPr>
        <w:t xml:space="preserve">1 </w:t>
      </w:r>
      <w:r>
        <w:rPr>
          <w:rFonts w:hint="eastAsia"/>
          <w:b/>
          <w:sz w:val="15"/>
          <w:szCs w:val="15"/>
        </w:rPr>
        <w:t>本文与现有反射型超表面效率对比表</w:t>
      </w:r>
    </w:p>
    <w:tbl>
      <w:tblPr>
        <w:tblStyle w:val="51"/>
        <w:tblW w:w="0" w:type="auto"/>
        <w:jc w:val="center"/>
        <w:tblBorders>
          <w:top w:val="single" w:sz="8" w:space="0" w:color="000000"/>
          <w:bottom w:val="single" w:sz="8" w:space="0" w:color="000000"/>
        </w:tblBorders>
        <w:tblLook w:val="04A0" w:firstRow="1" w:lastRow="0" w:firstColumn="1" w:lastColumn="0" w:noHBand="0" w:noVBand="1"/>
      </w:tblPr>
      <w:tblGrid>
        <w:gridCol w:w="1929"/>
        <w:gridCol w:w="1928"/>
        <w:gridCol w:w="1946"/>
        <w:gridCol w:w="1929"/>
      </w:tblGrid>
      <w:tr w:rsidR="00F17155" w14:paraId="5AEF757E" w14:textId="77777777" w:rsidTr="00F1715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987" w:type="dxa"/>
            <w:tcBorders>
              <w:bottom w:val="single" w:sz="8" w:space="0" w:color="000000"/>
            </w:tcBorders>
            <w:shd w:val="clear" w:color="auto" w:fill="FFFFFF"/>
          </w:tcPr>
          <w:p w14:paraId="6C324EED" w14:textId="77777777" w:rsidR="00F17155" w:rsidRDefault="00844BEE">
            <w:pPr>
              <w:spacing w:line="240" w:lineRule="auto"/>
              <w:ind w:firstLineChars="0" w:firstLine="0"/>
              <w:jc w:val="center"/>
              <w:rPr>
                <w:rFonts w:ascii="宋体" w:hAnsi="宋体" w:cs="宋体"/>
                <w:i w:val="0"/>
                <w:iCs w:val="0"/>
                <w:color w:val="000000"/>
                <w:sz w:val="21"/>
                <w:szCs w:val="21"/>
              </w:rPr>
            </w:pPr>
            <w:r>
              <w:rPr>
                <w:rFonts w:ascii="宋体" w:hAnsi="宋体" w:cs="宋体" w:hint="eastAsia"/>
                <w:i w:val="0"/>
                <w:iCs w:val="0"/>
                <w:color w:val="000000"/>
                <w:sz w:val="21"/>
                <w:szCs w:val="21"/>
              </w:rPr>
              <w:t>文献</w:t>
            </w:r>
          </w:p>
        </w:tc>
        <w:tc>
          <w:tcPr>
            <w:tcW w:w="1987" w:type="dxa"/>
            <w:tcBorders>
              <w:bottom w:val="single" w:sz="8" w:space="0" w:color="000000"/>
            </w:tcBorders>
            <w:shd w:val="clear" w:color="auto" w:fill="FFFFFF"/>
          </w:tcPr>
          <w:p w14:paraId="610AB86E" w14:textId="7975C712" w:rsidR="00F17155" w:rsidRDefault="00844BEE">
            <w:pPr>
              <w:spacing w:line="240" w:lineRule="auto"/>
              <w:ind w:firstLineChars="0" w:firstLine="0"/>
              <w:jc w:val="center"/>
              <w:cnfStyle w:val="100000000000" w:firstRow="1" w:lastRow="0" w:firstColumn="0" w:lastColumn="0" w:oddVBand="0" w:evenVBand="0" w:oddHBand="0" w:evenHBand="0" w:firstRowFirstColumn="0" w:firstRowLastColumn="0" w:lastRowFirstColumn="0" w:lastRowLastColumn="0"/>
              <w:rPr>
                <w:rFonts w:ascii="宋体" w:hAnsi="宋体" w:cs="宋体"/>
                <w:i w:val="0"/>
                <w:iCs w:val="0"/>
                <w:color w:val="000000"/>
                <w:sz w:val="21"/>
                <w:szCs w:val="21"/>
              </w:rPr>
            </w:pPr>
            <w:r>
              <w:rPr>
                <w:rFonts w:ascii="宋体" w:hAnsi="宋体" w:cs="宋体" w:hint="eastAsia"/>
                <w:i w:val="0"/>
                <w:iCs w:val="0"/>
                <w:color w:val="000000"/>
                <w:sz w:val="21"/>
                <w:szCs w:val="21"/>
              </w:rPr>
              <w:t>工作频率</w:t>
            </w:r>
            <w:r w:rsidR="00411AA2">
              <w:rPr>
                <w:rFonts w:ascii="宋体" w:hAnsi="宋体" w:cs="宋体" w:hint="eastAsia"/>
                <w:i w:val="0"/>
                <w:iCs w:val="0"/>
                <w:color w:val="000000"/>
                <w:sz w:val="21"/>
                <w:szCs w:val="21"/>
              </w:rPr>
              <w:t>/</w:t>
            </w:r>
            <w:r w:rsidR="00411AA2">
              <w:rPr>
                <w:rFonts w:hint="eastAsia"/>
                <w:color w:val="000000"/>
                <w:sz w:val="21"/>
                <w:szCs w:val="21"/>
              </w:rPr>
              <w:t xml:space="preserve"> </w:t>
            </w:r>
            <w:r w:rsidR="00411AA2">
              <w:rPr>
                <w:rFonts w:hint="eastAsia"/>
                <w:color w:val="000000"/>
                <w:sz w:val="21"/>
                <w:szCs w:val="21"/>
              </w:rPr>
              <w:t>GHz</w:t>
            </w:r>
          </w:p>
        </w:tc>
        <w:tc>
          <w:tcPr>
            <w:tcW w:w="1987" w:type="dxa"/>
            <w:tcBorders>
              <w:bottom w:val="single" w:sz="8" w:space="0" w:color="000000"/>
            </w:tcBorders>
            <w:shd w:val="clear" w:color="auto" w:fill="FFFFFF"/>
          </w:tcPr>
          <w:p w14:paraId="7352482C" w14:textId="2ADAFD47" w:rsidR="00F17155" w:rsidRDefault="00844BEE">
            <w:pPr>
              <w:spacing w:line="240" w:lineRule="auto"/>
              <w:ind w:firstLineChars="0" w:firstLine="0"/>
              <w:jc w:val="center"/>
              <w:cnfStyle w:val="100000000000" w:firstRow="1" w:lastRow="0" w:firstColumn="0" w:lastColumn="0" w:oddVBand="0" w:evenVBand="0" w:oddHBand="0" w:evenHBand="0" w:firstRowFirstColumn="0" w:firstRowLastColumn="0" w:lastRowFirstColumn="0" w:lastRowLastColumn="0"/>
              <w:rPr>
                <w:rFonts w:ascii="宋体" w:hAnsi="宋体" w:cs="宋体"/>
                <w:i w:val="0"/>
                <w:iCs w:val="0"/>
                <w:color w:val="000000"/>
                <w:sz w:val="21"/>
                <w:szCs w:val="21"/>
              </w:rPr>
            </w:pPr>
            <w:r>
              <w:rPr>
                <w:rFonts w:ascii="宋体" w:hAnsi="宋体" w:cs="宋体" w:hint="eastAsia"/>
                <w:i w:val="0"/>
                <w:iCs w:val="0"/>
                <w:color w:val="000000"/>
                <w:sz w:val="21"/>
                <w:szCs w:val="21"/>
              </w:rPr>
              <w:t>阵面大小</w:t>
            </w:r>
            <w:r w:rsidR="00411AA2">
              <w:rPr>
                <w:rFonts w:ascii="宋体" w:hAnsi="宋体" w:cs="宋体" w:hint="eastAsia"/>
                <w:i w:val="0"/>
                <w:iCs w:val="0"/>
                <w:color w:val="000000"/>
                <w:sz w:val="21"/>
                <w:szCs w:val="21"/>
              </w:rPr>
              <w:t>/mm</w:t>
            </w:r>
          </w:p>
        </w:tc>
        <w:tc>
          <w:tcPr>
            <w:tcW w:w="1987" w:type="dxa"/>
            <w:tcBorders>
              <w:bottom w:val="single" w:sz="8" w:space="0" w:color="000000"/>
            </w:tcBorders>
            <w:shd w:val="clear" w:color="auto" w:fill="FFFFFF"/>
          </w:tcPr>
          <w:p w14:paraId="36A7B59F" w14:textId="030AE81B" w:rsidR="00F17155" w:rsidRDefault="00844BEE">
            <w:pPr>
              <w:spacing w:line="240" w:lineRule="auto"/>
              <w:ind w:firstLineChars="0" w:firstLine="0"/>
              <w:jc w:val="center"/>
              <w:cnfStyle w:val="100000000000" w:firstRow="1" w:lastRow="0" w:firstColumn="0" w:lastColumn="0" w:oddVBand="0" w:evenVBand="0" w:oddHBand="0" w:evenHBand="0" w:firstRowFirstColumn="0" w:firstRowLastColumn="0" w:lastRowFirstColumn="0" w:lastRowLastColumn="0"/>
              <w:rPr>
                <w:rFonts w:ascii="宋体" w:hAnsi="宋体" w:cs="宋体"/>
                <w:i w:val="0"/>
                <w:iCs w:val="0"/>
                <w:color w:val="000000"/>
                <w:sz w:val="21"/>
                <w:szCs w:val="21"/>
              </w:rPr>
            </w:pPr>
            <w:r>
              <w:rPr>
                <w:rFonts w:ascii="宋体" w:hAnsi="宋体" w:cs="宋体" w:hint="eastAsia"/>
                <w:i w:val="0"/>
                <w:iCs w:val="0"/>
                <w:color w:val="000000"/>
                <w:sz w:val="21"/>
                <w:szCs w:val="21"/>
              </w:rPr>
              <w:t>效率</w:t>
            </w:r>
            <w:r w:rsidR="00411AA2">
              <w:rPr>
                <w:rFonts w:ascii="宋体" w:hAnsi="宋体" w:cs="宋体" w:hint="eastAsia"/>
                <w:i w:val="0"/>
                <w:iCs w:val="0"/>
                <w:color w:val="000000"/>
                <w:sz w:val="21"/>
                <w:szCs w:val="21"/>
              </w:rPr>
              <w:t>/</w:t>
            </w:r>
            <w:r w:rsidR="00411AA2">
              <w:rPr>
                <w:rFonts w:hint="eastAsia"/>
                <w:color w:val="000000"/>
                <w:sz w:val="21"/>
                <w:szCs w:val="21"/>
              </w:rPr>
              <w:t>%</w:t>
            </w:r>
          </w:p>
        </w:tc>
      </w:tr>
      <w:tr w:rsidR="00F17155" w14:paraId="2DAA7CF8" w14:textId="77777777" w:rsidTr="00F17155">
        <w:trPr>
          <w:jc w:val="center"/>
        </w:trPr>
        <w:tc>
          <w:tcPr>
            <w:cnfStyle w:val="001000000000" w:firstRow="0" w:lastRow="0" w:firstColumn="1" w:lastColumn="0" w:oddVBand="0" w:evenVBand="0" w:oddHBand="0" w:evenHBand="0" w:firstRowFirstColumn="0" w:firstRowLastColumn="0" w:lastRowFirstColumn="0" w:lastRowLastColumn="0"/>
            <w:tcW w:w="1987" w:type="dxa"/>
            <w:tcBorders>
              <w:top w:val="single" w:sz="8" w:space="0" w:color="000000"/>
              <w:tl2br w:val="nil"/>
              <w:tr2bl w:val="nil"/>
            </w:tcBorders>
            <w:shd w:val="clear" w:color="auto" w:fill="FFFFFF"/>
          </w:tcPr>
          <w:p w14:paraId="2F7B4FB8" w14:textId="77777777" w:rsidR="00F17155" w:rsidRDefault="00844BEE">
            <w:pPr>
              <w:spacing w:line="240" w:lineRule="auto"/>
              <w:ind w:firstLineChars="0" w:firstLine="0"/>
              <w:jc w:val="center"/>
              <w:rPr>
                <w:i w:val="0"/>
                <w:iCs w:val="0"/>
                <w:color w:val="000000"/>
                <w:sz w:val="21"/>
                <w:szCs w:val="21"/>
              </w:rPr>
            </w:pPr>
            <w:r>
              <w:rPr>
                <w:i w:val="0"/>
                <w:iCs w:val="0"/>
                <w:color w:val="000000"/>
                <w:sz w:val="21"/>
                <w:szCs w:val="21"/>
              </w:rPr>
              <w:t>[24]</w:t>
            </w:r>
          </w:p>
        </w:tc>
        <w:tc>
          <w:tcPr>
            <w:tcW w:w="1987" w:type="dxa"/>
            <w:tcBorders>
              <w:top w:val="single" w:sz="8" w:space="0" w:color="000000"/>
              <w:tl2br w:val="nil"/>
              <w:tr2bl w:val="nil"/>
            </w:tcBorders>
            <w:shd w:val="clear" w:color="auto" w:fill="FFFFFF"/>
          </w:tcPr>
          <w:p w14:paraId="28AE23BB" w14:textId="7D1FDDF7" w:rsidR="00F17155" w:rsidRDefault="00844BEE" w:rsidP="00411AA2">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Pr>
                <w:rFonts w:hint="eastAsia"/>
                <w:color w:val="000000"/>
                <w:sz w:val="21"/>
                <w:szCs w:val="21"/>
              </w:rPr>
              <w:t>10</w:t>
            </w:r>
          </w:p>
        </w:tc>
        <w:tc>
          <w:tcPr>
            <w:tcW w:w="1987" w:type="dxa"/>
            <w:tcBorders>
              <w:top w:val="single" w:sz="8" w:space="0" w:color="000000"/>
              <w:tl2br w:val="nil"/>
              <w:tr2bl w:val="nil"/>
            </w:tcBorders>
            <w:shd w:val="clear" w:color="auto" w:fill="FFFFFF"/>
          </w:tcPr>
          <w:p w14:paraId="3B9D8743" w14:textId="04A4AA26" w:rsidR="00F17155" w:rsidRDefault="00844BEE" w:rsidP="00411AA2">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Pr>
                <w:rFonts w:hint="eastAsia"/>
                <w:color w:val="000000"/>
                <w:sz w:val="21"/>
                <w:szCs w:val="21"/>
              </w:rPr>
              <w:t>390</w:t>
            </w:r>
            <m:oMath>
              <m:r>
                <w:rPr>
                  <w:rFonts w:ascii="Cambria Math" w:hAnsi="Cambria Math"/>
                  <w:color w:val="000000"/>
                  <w:sz w:val="21"/>
                  <w:szCs w:val="21"/>
                </w:rPr>
                <m:t>×</m:t>
              </m:r>
            </m:oMath>
            <w:r>
              <w:rPr>
                <w:rFonts w:hint="eastAsia"/>
                <w:color w:val="000000"/>
                <w:sz w:val="21"/>
                <w:szCs w:val="21"/>
              </w:rPr>
              <w:t>390</w:t>
            </w:r>
          </w:p>
        </w:tc>
        <w:tc>
          <w:tcPr>
            <w:tcW w:w="1987" w:type="dxa"/>
            <w:tcBorders>
              <w:top w:val="single" w:sz="8" w:space="0" w:color="000000"/>
              <w:tl2br w:val="nil"/>
              <w:tr2bl w:val="nil"/>
            </w:tcBorders>
            <w:shd w:val="clear" w:color="auto" w:fill="FFFFFF"/>
          </w:tcPr>
          <w:p w14:paraId="255AF660" w14:textId="72E409C6" w:rsidR="00F17155" w:rsidRDefault="00411AA2">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Pr>
                <w:rFonts w:hint="eastAsia"/>
                <w:color w:val="000000"/>
                <w:sz w:val="21"/>
                <w:szCs w:val="21"/>
              </w:rPr>
              <w:t>57.0</w:t>
            </w:r>
          </w:p>
        </w:tc>
      </w:tr>
      <w:tr w:rsidR="00F17155" w14:paraId="48710EC0" w14:textId="77777777" w:rsidTr="00F17155">
        <w:trPr>
          <w:jc w:val="center"/>
        </w:trPr>
        <w:tc>
          <w:tcPr>
            <w:cnfStyle w:val="001000000000" w:firstRow="0" w:lastRow="0" w:firstColumn="1" w:lastColumn="0" w:oddVBand="0" w:evenVBand="0" w:oddHBand="0" w:evenHBand="0" w:firstRowFirstColumn="0" w:firstRowLastColumn="0" w:lastRowFirstColumn="0" w:lastRowLastColumn="0"/>
            <w:tcW w:w="1987" w:type="dxa"/>
            <w:tcBorders>
              <w:tl2br w:val="nil"/>
              <w:tr2bl w:val="nil"/>
            </w:tcBorders>
            <w:shd w:val="clear" w:color="auto" w:fill="FFFFFF"/>
          </w:tcPr>
          <w:p w14:paraId="00890380" w14:textId="77777777" w:rsidR="00F17155" w:rsidRDefault="00844BEE">
            <w:pPr>
              <w:spacing w:line="240" w:lineRule="auto"/>
              <w:ind w:firstLineChars="0" w:firstLine="0"/>
              <w:jc w:val="center"/>
              <w:rPr>
                <w:i w:val="0"/>
                <w:iCs w:val="0"/>
                <w:color w:val="000000"/>
                <w:sz w:val="21"/>
                <w:szCs w:val="21"/>
              </w:rPr>
            </w:pPr>
            <w:r>
              <w:rPr>
                <w:i w:val="0"/>
                <w:iCs w:val="0"/>
                <w:color w:val="000000"/>
                <w:sz w:val="21"/>
                <w:szCs w:val="21"/>
              </w:rPr>
              <w:t>[25]</w:t>
            </w:r>
          </w:p>
        </w:tc>
        <w:tc>
          <w:tcPr>
            <w:tcW w:w="1987" w:type="dxa"/>
            <w:tcBorders>
              <w:tl2br w:val="nil"/>
              <w:tr2bl w:val="nil"/>
            </w:tcBorders>
            <w:shd w:val="clear" w:color="auto" w:fill="FFFFFF"/>
          </w:tcPr>
          <w:p w14:paraId="2357EAF7" w14:textId="6402E123" w:rsidR="00F17155" w:rsidRDefault="00411AA2">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Pr>
                <w:rFonts w:hint="eastAsia"/>
                <w:color w:val="000000"/>
                <w:sz w:val="21"/>
                <w:szCs w:val="21"/>
              </w:rPr>
              <w:t>10</w:t>
            </w:r>
          </w:p>
        </w:tc>
        <w:tc>
          <w:tcPr>
            <w:tcW w:w="1987" w:type="dxa"/>
            <w:tcBorders>
              <w:tl2br w:val="nil"/>
              <w:tr2bl w:val="nil"/>
            </w:tcBorders>
            <w:shd w:val="clear" w:color="auto" w:fill="FFFFFF"/>
          </w:tcPr>
          <w:p w14:paraId="7EDDD8AC" w14:textId="388A0716" w:rsidR="00F17155" w:rsidRDefault="00844BEE" w:rsidP="00411AA2">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Pr>
                <w:rFonts w:hint="eastAsia"/>
                <w:color w:val="000000"/>
                <w:sz w:val="21"/>
                <w:szCs w:val="21"/>
              </w:rPr>
              <w:t>390</w:t>
            </w:r>
            <m:oMath>
              <m:r>
                <w:rPr>
                  <w:rFonts w:ascii="Cambria Math" w:hAnsi="Cambria Math"/>
                  <w:color w:val="000000"/>
                  <w:sz w:val="21"/>
                  <w:szCs w:val="21"/>
                </w:rPr>
                <m:t>×</m:t>
              </m:r>
            </m:oMath>
            <w:r>
              <w:rPr>
                <w:rFonts w:hint="eastAsia"/>
                <w:color w:val="000000"/>
                <w:sz w:val="21"/>
                <w:szCs w:val="21"/>
              </w:rPr>
              <w:t>390</w:t>
            </w:r>
          </w:p>
        </w:tc>
        <w:tc>
          <w:tcPr>
            <w:tcW w:w="1987" w:type="dxa"/>
            <w:tcBorders>
              <w:tl2br w:val="nil"/>
              <w:tr2bl w:val="nil"/>
            </w:tcBorders>
            <w:shd w:val="clear" w:color="auto" w:fill="FFFFFF"/>
          </w:tcPr>
          <w:p w14:paraId="1FCE4D1D" w14:textId="11EDA397" w:rsidR="00F17155" w:rsidRDefault="00411AA2">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Pr>
                <w:rFonts w:hint="eastAsia"/>
                <w:color w:val="000000"/>
                <w:sz w:val="21"/>
                <w:szCs w:val="21"/>
              </w:rPr>
              <w:t>56.1</w:t>
            </w:r>
          </w:p>
        </w:tc>
      </w:tr>
      <w:tr w:rsidR="00F17155" w14:paraId="5CA9866F" w14:textId="77777777" w:rsidTr="00F17155">
        <w:trPr>
          <w:jc w:val="center"/>
        </w:trPr>
        <w:tc>
          <w:tcPr>
            <w:cnfStyle w:val="001000000000" w:firstRow="0" w:lastRow="0" w:firstColumn="1" w:lastColumn="0" w:oddVBand="0" w:evenVBand="0" w:oddHBand="0" w:evenHBand="0" w:firstRowFirstColumn="0" w:firstRowLastColumn="0" w:lastRowFirstColumn="0" w:lastRowLastColumn="0"/>
            <w:tcW w:w="1987" w:type="dxa"/>
            <w:tcBorders>
              <w:tl2br w:val="nil"/>
              <w:tr2bl w:val="nil"/>
            </w:tcBorders>
            <w:shd w:val="clear" w:color="auto" w:fill="FFFFFF"/>
          </w:tcPr>
          <w:p w14:paraId="344FC4F3" w14:textId="77777777" w:rsidR="00F17155" w:rsidRDefault="00844BEE">
            <w:pPr>
              <w:spacing w:line="240" w:lineRule="auto"/>
              <w:ind w:firstLineChars="0" w:firstLine="0"/>
              <w:jc w:val="center"/>
              <w:rPr>
                <w:i w:val="0"/>
                <w:iCs w:val="0"/>
                <w:color w:val="000000"/>
                <w:sz w:val="21"/>
                <w:szCs w:val="21"/>
              </w:rPr>
            </w:pPr>
            <w:r>
              <w:rPr>
                <w:i w:val="0"/>
                <w:iCs w:val="0"/>
                <w:color w:val="000000"/>
                <w:sz w:val="21"/>
                <w:szCs w:val="21"/>
              </w:rPr>
              <w:t>[26]</w:t>
            </w:r>
          </w:p>
        </w:tc>
        <w:tc>
          <w:tcPr>
            <w:tcW w:w="1987" w:type="dxa"/>
            <w:tcBorders>
              <w:tl2br w:val="nil"/>
              <w:tr2bl w:val="nil"/>
            </w:tcBorders>
            <w:shd w:val="clear" w:color="auto" w:fill="FFFFFF"/>
          </w:tcPr>
          <w:p w14:paraId="73437903" w14:textId="660D4D31" w:rsidR="00F17155" w:rsidRDefault="00411AA2">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Pr>
                <w:rFonts w:hint="eastAsia"/>
                <w:color w:val="000000"/>
                <w:sz w:val="21"/>
                <w:szCs w:val="21"/>
              </w:rPr>
              <w:t>28</w:t>
            </w:r>
          </w:p>
        </w:tc>
        <w:tc>
          <w:tcPr>
            <w:tcW w:w="1987" w:type="dxa"/>
            <w:tcBorders>
              <w:tl2br w:val="nil"/>
              <w:tr2bl w:val="nil"/>
            </w:tcBorders>
            <w:shd w:val="clear" w:color="auto" w:fill="FFFFFF"/>
          </w:tcPr>
          <w:p w14:paraId="7E866704" w14:textId="6620A9BD" w:rsidR="00F17155" w:rsidRDefault="00844BEE" w:rsidP="00411AA2">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Pr>
                <w:rFonts w:hint="eastAsia"/>
                <w:color w:val="000000"/>
                <w:sz w:val="21"/>
                <w:szCs w:val="21"/>
              </w:rPr>
              <w:t>165</w:t>
            </w:r>
            <m:oMath>
              <m:r>
                <w:rPr>
                  <w:rFonts w:ascii="Cambria Math" w:hAnsi="Cambria Math"/>
                  <w:color w:val="000000"/>
                  <w:sz w:val="21"/>
                  <w:szCs w:val="21"/>
                </w:rPr>
                <m:t>×</m:t>
              </m:r>
            </m:oMath>
            <w:r>
              <w:rPr>
                <w:rFonts w:hint="eastAsia"/>
                <w:color w:val="000000"/>
                <w:sz w:val="21"/>
                <w:szCs w:val="21"/>
              </w:rPr>
              <w:t>165</w:t>
            </w:r>
          </w:p>
        </w:tc>
        <w:tc>
          <w:tcPr>
            <w:tcW w:w="1987" w:type="dxa"/>
            <w:tcBorders>
              <w:tl2br w:val="nil"/>
              <w:tr2bl w:val="nil"/>
            </w:tcBorders>
            <w:shd w:val="clear" w:color="auto" w:fill="FFFFFF"/>
          </w:tcPr>
          <w:p w14:paraId="052AF945" w14:textId="58082567" w:rsidR="00F17155" w:rsidRDefault="00411AA2">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Pr>
                <w:rFonts w:hint="eastAsia"/>
                <w:color w:val="000000"/>
                <w:sz w:val="21"/>
                <w:szCs w:val="21"/>
              </w:rPr>
              <w:t>50.5</w:t>
            </w:r>
          </w:p>
        </w:tc>
      </w:tr>
      <w:tr w:rsidR="00F17155" w14:paraId="0E7191FA" w14:textId="77777777" w:rsidTr="00F17155">
        <w:trPr>
          <w:jc w:val="center"/>
        </w:trPr>
        <w:tc>
          <w:tcPr>
            <w:cnfStyle w:val="001000000000" w:firstRow="0" w:lastRow="0" w:firstColumn="1" w:lastColumn="0" w:oddVBand="0" w:evenVBand="0" w:oddHBand="0" w:evenHBand="0" w:firstRowFirstColumn="0" w:firstRowLastColumn="0" w:lastRowFirstColumn="0" w:lastRowLastColumn="0"/>
            <w:tcW w:w="1987" w:type="dxa"/>
            <w:tcBorders>
              <w:tl2br w:val="nil"/>
              <w:tr2bl w:val="nil"/>
            </w:tcBorders>
            <w:shd w:val="clear" w:color="auto" w:fill="FFFFFF"/>
          </w:tcPr>
          <w:p w14:paraId="6E973D44" w14:textId="77777777" w:rsidR="00F17155" w:rsidRDefault="00844BEE">
            <w:pPr>
              <w:spacing w:line="240" w:lineRule="auto"/>
              <w:ind w:firstLineChars="0" w:firstLine="0"/>
              <w:jc w:val="center"/>
              <w:rPr>
                <w:i w:val="0"/>
                <w:iCs w:val="0"/>
                <w:color w:val="000000"/>
                <w:sz w:val="21"/>
                <w:szCs w:val="21"/>
              </w:rPr>
            </w:pPr>
            <w:r>
              <w:rPr>
                <w:rFonts w:ascii="宋体" w:hAnsi="宋体" w:cs="宋体" w:hint="eastAsia"/>
                <w:i w:val="0"/>
                <w:iCs w:val="0"/>
                <w:color w:val="000000"/>
                <w:sz w:val="21"/>
                <w:szCs w:val="21"/>
              </w:rPr>
              <w:t>本文</w:t>
            </w:r>
          </w:p>
        </w:tc>
        <w:tc>
          <w:tcPr>
            <w:tcW w:w="1987" w:type="dxa"/>
            <w:tcBorders>
              <w:tl2br w:val="nil"/>
              <w:tr2bl w:val="nil"/>
            </w:tcBorders>
            <w:shd w:val="clear" w:color="auto" w:fill="FFFFFF"/>
          </w:tcPr>
          <w:p w14:paraId="3B165DF4" w14:textId="284C7272" w:rsidR="00F17155" w:rsidRDefault="00411AA2">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Pr>
                <w:rFonts w:hint="eastAsia"/>
                <w:color w:val="000000"/>
                <w:sz w:val="21"/>
                <w:szCs w:val="21"/>
              </w:rPr>
              <w:t>14</w:t>
            </w:r>
          </w:p>
        </w:tc>
        <w:tc>
          <w:tcPr>
            <w:tcW w:w="1987" w:type="dxa"/>
            <w:tcBorders>
              <w:tl2br w:val="nil"/>
              <w:tr2bl w:val="nil"/>
            </w:tcBorders>
            <w:shd w:val="clear" w:color="auto" w:fill="FFFFFF"/>
          </w:tcPr>
          <w:p w14:paraId="641F240B" w14:textId="0E1CACDA" w:rsidR="00F17155" w:rsidRDefault="00844BEE" w:rsidP="00411AA2">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Pr>
                <w:rFonts w:hint="eastAsia"/>
                <w:color w:val="000000"/>
                <w:sz w:val="21"/>
                <w:szCs w:val="21"/>
              </w:rPr>
              <w:t>132</w:t>
            </w:r>
            <m:oMath>
              <m:r>
                <w:rPr>
                  <w:rFonts w:ascii="Cambria Math" w:hAnsi="Cambria Math"/>
                  <w:color w:val="000000"/>
                  <w:sz w:val="21"/>
                  <w:szCs w:val="21"/>
                </w:rPr>
                <m:t>×</m:t>
              </m:r>
            </m:oMath>
            <w:r>
              <w:rPr>
                <w:rFonts w:hint="eastAsia"/>
                <w:color w:val="000000"/>
                <w:sz w:val="21"/>
                <w:szCs w:val="21"/>
              </w:rPr>
              <w:t>150</w:t>
            </w:r>
          </w:p>
        </w:tc>
        <w:tc>
          <w:tcPr>
            <w:tcW w:w="1987" w:type="dxa"/>
            <w:tcBorders>
              <w:tl2br w:val="nil"/>
              <w:tr2bl w:val="nil"/>
            </w:tcBorders>
            <w:shd w:val="clear" w:color="auto" w:fill="FFFFFF"/>
          </w:tcPr>
          <w:p w14:paraId="19B6A200" w14:textId="652E1908" w:rsidR="00F17155" w:rsidRDefault="00411AA2">
            <w:pPr>
              <w:spacing w:line="240" w:lineRule="auto"/>
              <w:ind w:firstLineChars="0" w:firstLine="0"/>
              <w:jc w:val="center"/>
              <w:cnfStyle w:val="000000000000" w:firstRow="0" w:lastRow="0" w:firstColumn="0" w:lastColumn="0" w:oddVBand="0" w:evenVBand="0" w:oddHBand="0" w:evenHBand="0" w:firstRowFirstColumn="0" w:firstRowLastColumn="0" w:lastRowFirstColumn="0" w:lastRowLastColumn="0"/>
              <w:rPr>
                <w:color w:val="000000"/>
                <w:sz w:val="21"/>
                <w:szCs w:val="21"/>
              </w:rPr>
            </w:pPr>
            <w:r>
              <w:rPr>
                <w:rFonts w:hint="eastAsia"/>
                <w:color w:val="000000"/>
                <w:sz w:val="21"/>
                <w:szCs w:val="21"/>
              </w:rPr>
              <w:t>57.8</w:t>
            </w:r>
          </w:p>
        </w:tc>
      </w:tr>
    </w:tbl>
    <w:p w14:paraId="35F9CB3C" w14:textId="77777777" w:rsidR="00F17155" w:rsidRDefault="00F17155">
      <w:pPr>
        <w:spacing w:line="240" w:lineRule="auto"/>
        <w:ind w:firstLineChars="0" w:firstLine="0"/>
        <w:rPr>
          <w:sz w:val="21"/>
          <w:szCs w:val="21"/>
        </w:rPr>
      </w:pPr>
    </w:p>
    <w:p w14:paraId="4AF6851A" w14:textId="0FD15DA7" w:rsidR="00F17155" w:rsidRDefault="00844BEE">
      <w:pPr>
        <w:spacing w:line="240" w:lineRule="auto"/>
        <w:ind w:firstLineChars="0" w:firstLine="0"/>
        <w:rPr>
          <w:rFonts w:ascii="宋体" w:hAnsi="宋体" w:cs="宋体"/>
          <w:b/>
          <w:bCs/>
        </w:rPr>
      </w:pPr>
      <w:r>
        <w:rPr>
          <w:rFonts w:ascii="宋体" w:hAnsi="宋体" w:cs="宋体" w:hint="eastAsia"/>
          <w:b/>
          <w:bCs/>
        </w:rPr>
        <w:t>4  结</w:t>
      </w:r>
      <w:r w:rsidR="00411AA2">
        <w:rPr>
          <w:rFonts w:ascii="宋体" w:hAnsi="宋体" w:cs="宋体" w:hint="eastAsia"/>
          <w:b/>
          <w:bCs/>
        </w:rPr>
        <w:t>束语</w:t>
      </w:r>
    </w:p>
    <w:p w14:paraId="445A801E" w14:textId="4700A15B" w:rsidR="00FF5BD7" w:rsidRPr="00FF5BD7" w:rsidRDefault="00FF5BD7" w:rsidP="00FF5BD7">
      <w:pPr>
        <w:spacing w:line="240" w:lineRule="auto"/>
        <w:rPr>
          <w:rFonts w:hint="eastAsia"/>
          <w:sz w:val="21"/>
          <w:szCs w:val="21"/>
        </w:rPr>
      </w:pPr>
      <w:r w:rsidRPr="00FF5BD7">
        <w:rPr>
          <w:rFonts w:hint="eastAsia"/>
          <w:sz w:val="21"/>
          <w:szCs w:val="21"/>
        </w:rPr>
        <w:t>本文设计并研究了一种工作于</w:t>
      </w:r>
      <w:r w:rsidRPr="00FF5BD7">
        <w:rPr>
          <w:rFonts w:hint="eastAsia"/>
          <w:sz w:val="21"/>
          <w:szCs w:val="21"/>
        </w:rPr>
        <w:t>Ku</w:t>
      </w:r>
      <w:r w:rsidRPr="00FF5BD7">
        <w:rPr>
          <w:rFonts w:hint="eastAsia"/>
          <w:sz w:val="21"/>
          <w:szCs w:val="21"/>
        </w:rPr>
        <w:t>波段</w:t>
      </w:r>
      <w:r w:rsidRPr="00FF5BD7">
        <w:rPr>
          <w:rFonts w:hint="eastAsia"/>
          <w:sz w:val="21"/>
          <w:szCs w:val="21"/>
        </w:rPr>
        <w:t>14 GHz</w:t>
      </w:r>
      <w:r w:rsidRPr="00FF5BD7">
        <w:rPr>
          <w:rFonts w:hint="eastAsia"/>
          <w:sz w:val="21"/>
          <w:szCs w:val="21"/>
        </w:rPr>
        <w:t>频率处的六边形反射型超表面。该结构为无源线极化设计，采用单层单元，通过调节结构尺寸实现</w:t>
      </w:r>
      <w:r w:rsidRPr="00FF5BD7">
        <w:rPr>
          <w:rFonts w:hint="eastAsia"/>
          <w:sz w:val="21"/>
          <w:szCs w:val="21"/>
        </w:rPr>
        <w:t>360</w:t>
      </w:r>
      <w:r w:rsidRPr="00FF5BD7">
        <w:rPr>
          <w:rFonts w:hint="eastAsia"/>
          <w:sz w:val="21"/>
          <w:szCs w:val="21"/>
        </w:rPr>
        <w:t>°相位覆盖，在有效降低加工复杂度的同时，具备接近</w:t>
      </w:r>
      <w:r w:rsidRPr="00FF5BD7">
        <w:rPr>
          <w:rFonts w:hint="eastAsia"/>
          <w:sz w:val="21"/>
          <w:szCs w:val="21"/>
        </w:rPr>
        <w:t>1</w:t>
      </w:r>
      <w:r w:rsidRPr="00FF5BD7">
        <w:rPr>
          <w:rFonts w:hint="eastAsia"/>
          <w:sz w:val="21"/>
          <w:szCs w:val="21"/>
        </w:rPr>
        <w:t>的反射幅度，表现出良好的反射性能。全阵仿真结果表明，在</w:t>
      </w:r>
      <w:r w:rsidRPr="00FF5BD7">
        <w:rPr>
          <w:rFonts w:hint="eastAsia"/>
          <w:sz w:val="21"/>
          <w:szCs w:val="21"/>
        </w:rPr>
        <w:t>14 GHz</w:t>
      </w:r>
      <w:r w:rsidRPr="00FF5BD7">
        <w:rPr>
          <w:rFonts w:hint="eastAsia"/>
          <w:sz w:val="21"/>
          <w:szCs w:val="21"/>
        </w:rPr>
        <w:t>频点下，该超表面的电场相位呈涡旋状分布，具有明显的一阶模态特征；电场幅度则呈“甜甜圈”状分布，中心处电场强度为零，与设计预期一致。为验证设计的实用性，对超表面进行了加工制作与近场测试。实测结果同样观测到一阶涡旋相位分布，且中心区域电场存在零点，实测与仿真结果基本吻合，说明该结构具备实际生成涡旋波束的能力。</w:t>
      </w:r>
    </w:p>
    <w:p w14:paraId="6E5D1B25" w14:textId="727CC24B" w:rsidR="00F17155" w:rsidRPr="00063F69" w:rsidRDefault="00FF5BD7" w:rsidP="00FF5BD7">
      <w:pPr>
        <w:spacing w:line="240" w:lineRule="auto"/>
        <w:rPr>
          <w:sz w:val="21"/>
          <w:szCs w:val="21"/>
        </w:rPr>
      </w:pPr>
      <w:r w:rsidRPr="00FF5BD7">
        <w:rPr>
          <w:rFonts w:hint="eastAsia"/>
          <w:sz w:val="21"/>
          <w:szCs w:val="21"/>
        </w:rPr>
        <w:t>综上所述，本文所提出的反射型超表面能够满足光通信等相关研究中对涡旋波束生成的需求。在结构选型方面，采用六边形蜂窝状嵌入式排列，相较于传统外接正方形结构，不仅有效减小了超表面占用面积，还提升了涡旋波束的生成</w:t>
      </w:r>
      <w:r>
        <w:rPr>
          <w:rFonts w:hint="eastAsia"/>
          <w:sz w:val="21"/>
          <w:szCs w:val="21"/>
        </w:rPr>
        <w:t>效率。同时，单层结构设计简化了加工与测试流程，更有利于实际应用</w:t>
      </w:r>
      <w:r w:rsidR="00063F69">
        <w:rPr>
          <w:rFonts w:hint="eastAsia"/>
          <w:sz w:val="21"/>
          <w:szCs w:val="21"/>
        </w:rPr>
        <w:t>。</w:t>
      </w:r>
    </w:p>
    <w:p w14:paraId="04E75F71" w14:textId="77777777" w:rsidR="00F17155" w:rsidRDefault="00F17155">
      <w:pPr>
        <w:spacing w:line="240" w:lineRule="auto"/>
        <w:rPr>
          <w:sz w:val="21"/>
          <w:szCs w:val="21"/>
        </w:rPr>
      </w:pPr>
    </w:p>
    <w:p w14:paraId="3B453569" w14:textId="77777777" w:rsidR="00F17155" w:rsidRPr="003F0161" w:rsidRDefault="00844BEE">
      <w:pPr>
        <w:spacing w:line="240" w:lineRule="auto"/>
        <w:ind w:firstLineChars="0" w:firstLine="0"/>
        <w:rPr>
          <w:b/>
          <w:sz w:val="15"/>
          <w:szCs w:val="15"/>
        </w:rPr>
      </w:pPr>
      <w:r w:rsidRPr="003F0161">
        <w:rPr>
          <w:rFonts w:hint="eastAsia"/>
          <w:b/>
          <w:sz w:val="15"/>
          <w:szCs w:val="15"/>
        </w:rPr>
        <w:t>参考文献：</w:t>
      </w:r>
    </w:p>
    <w:p w14:paraId="691EE24C" w14:textId="4CD701E7" w:rsidR="00F17155" w:rsidRPr="003F0161" w:rsidRDefault="00844BEE">
      <w:pPr>
        <w:numPr>
          <w:ilvl w:val="0"/>
          <w:numId w:val="1"/>
        </w:numPr>
        <w:spacing w:line="240" w:lineRule="auto"/>
        <w:ind w:left="658" w:firstLineChars="0"/>
        <w:rPr>
          <w:sz w:val="15"/>
          <w:szCs w:val="15"/>
        </w:rPr>
      </w:pPr>
      <w:bookmarkStart w:id="10" w:name="_Ref29240"/>
      <w:r w:rsidRPr="003F0161">
        <w:rPr>
          <w:rFonts w:hint="eastAsia"/>
          <w:sz w:val="15"/>
          <w:szCs w:val="15"/>
        </w:rPr>
        <w:t>G</w:t>
      </w:r>
      <w:r w:rsidR="004F2387" w:rsidRPr="003F0161">
        <w:rPr>
          <w:sz w:val="15"/>
          <w:szCs w:val="15"/>
        </w:rPr>
        <w:t>ENEVET</w:t>
      </w:r>
      <w:r w:rsidR="004F2387">
        <w:rPr>
          <w:sz w:val="15"/>
          <w:szCs w:val="15"/>
        </w:rPr>
        <w:t xml:space="preserve"> </w:t>
      </w:r>
      <w:r w:rsidR="004F2387" w:rsidRPr="003F0161">
        <w:rPr>
          <w:sz w:val="15"/>
          <w:szCs w:val="15"/>
        </w:rPr>
        <w:t>P</w:t>
      </w:r>
      <w:r w:rsidR="004F2387">
        <w:rPr>
          <w:sz w:val="15"/>
          <w:szCs w:val="15"/>
        </w:rPr>
        <w:t>, KATS M A</w:t>
      </w:r>
      <w:r w:rsidR="004F2387" w:rsidRPr="003F0161">
        <w:rPr>
          <w:sz w:val="15"/>
          <w:szCs w:val="15"/>
        </w:rPr>
        <w:t>, AIETA</w:t>
      </w:r>
      <w:r w:rsidR="004F2387">
        <w:rPr>
          <w:sz w:val="15"/>
          <w:szCs w:val="15"/>
        </w:rPr>
        <w:t xml:space="preserve"> </w:t>
      </w:r>
      <w:r w:rsidR="004F2387">
        <w:rPr>
          <w:rFonts w:hint="eastAsia"/>
          <w:sz w:val="15"/>
          <w:szCs w:val="15"/>
        </w:rPr>
        <w:t>F</w:t>
      </w:r>
      <w:r w:rsidRPr="003F0161">
        <w:rPr>
          <w:rFonts w:hint="eastAsia"/>
          <w:sz w:val="15"/>
          <w:szCs w:val="15"/>
        </w:rPr>
        <w:t>, et al. Light propagation with phase discontinuities: generalized laws of reflection and refraction. science</w:t>
      </w:r>
      <w:r w:rsidR="00F25493" w:rsidRPr="003F0161">
        <w:rPr>
          <w:rFonts w:hint="eastAsia"/>
          <w:sz w:val="15"/>
          <w:szCs w:val="15"/>
        </w:rPr>
        <w:t>[J].</w:t>
      </w:r>
      <w:r w:rsidRPr="003F0161">
        <w:rPr>
          <w:rFonts w:hint="eastAsia"/>
          <w:sz w:val="15"/>
          <w:szCs w:val="15"/>
        </w:rPr>
        <w:t xml:space="preserve"> 2011, 334</w:t>
      </w:r>
      <w:r w:rsidRPr="003F0161">
        <w:rPr>
          <w:rFonts w:hint="eastAsia"/>
          <w:sz w:val="15"/>
          <w:szCs w:val="15"/>
        </w:rPr>
        <w:t>（</w:t>
      </w:r>
      <w:r w:rsidRPr="003F0161">
        <w:rPr>
          <w:rFonts w:hint="eastAsia"/>
          <w:sz w:val="15"/>
          <w:szCs w:val="15"/>
        </w:rPr>
        <w:t>6054</w:t>
      </w:r>
      <w:r w:rsidRPr="003F0161">
        <w:rPr>
          <w:rFonts w:hint="eastAsia"/>
          <w:sz w:val="15"/>
          <w:szCs w:val="15"/>
        </w:rPr>
        <w:t>）</w:t>
      </w:r>
      <w:r w:rsidR="004F2387">
        <w:rPr>
          <w:rFonts w:hint="eastAsia"/>
          <w:sz w:val="15"/>
          <w:szCs w:val="15"/>
        </w:rPr>
        <w:t>:</w:t>
      </w:r>
      <w:r w:rsidRPr="003F0161">
        <w:rPr>
          <w:rFonts w:hint="eastAsia"/>
          <w:sz w:val="15"/>
          <w:szCs w:val="15"/>
        </w:rPr>
        <w:t>333-337.</w:t>
      </w:r>
      <w:bookmarkEnd w:id="10"/>
    </w:p>
    <w:p w14:paraId="60DC5FB0" w14:textId="239617E1" w:rsidR="00F17155" w:rsidRPr="003F0161" w:rsidRDefault="00844BEE">
      <w:pPr>
        <w:numPr>
          <w:ilvl w:val="0"/>
          <w:numId w:val="1"/>
        </w:numPr>
        <w:spacing w:line="240" w:lineRule="auto"/>
        <w:ind w:left="658" w:firstLineChars="0"/>
        <w:rPr>
          <w:sz w:val="15"/>
          <w:szCs w:val="15"/>
        </w:rPr>
      </w:pPr>
      <w:bookmarkStart w:id="11" w:name="_Ref31712"/>
      <w:commentRangeStart w:id="12"/>
      <w:r w:rsidRPr="003F0161">
        <w:rPr>
          <w:sz w:val="15"/>
          <w:szCs w:val="15"/>
        </w:rPr>
        <w:lastRenderedPageBreak/>
        <w:t xml:space="preserve">Fan, Q., Liu, M., Zhang, C., </w:t>
      </w:r>
      <w:r w:rsidRPr="003F0161">
        <w:rPr>
          <w:rFonts w:hint="eastAsia"/>
          <w:sz w:val="15"/>
          <w:szCs w:val="15"/>
        </w:rPr>
        <w:t xml:space="preserve">et al. </w:t>
      </w:r>
      <w:r w:rsidRPr="003F0161">
        <w:rPr>
          <w:sz w:val="15"/>
          <w:szCs w:val="15"/>
        </w:rPr>
        <w:t>Independent amplitude control of arbitrary orthogonal states of polarization via dielectric metasurfaces</w:t>
      </w:r>
      <w:r w:rsidR="00F25493" w:rsidRPr="003F0161">
        <w:rPr>
          <w:rFonts w:hint="eastAsia"/>
          <w:sz w:val="15"/>
          <w:szCs w:val="15"/>
        </w:rPr>
        <w:t>[J].</w:t>
      </w:r>
      <w:r w:rsidRPr="003F0161">
        <w:rPr>
          <w:sz w:val="15"/>
          <w:szCs w:val="15"/>
        </w:rPr>
        <w:t xml:space="preserve"> Physical Review Letters,</w:t>
      </w:r>
      <w:r w:rsidRPr="003F0161">
        <w:rPr>
          <w:rFonts w:hint="eastAsia"/>
          <w:sz w:val="15"/>
          <w:szCs w:val="15"/>
        </w:rPr>
        <w:t xml:space="preserve"> </w:t>
      </w:r>
      <w:r w:rsidRPr="003F0161">
        <w:rPr>
          <w:sz w:val="15"/>
          <w:szCs w:val="15"/>
        </w:rPr>
        <w:t>2020</w:t>
      </w:r>
      <w:r w:rsidRPr="003F0161">
        <w:rPr>
          <w:rFonts w:hint="eastAsia"/>
          <w:sz w:val="15"/>
          <w:szCs w:val="15"/>
        </w:rPr>
        <w:t xml:space="preserve">, </w:t>
      </w:r>
      <w:r w:rsidRPr="003F0161">
        <w:rPr>
          <w:sz w:val="15"/>
          <w:szCs w:val="15"/>
        </w:rPr>
        <w:t>125</w:t>
      </w:r>
      <w:r w:rsidRPr="003F0161">
        <w:rPr>
          <w:rFonts w:hint="eastAsia"/>
          <w:sz w:val="15"/>
          <w:szCs w:val="15"/>
        </w:rPr>
        <w:t>（</w:t>
      </w:r>
      <w:r w:rsidRPr="003F0161">
        <w:rPr>
          <w:sz w:val="15"/>
          <w:szCs w:val="15"/>
        </w:rPr>
        <w:t>26</w:t>
      </w:r>
      <w:r w:rsidRPr="003F0161">
        <w:rPr>
          <w:rFonts w:hint="eastAsia"/>
          <w:sz w:val="15"/>
          <w:szCs w:val="15"/>
        </w:rPr>
        <w:t>）</w:t>
      </w:r>
      <w:r w:rsidR="004F2387">
        <w:rPr>
          <w:sz w:val="15"/>
          <w:szCs w:val="15"/>
        </w:rPr>
        <w:t>:</w:t>
      </w:r>
      <w:r w:rsidRPr="003F0161">
        <w:rPr>
          <w:sz w:val="15"/>
          <w:szCs w:val="15"/>
        </w:rPr>
        <w:t>267402.</w:t>
      </w:r>
      <w:bookmarkEnd w:id="11"/>
    </w:p>
    <w:p w14:paraId="014FDA3A" w14:textId="128EA4F8" w:rsidR="00F17155" w:rsidRPr="003F0161" w:rsidRDefault="00844BEE">
      <w:pPr>
        <w:numPr>
          <w:ilvl w:val="0"/>
          <w:numId w:val="1"/>
        </w:numPr>
        <w:spacing w:line="240" w:lineRule="auto"/>
        <w:ind w:left="658" w:firstLineChars="0"/>
        <w:rPr>
          <w:sz w:val="15"/>
          <w:szCs w:val="15"/>
        </w:rPr>
      </w:pPr>
      <w:r w:rsidRPr="003F0161">
        <w:rPr>
          <w:sz w:val="15"/>
          <w:szCs w:val="15"/>
        </w:rPr>
        <w:t xml:space="preserve">Xu, H.X., Hu, G., Han, L., </w:t>
      </w:r>
      <w:r w:rsidRPr="003F0161">
        <w:rPr>
          <w:rFonts w:hint="eastAsia"/>
          <w:sz w:val="15"/>
          <w:szCs w:val="15"/>
        </w:rPr>
        <w:t xml:space="preserve">et al. </w:t>
      </w:r>
      <w:r w:rsidRPr="003F0161">
        <w:rPr>
          <w:sz w:val="15"/>
          <w:szCs w:val="15"/>
        </w:rPr>
        <w:t>Chirality‐assisted high‐efficiency metasurfaces with independent control of phase, amplitude, and polarization</w:t>
      </w:r>
      <w:r w:rsidR="00F25493" w:rsidRPr="003F0161">
        <w:rPr>
          <w:rFonts w:hint="eastAsia"/>
          <w:sz w:val="15"/>
          <w:szCs w:val="15"/>
        </w:rPr>
        <w:t>[J].</w:t>
      </w:r>
      <w:r w:rsidRPr="003F0161">
        <w:rPr>
          <w:sz w:val="15"/>
          <w:szCs w:val="15"/>
        </w:rPr>
        <w:t xml:space="preserve"> Advanced Optical Materials,2019</w:t>
      </w:r>
      <w:r w:rsidRPr="003F0161">
        <w:rPr>
          <w:rFonts w:hint="eastAsia"/>
          <w:sz w:val="15"/>
          <w:szCs w:val="15"/>
        </w:rPr>
        <w:t xml:space="preserve">, </w:t>
      </w:r>
      <w:r w:rsidRPr="003F0161">
        <w:rPr>
          <w:sz w:val="15"/>
          <w:szCs w:val="15"/>
        </w:rPr>
        <w:t>7</w:t>
      </w:r>
      <w:r w:rsidRPr="003F0161">
        <w:rPr>
          <w:rFonts w:hint="eastAsia"/>
          <w:sz w:val="15"/>
          <w:szCs w:val="15"/>
        </w:rPr>
        <w:t>（</w:t>
      </w:r>
      <w:r w:rsidRPr="003F0161">
        <w:rPr>
          <w:sz w:val="15"/>
          <w:szCs w:val="15"/>
        </w:rPr>
        <w:t>4</w:t>
      </w:r>
      <w:r w:rsidRPr="003F0161">
        <w:rPr>
          <w:rFonts w:hint="eastAsia"/>
          <w:sz w:val="15"/>
          <w:szCs w:val="15"/>
        </w:rPr>
        <w:t>）</w:t>
      </w:r>
      <w:r w:rsidR="004F2387">
        <w:rPr>
          <w:sz w:val="15"/>
          <w:szCs w:val="15"/>
        </w:rPr>
        <w:t>:</w:t>
      </w:r>
      <w:r w:rsidRPr="003F0161">
        <w:rPr>
          <w:sz w:val="15"/>
          <w:szCs w:val="15"/>
        </w:rPr>
        <w:t>1801479.</w:t>
      </w:r>
    </w:p>
    <w:p w14:paraId="6F739D23" w14:textId="318D6FB7" w:rsidR="00F17155" w:rsidRPr="003F0161" w:rsidRDefault="00844BEE">
      <w:pPr>
        <w:numPr>
          <w:ilvl w:val="0"/>
          <w:numId w:val="1"/>
        </w:numPr>
        <w:spacing w:line="240" w:lineRule="auto"/>
        <w:ind w:left="658" w:firstLineChars="0"/>
        <w:rPr>
          <w:sz w:val="15"/>
          <w:szCs w:val="15"/>
        </w:rPr>
      </w:pPr>
      <w:bookmarkStart w:id="13" w:name="_Ref32558"/>
      <w:r w:rsidRPr="003F0161">
        <w:rPr>
          <w:sz w:val="15"/>
          <w:szCs w:val="15"/>
        </w:rPr>
        <w:t xml:space="preserve">Reineke Matsudo, B., Sain, B., Carletti, L., </w:t>
      </w:r>
      <w:r w:rsidRPr="003F0161">
        <w:rPr>
          <w:rFonts w:hint="eastAsia"/>
          <w:sz w:val="15"/>
          <w:szCs w:val="15"/>
        </w:rPr>
        <w:t xml:space="preserve">et al. </w:t>
      </w:r>
      <w:r w:rsidRPr="003F0161">
        <w:rPr>
          <w:sz w:val="15"/>
          <w:szCs w:val="15"/>
        </w:rPr>
        <w:t>Efficient frequency conversion with geometric phase control in optical metasurfaces</w:t>
      </w:r>
      <w:r w:rsidR="00F25493" w:rsidRPr="003F0161">
        <w:rPr>
          <w:rFonts w:hint="eastAsia"/>
          <w:sz w:val="15"/>
          <w:szCs w:val="15"/>
        </w:rPr>
        <w:t>[J].</w:t>
      </w:r>
      <w:r w:rsidRPr="003F0161">
        <w:rPr>
          <w:sz w:val="15"/>
          <w:szCs w:val="15"/>
        </w:rPr>
        <w:t>Advanced Science, 2022</w:t>
      </w:r>
      <w:r w:rsidRPr="003F0161">
        <w:rPr>
          <w:rFonts w:hint="eastAsia"/>
          <w:sz w:val="15"/>
          <w:szCs w:val="15"/>
        </w:rPr>
        <w:t>,</w:t>
      </w:r>
      <w:r w:rsidRPr="003F0161">
        <w:rPr>
          <w:sz w:val="15"/>
          <w:szCs w:val="15"/>
        </w:rPr>
        <w:t xml:space="preserve"> 9</w:t>
      </w:r>
      <w:r w:rsidRPr="003F0161">
        <w:rPr>
          <w:rFonts w:hint="eastAsia"/>
          <w:sz w:val="15"/>
          <w:szCs w:val="15"/>
        </w:rPr>
        <w:t>（</w:t>
      </w:r>
      <w:r w:rsidRPr="003F0161">
        <w:rPr>
          <w:sz w:val="15"/>
          <w:szCs w:val="15"/>
        </w:rPr>
        <w:t>12</w:t>
      </w:r>
      <w:r w:rsidRPr="003F0161">
        <w:rPr>
          <w:rFonts w:hint="eastAsia"/>
          <w:sz w:val="15"/>
          <w:szCs w:val="15"/>
        </w:rPr>
        <w:t>）</w:t>
      </w:r>
      <w:r w:rsidR="004F2387">
        <w:rPr>
          <w:sz w:val="15"/>
          <w:szCs w:val="15"/>
        </w:rPr>
        <w:t>:</w:t>
      </w:r>
      <w:r w:rsidRPr="003F0161">
        <w:rPr>
          <w:sz w:val="15"/>
          <w:szCs w:val="15"/>
        </w:rPr>
        <w:t>2104508.</w:t>
      </w:r>
      <w:bookmarkEnd w:id="13"/>
    </w:p>
    <w:p w14:paraId="41603F27" w14:textId="0CBBB8B2" w:rsidR="00F17155" w:rsidRPr="003F0161" w:rsidRDefault="00844BEE">
      <w:pPr>
        <w:numPr>
          <w:ilvl w:val="0"/>
          <w:numId w:val="1"/>
        </w:numPr>
        <w:spacing w:line="240" w:lineRule="auto"/>
        <w:ind w:left="658" w:firstLineChars="0"/>
        <w:rPr>
          <w:sz w:val="15"/>
          <w:szCs w:val="15"/>
        </w:rPr>
      </w:pPr>
      <w:r w:rsidRPr="003F0161">
        <w:rPr>
          <w:sz w:val="15"/>
          <w:szCs w:val="15"/>
        </w:rPr>
        <w:t xml:space="preserve">Balthasar Mueller, J.P., Rubin, N.A., </w:t>
      </w:r>
      <w:r w:rsidRPr="003F0161">
        <w:rPr>
          <w:rFonts w:hint="eastAsia"/>
          <w:sz w:val="15"/>
          <w:szCs w:val="15"/>
        </w:rPr>
        <w:t xml:space="preserve">et al. </w:t>
      </w:r>
      <w:r w:rsidRPr="003F0161">
        <w:rPr>
          <w:sz w:val="15"/>
          <w:szCs w:val="15"/>
        </w:rPr>
        <w:t>Metasurface polarization optics: independent phase control of arbitrary orthogonal states of polarization</w:t>
      </w:r>
      <w:r w:rsidR="00F25493" w:rsidRPr="003F0161">
        <w:rPr>
          <w:rFonts w:hint="eastAsia"/>
          <w:sz w:val="15"/>
          <w:szCs w:val="15"/>
        </w:rPr>
        <w:t>[J].</w:t>
      </w:r>
      <w:r w:rsidRPr="003F0161">
        <w:rPr>
          <w:sz w:val="15"/>
          <w:szCs w:val="15"/>
        </w:rPr>
        <w:t xml:space="preserve"> Physical review letters,  2017</w:t>
      </w:r>
      <w:r w:rsidRPr="003F0161">
        <w:rPr>
          <w:rFonts w:hint="eastAsia"/>
          <w:sz w:val="15"/>
          <w:szCs w:val="15"/>
        </w:rPr>
        <w:t xml:space="preserve">, </w:t>
      </w:r>
      <w:r w:rsidRPr="003F0161">
        <w:rPr>
          <w:sz w:val="15"/>
          <w:szCs w:val="15"/>
        </w:rPr>
        <w:t>118</w:t>
      </w:r>
      <w:r w:rsidRPr="003F0161">
        <w:rPr>
          <w:rFonts w:hint="eastAsia"/>
          <w:sz w:val="15"/>
          <w:szCs w:val="15"/>
        </w:rPr>
        <w:t>（</w:t>
      </w:r>
      <w:r w:rsidRPr="003F0161">
        <w:rPr>
          <w:sz w:val="15"/>
          <w:szCs w:val="15"/>
        </w:rPr>
        <w:t>11</w:t>
      </w:r>
      <w:r w:rsidRPr="003F0161">
        <w:rPr>
          <w:rFonts w:hint="eastAsia"/>
          <w:sz w:val="15"/>
          <w:szCs w:val="15"/>
        </w:rPr>
        <w:t>）</w:t>
      </w:r>
      <w:r w:rsidR="004F2387">
        <w:rPr>
          <w:sz w:val="15"/>
          <w:szCs w:val="15"/>
        </w:rPr>
        <w:t>:</w:t>
      </w:r>
      <w:r w:rsidRPr="003F0161">
        <w:rPr>
          <w:sz w:val="15"/>
          <w:szCs w:val="15"/>
        </w:rPr>
        <w:t>113901.</w:t>
      </w:r>
    </w:p>
    <w:p w14:paraId="24638EB7" w14:textId="1B7DA739" w:rsidR="00F17155" w:rsidRPr="003F0161" w:rsidRDefault="00844BEE">
      <w:pPr>
        <w:numPr>
          <w:ilvl w:val="0"/>
          <w:numId w:val="1"/>
        </w:numPr>
        <w:spacing w:line="240" w:lineRule="auto"/>
        <w:ind w:left="658" w:firstLineChars="0"/>
        <w:rPr>
          <w:sz w:val="15"/>
          <w:szCs w:val="15"/>
        </w:rPr>
      </w:pPr>
      <w:r w:rsidRPr="003F0161">
        <w:rPr>
          <w:sz w:val="15"/>
          <w:szCs w:val="15"/>
        </w:rPr>
        <w:t>Almeida, E., Shalem, G. and Prior, Y.,</w:t>
      </w:r>
      <w:r w:rsidRPr="003F0161">
        <w:rPr>
          <w:rFonts w:hint="eastAsia"/>
          <w:sz w:val="15"/>
          <w:szCs w:val="15"/>
        </w:rPr>
        <w:t xml:space="preserve"> </w:t>
      </w:r>
      <w:r w:rsidRPr="003F0161">
        <w:rPr>
          <w:sz w:val="15"/>
          <w:szCs w:val="15"/>
        </w:rPr>
        <w:t>Subwavelength nonlinear phase control and anomalous phase matching in plasmonic metasurfaces</w:t>
      </w:r>
      <w:r w:rsidR="00F25493" w:rsidRPr="003F0161">
        <w:rPr>
          <w:rFonts w:hint="eastAsia"/>
          <w:sz w:val="15"/>
          <w:szCs w:val="15"/>
        </w:rPr>
        <w:t>[J].</w:t>
      </w:r>
      <w:r w:rsidRPr="003F0161">
        <w:rPr>
          <w:sz w:val="15"/>
          <w:szCs w:val="15"/>
        </w:rPr>
        <w:t xml:space="preserve"> Nature communications,  2016</w:t>
      </w:r>
      <w:r w:rsidRPr="003F0161">
        <w:rPr>
          <w:rFonts w:hint="eastAsia"/>
          <w:sz w:val="15"/>
          <w:szCs w:val="15"/>
        </w:rPr>
        <w:t xml:space="preserve">, </w:t>
      </w:r>
      <w:r w:rsidRPr="003F0161">
        <w:rPr>
          <w:sz w:val="15"/>
          <w:szCs w:val="15"/>
        </w:rPr>
        <w:t>7</w:t>
      </w:r>
      <w:r w:rsidRPr="003F0161">
        <w:rPr>
          <w:rFonts w:hint="eastAsia"/>
          <w:sz w:val="15"/>
          <w:szCs w:val="15"/>
        </w:rPr>
        <w:t>（</w:t>
      </w:r>
      <w:r w:rsidRPr="003F0161">
        <w:rPr>
          <w:sz w:val="15"/>
          <w:szCs w:val="15"/>
        </w:rPr>
        <w:t>1</w:t>
      </w:r>
      <w:r w:rsidRPr="003F0161">
        <w:rPr>
          <w:rFonts w:hint="eastAsia"/>
          <w:sz w:val="15"/>
          <w:szCs w:val="15"/>
        </w:rPr>
        <w:t>）</w:t>
      </w:r>
      <w:r w:rsidR="004F2387">
        <w:rPr>
          <w:sz w:val="15"/>
          <w:szCs w:val="15"/>
        </w:rPr>
        <w:t>:</w:t>
      </w:r>
      <w:r w:rsidRPr="003F0161">
        <w:rPr>
          <w:sz w:val="15"/>
          <w:szCs w:val="15"/>
        </w:rPr>
        <w:t>10367.</w:t>
      </w:r>
      <w:commentRangeEnd w:id="12"/>
      <w:r w:rsidR="00F25493">
        <w:rPr>
          <w:rStyle w:val="a8"/>
        </w:rPr>
        <w:commentReference w:id="12"/>
      </w:r>
    </w:p>
    <w:p w14:paraId="1A66CA44" w14:textId="55A5E883" w:rsidR="00F17155" w:rsidRPr="003F0161" w:rsidRDefault="00844BEE">
      <w:pPr>
        <w:numPr>
          <w:ilvl w:val="0"/>
          <w:numId w:val="1"/>
        </w:numPr>
        <w:spacing w:line="240" w:lineRule="auto"/>
        <w:ind w:left="658" w:firstLineChars="0"/>
        <w:rPr>
          <w:sz w:val="15"/>
          <w:szCs w:val="15"/>
        </w:rPr>
      </w:pPr>
      <w:r w:rsidRPr="003F0161">
        <w:rPr>
          <w:sz w:val="15"/>
          <w:szCs w:val="15"/>
        </w:rPr>
        <w:t>Lee, G.Y., Yoon, G., Lee, S.Y.,</w:t>
      </w:r>
      <w:r w:rsidRPr="003F0161">
        <w:rPr>
          <w:rFonts w:hint="eastAsia"/>
          <w:sz w:val="15"/>
          <w:szCs w:val="15"/>
        </w:rPr>
        <w:t>et al.</w:t>
      </w:r>
      <w:r w:rsidRPr="003F0161">
        <w:rPr>
          <w:sz w:val="15"/>
          <w:szCs w:val="15"/>
        </w:rPr>
        <w:t>Complete amplitude and phase control of light using broadband holographic metasurfaces</w:t>
      </w:r>
      <w:r w:rsidR="00F25493" w:rsidRPr="003F0161">
        <w:rPr>
          <w:rFonts w:hint="eastAsia"/>
          <w:sz w:val="15"/>
          <w:szCs w:val="15"/>
        </w:rPr>
        <w:t>[J].</w:t>
      </w:r>
      <w:r w:rsidRPr="003F0161">
        <w:rPr>
          <w:sz w:val="15"/>
          <w:szCs w:val="15"/>
        </w:rPr>
        <w:t xml:space="preserve"> Nanoscale, 2018</w:t>
      </w:r>
      <w:r w:rsidRPr="003F0161">
        <w:rPr>
          <w:rFonts w:hint="eastAsia"/>
          <w:sz w:val="15"/>
          <w:szCs w:val="15"/>
        </w:rPr>
        <w:t>,</w:t>
      </w:r>
      <w:r w:rsidRPr="003F0161">
        <w:rPr>
          <w:sz w:val="15"/>
          <w:szCs w:val="15"/>
        </w:rPr>
        <w:t>10</w:t>
      </w:r>
      <w:r w:rsidRPr="003F0161">
        <w:rPr>
          <w:rFonts w:hint="eastAsia"/>
          <w:sz w:val="15"/>
          <w:szCs w:val="15"/>
        </w:rPr>
        <w:t>（</w:t>
      </w:r>
      <w:r w:rsidRPr="003F0161">
        <w:rPr>
          <w:sz w:val="15"/>
          <w:szCs w:val="15"/>
        </w:rPr>
        <w:t>9</w:t>
      </w:r>
      <w:r w:rsidRPr="003F0161">
        <w:rPr>
          <w:rFonts w:hint="eastAsia"/>
          <w:sz w:val="15"/>
          <w:szCs w:val="15"/>
        </w:rPr>
        <w:t>）</w:t>
      </w:r>
      <w:r w:rsidR="004F2387">
        <w:rPr>
          <w:sz w:val="15"/>
          <w:szCs w:val="15"/>
        </w:rPr>
        <w:t>:</w:t>
      </w:r>
      <w:r w:rsidRPr="003F0161">
        <w:rPr>
          <w:sz w:val="15"/>
          <w:szCs w:val="15"/>
        </w:rPr>
        <w:t>4237-4245.</w:t>
      </w:r>
    </w:p>
    <w:p w14:paraId="746A46A0" w14:textId="32189FEF" w:rsidR="00F17155" w:rsidRPr="003F0161" w:rsidRDefault="00844BEE">
      <w:pPr>
        <w:numPr>
          <w:ilvl w:val="0"/>
          <w:numId w:val="1"/>
        </w:numPr>
        <w:spacing w:line="240" w:lineRule="auto"/>
        <w:ind w:left="658" w:firstLineChars="0"/>
        <w:rPr>
          <w:sz w:val="15"/>
          <w:szCs w:val="15"/>
        </w:rPr>
      </w:pPr>
      <w:bookmarkStart w:id="14" w:name="_Ref979"/>
      <w:r w:rsidRPr="003F0161">
        <w:rPr>
          <w:rFonts w:hint="eastAsia"/>
          <w:sz w:val="15"/>
          <w:szCs w:val="15"/>
        </w:rPr>
        <w:t>Tognazzi, A., Okhlopkov, K.I., Zilli, A., et al. Third-harmonic light polarization control in magnetically resonant silicon metasurfaces</w:t>
      </w:r>
      <w:r w:rsidR="00F25493" w:rsidRPr="003F0161">
        <w:rPr>
          <w:rFonts w:hint="eastAsia"/>
          <w:sz w:val="15"/>
          <w:szCs w:val="15"/>
        </w:rPr>
        <w:t>[J].</w:t>
      </w:r>
      <w:r w:rsidRPr="003F0161">
        <w:rPr>
          <w:rFonts w:hint="eastAsia"/>
          <w:sz w:val="15"/>
          <w:szCs w:val="15"/>
        </w:rPr>
        <w:t xml:space="preserve"> Optics Express,2021,29</w:t>
      </w:r>
      <w:r w:rsidRPr="003F0161">
        <w:rPr>
          <w:rFonts w:hint="eastAsia"/>
          <w:sz w:val="15"/>
          <w:szCs w:val="15"/>
        </w:rPr>
        <w:t>（</w:t>
      </w:r>
      <w:r w:rsidRPr="003F0161">
        <w:rPr>
          <w:rFonts w:hint="eastAsia"/>
          <w:sz w:val="15"/>
          <w:szCs w:val="15"/>
        </w:rPr>
        <w:t>8</w:t>
      </w:r>
      <w:r w:rsidRPr="003F0161">
        <w:rPr>
          <w:rFonts w:hint="eastAsia"/>
          <w:sz w:val="15"/>
          <w:szCs w:val="15"/>
        </w:rPr>
        <w:t>）</w:t>
      </w:r>
      <w:r w:rsidR="004F2387">
        <w:rPr>
          <w:sz w:val="15"/>
          <w:szCs w:val="15"/>
        </w:rPr>
        <w:t>:</w:t>
      </w:r>
      <w:r w:rsidRPr="003F0161">
        <w:rPr>
          <w:rFonts w:hint="eastAsia"/>
          <w:sz w:val="15"/>
          <w:szCs w:val="15"/>
        </w:rPr>
        <w:t>11605-11612.</w:t>
      </w:r>
      <w:bookmarkEnd w:id="14"/>
    </w:p>
    <w:p w14:paraId="2C24639C" w14:textId="4C57600A" w:rsidR="00F17155" w:rsidRPr="003F0161" w:rsidRDefault="00844BEE">
      <w:pPr>
        <w:numPr>
          <w:ilvl w:val="0"/>
          <w:numId w:val="1"/>
        </w:numPr>
        <w:spacing w:line="240" w:lineRule="auto"/>
        <w:ind w:left="658" w:firstLineChars="0"/>
        <w:rPr>
          <w:sz w:val="15"/>
          <w:szCs w:val="15"/>
        </w:rPr>
      </w:pPr>
      <w:commentRangeStart w:id="15"/>
      <w:r w:rsidRPr="003F0161">
        <w:rPr>
          <w:rFonts w:hint="eastAsia"/>
          <w:sz w:val="15"/>
          <w:szCs w:val="15"/>
        </w:rPr>
        <w:t>Wu, T., Zhang, X., Xu, Q.,et al. Dielectric metasurfaces for complete control of phase, amplitude, and polarization</w:t>
      </w:r>
      <w:r w:rsidR="00E638BC" w:rsidRPr="003F0161">
        <w:rPr>
          <w:rFonts w:hint="eastAsia"/>
          <w:sz w:val="15"/>
          <w:szCs w:val="15"/>
        </w:rPr>
        <w:t>[J].</w:t>
      </w:r>
      <w:r w:rsidRPr="003F0161">
        <w:rPr>
          <w:rFonts w:hint="eastAsia"/>
          <w:sz w:val="15"/>
          <w:szCs w:val="15"/>
        </w:rPr>
        <w:t xml:space="preserve"> Advanced Optical Materials,2022,10</w:t>
      </w:r>
      <w:r w:rsidRPr="003F0161">
        <w:rPr>
          <w:rFonts w:hint="eastAsia"/>
          <w:sz w:val="15"/>
          <w:szCs w:val="15"/>
        </w:rPr>
        <w:t>（</w:t>
      </w:r>
      <w:r w:rsidRPr="003F0161">
        <w:rPr>
          <w:rFonts w:hint="eastAsia"/>
          <w:sz w:val="15"/>
          <w:szCs w:val="15"/>
        </w:rPr>
        <w:t>1</w:t>
      </w:r>
      <w:r w:rsidRPr="003F0161">
        <w:rPr>
          <w:rFonts w:hint="eastAsia"/>
          <w:sz w:val="15"/>
          <w:szCs w:val="15"/>
        </w:rPr>
        <w:t>）</w:t>
      </w:r>
      <w:r w:rsidR="004F2387">
        <w:rPr>
          <w:sz w:val="15"/>
          <w:szCs w:val="15"/>
        </w:rPr>
        <w:t>:</w:t>
      </w:r>
      <w:r w:rsidRPr="003F0161">
        <w:rPr>
          <w:rFonts w:hint="eastAsia"/>
          <w:sz w:val="15"/>
          <w:szCs w:val="15"/>
        </w:rPr>
        <w:t>2101223.</w:t>
      </w:r>
    </w:p>
    <w:p w14:paraId="0B0E1857" w14:textId="240E1CBC" w:rsidR="00F17155" w:rsidRPr="003F0161" w:rsidRDefault="00844BEE">
      <w:pPr>
        <w:numPr>
          <w:ilvl w:val="0"/>
          <w:numId w:val="1"/>
        </w:numPr>
        <w:spacing w:line="240" w:lineRule="auto"/>
        <w:ind w:left="658" w:firstLineChars="0"/>
        <w:rPr>
          <w:sz w:val="15"/>
          <w:szCs w:val="15"/>
        </w:rPr>
      </w:pPr>
      <w:r w:rsidRPr="003F0161">
        <w:rPr>
          <w:rFonts w:hint="eastAsia"/>
          <w:sz w:val="15"/>
          <w:szCs w:val="15"/>
        </w:rPr>
        <w:t>Ding, F., Tang, S. and Bozhevolnyi, S.I.. Recent advances in polarization</w:t>
      </w:r>
      <w:r w:rsidRPr="003F0161">
        <w:rPr>
          <w:rFonts w:hint="eastAsia"/>
          <w:sz w:val="15"/>
          <w:szCs w:val="15"/>
        </w:rPr>
        <w:t>‐</w:t>
      </w:r>
      <w:r w:rsidRPr="003F0161">
        <w:rPr>
          <w:rFonts w:hint="eastAsia"/>
          <w:sz w:val="15"/>
          <w:szCs w:val="15"/>
        </w:rPr>
        <w:t>encoded optical metasurfaces</w:t>
      </w:r>
      <w:r w:rsidR="00E638BC" w:rsidRPr="003F0161">
        <w:rPr>
          <w:rFonts w:hint="eastAsia"/>
          <w:sz w:val="15"/>
          <w:szCs w:val="15"/>
        </w:rPr>
        <w:t>[J].</w:t>
      </w:r>
      <w:r w:rsidRPr="003F0161">
        <w:rPr>
          <w:rFonts w:hint="eastAsia"/>
          <w:sz w:val="15"/>
          <w:szCs w:val="15"/>
        </w:rPr>
        <w:t xml:space="preserve"> Advanced Photonics Research, ,2021, 2</w:t>
      </w:r>
      <w:r w:rsidRPr="003F0161">
        <w:rPr>
          <w:rFonts w:hint="eastAsia"/>
          <w:sz w:val="15"/>
          <w:szCs w:val="15"/>
        </w:rPr>
        <w:t>（</w:t>
      </w:r>
      <w:r w:rsidRPr="003F0161">
        <w:rPr>
          <w:rFonts w:hint="eastAsia"/>
          <w:sz w:val="15"/>
          <w:szCs w:val="15"/>
        </w:rPr>
        <w:t>6</w:t>
      </w:r>
      <w:r w:rsidRPr="003F0161">
        <w:rPr>
          <w:rFonts w:hint="eastAsia"/>
          <w:sz w:val="15"/>
          <w:szCs w:val="15"/>
        </w:rPr>
        <w:t>）</w:t>
      </w:r>
      <w:r w:rsidR="004F2387">
        <w:rPr>
          <w:sz w:val="15"/>
          <w:szCs w:val="15"/>
        </w:rPr>
        <w:t>:</w:t>
      </w:r>
      <w:r w:rsidRPr="003F0161">
        <w:rPr>
          <w:rFonts w:hint="eastAsia"/>
          <w:sz w:val="15"/>
          <w:szCs w:val="15"/>
        </w:rPr>
        <w:t>2000173.</w:t>
      </w:r>
      <w:commentRangeEnd w:id="15"/>
      <w:r w:rsidR="00E638BC">
        <w:rPr>
          <w:rStyle w:val="a8"/>
        </w:rPr>
        <w:commentReference w:id="15"/>
      </w:r>
    </w:p>
    <w:p w14:paraId="36C86BB7" w14:textId="260C50D2" w:rsidR="00F17155" w:rsidRPr="003F0161" w:rsidRDefault="00844BEE">
      <w:pPr>
        <w:numPr>
          <w:ilvl w:val="0"/>
          <w:numId w:val="1"/>
        </w:numPr>
        <w:spacing w:line="240" w:lineRule="auto"/>
        <w:ind w:left="658" w:firstLineChars="0"/>
        <w:rPr>
          <w:sz w:val="15"/>
          <w:szCs w:val="15"/>
        </w:rPr>
      </w:pPr>
      <w:bookmarkStart w:id="16" w:name="_Ref1808"/>
      <w:r w:rsidRPr="003F0161">
        <w:rPr>
          <w:rFonts w:hint="eastAsia"/>
          <w:sz w:val="15"/>
          <w:szCs w:val="15"/>
        </w:rPr>
        <w:t>Liu, W.E., Chen, Z.N., Qing, X.,et al. Miniaturized wideband metasurface antennas</w:t>
      </w:r>
      <w:r w:rsidR="00F25493" w:rsidRPr="003F0161">
        <w:rPr>
          <w:rFonts w:hint="eastAsia"/>
          <w:sz w:val="15"/>
          <w:szCs w:val="15"/>
        </w:rPr>
        <w:t>[J].</w:t>
      </w:r>
      <w:r w:rsidRPr="003F0161">
        <w:rPr>
          <w:rFonts w:hint="eastAsia"/>
          <w:sz w:val="15"/>
          <w:szCs w:val="15"/>
        </w:rPr>
        <w:t xml:space="preserve"> IEEE Transactions on Antennas and Propagation, 2017, 65</w:t>
      </w:r>
      <w:r w:rsidRPr="003F0161">
        <w:rPr>
          <w:rFonts w:hint="eastAsia"/>
          <w:sz w:val="15"/>
          <w:szCs w:val="15"/>
        </w:rPr>
        <w:t>（</w:t>
      </w:r>
      <w:r w:rsidRPr="003F0161">
        <w:rPr>
          <w:rFonts w:hint="eastAsia"/>
          <w:sz w:val="15"/>
          <w:szCs w:val="15"/>
        </w:rPr>
        <w:t>12</w:t>
      </w:r>
      <w:r w:rsidRPr="003F0161">
        <w:rPr>
          <w:rFonts w:hint="eastAsia"/>
          <w:sz w:val="15"/>
          <w:szCs w:val="15"/>
        </w:rPr>
        <w:t>）</w:t>
      </w:r>
      <w:r w:rsidR="00F25493">
        <w:rPr>
          <w:sz w:val="15"/>
          <w:szCs w:val="15"/>
        </w:rPr>
        <w:t>:</w:t>
      </w:r>
      <w:r w:rsidRPr="003F0161">
        <w:rPr>
          <w:rFonts w:hint="eastAsia"/>
          <w:sz w:val="15"/>
          <w:szCs w:val="15"/>
        </w:rPr>
        <w:t>7345-7349.</w:t>
      </w:r>
      <w:bookmarkEnd w:id="16"/>
    </w:p>
    <w:p w14:paraId="41D92877" w14:textId="5CCBEC93" w:rsidR="00F17155" w:rsidRPr="003F0161" w:rsidRDefault="00844BEE">
      <w:pPr>
        <w:numPr>
          <w:ilvl w:val="0"/>
          <w:numId w:val="1"/>
        </w:numPr>
        <w:spacing w:line="240" w:lineRule="auto"/>
        <w:ind w:left="658" w:firstLineChars="0"/>
        <w:rPr>
          <w:sz w:val="15"/>
          <w:szCs w:val="15"/>
        </w:rPr>
      </w:pPr>
      <w:r w:rsidRPr="003F0161">
        <w:rPr>
          <w:rFonts w:hint="eastAsia"/>
          <w:sz w:val="15"/>
          <w:szCs w:val="15"/>
        </w:rPr>
        <w:t>Li, Y. and **ao, S..Wideband wide-angle scanning phased array based on miniaturized metasurface antenna</w:t>
      </w:r>
      <w:r w:rsidR="00F25493" w:rsidRPr="003F0161">
        <w:rPr>
          <w:rFonts w:hint="eastAsia"/>
          <w:sz w:val="15"/>
          <w:szCs w:val="15"/>
        </w:rPr>
        <w:t>[J].</w:t>
      </w:r>
      <w:r w:rsidRPr="003F0161">
        <w:rPr>
          <w:rFonts w:hint="eastAsia"/>
          <w:sz w:val="15"/>
          <w:szCs w:val="15"/>
        </w:rPr>
        <w:t xml:space="preserve"> IEEE Transactions on Antennas and Propagation, 2021, 70</w:t>
      </w:r>
      <w:r w:rsidRPr="003F0161">
        <w:rPr>
          <w:rFonts w:hint="eastAsia"/>
          <w:sz w:val="15"/>
          <w:szCs w:val="15"/>
        </w:rPr>
        <w:t>（</w:t>
      </w:r>
      <w:r w:rsidRPr="003F0161">
        <w:rPr>
          <w:rFonts w:hint="eastAsia"/>
          <w:sz w:val="15"/>
          <w:szCs w:val="15"/>
        </w:rPr>
        <w:t>2</w:t>
      </w:r>
      <w:r w:rsidRPr="003F0161">
        <w:rPr>
          <w:rFonts w:hint="eastAsia"/>
          <w:sz w:val="15"/>
          <w:szCs w:val="15"/>
        </w:rPr>
        <w:t>）</w:t>
      </w:r>
      <w:r w:rsidR="00F25493">
        <w:rPr>
          <w:sz w:val="15"/>
          <w:szCs w:val="15"/>
        </w:rPr>
        <w:t>:</w:t>
      </w:r>
      <w:r w:rsidRPr="003F0161">
        <w:rPr>
          <w:rFonts w:hint="eastAsia"/>
          <w:sz w:val="15"/>
          <w:szCs w:val="15"/>
        </w:rPr>
        <w:t>1107-1119.</w:t>
      </w:r>
    </w:p>
    <w:p w14:paraId="42F24708" w14:textId="1FBBB18E" w:rsidR="00F17155" w:rsidRPr="003F0161" w:rsidRDefault="00844BEE">
      <w:pPr>
        <w:numPr>
          <w:ilvl w:val="0"/>
          <w:numId w:val="1"/>
        </w:numPr>
        <w:spacing w:line="240" w:lineRule="auto"/>
        <w:ind w:left="658" w:firstLineChars="0"/>
        <w:rPr>
          <w:sz w:val="15"/>
          <w:szCs w:val="15"/>
        </w:rPr>
      </w:pPr>
      <w:r w:rsidRPr="003F0161">
        <w:rPr>
          <w:rFonts w:hint="eastAsia"/>
          <w:sz w:val="15"/>
          <w:szCs w:val="15"/>
        </w:rPr>
        <w:t>Wang, H.B., Cheng, Y.J. and Chen, Z.N., Dual-band miniaturized linear-to-circular metasurface polarization converter with wideband and wide-angle axial ratio. IEEE Transactions on Antennas and Propagation, 2021, 69</w:t>
      </w:r>
      <w:r w:rsidRPr="003F0161">
        <w:rPr>
          <w:rFonts w:hint="eastAsia"/>
          <w:sz w:val="15"/>
          <w:szCs w:val="15"/>
        </w:rPr>
        <w:t>（</w:t>
      </w:r>
      <w:r w:rsidRPr="003F0161">
        <w:rPr>
          <w:rFonts w:hint="eastAsia"/>
          <w:sz w:val="15"/>
          <w:szCs w:val="15"/>
        </w:rPr>
        <w:t>12</w:t>
      </w:r>
      <w:r w:rsidRPr="003F0161">
        <w:rPr>
          <w:rFonts w:hint="eastAsia"/>
          <w:sz w:val="15"/>
          <w:szCs w:val="15"/>
        </w:rPr>
        <w:t>）</w:t>
      </w:r>
      <w:r w:rsidR="00F25493">
        <w:rPr>
          <w:sz w:val="15"/>
          <w:szCs w:val="15"/>
        </w:rPr>
        <w:t>:</w:t>
      </w:r>
      <w:r w:rsidRPr="003F0161">
        <w:rPr>
          <w:rFonts w:hint="eastAsia"/>
          <w:sz w:val="15"/>
          <w:szCs w:val="15"/>
        </w:rPr>
        <w:t>9021-9025.</w:t>
      </w:r>
    </w:p>
    <w:p w14:paraId="639BC3AA" w14:textId="6AEEC150" w:rsidR="00F17155" w:rsidRPr="003F0161" w:rsidRDefault="00844BEE">
      <w:pPr>
        <w:numPr>
          <w:ilvl w:val="0"/>
          <w:numId w:val="1"/>
        </w:numPr>
        <w:spacing w:line="240" w:lineRule="auto"/>
        <w:ind w:left="658" w:firstLineChars="0"/>
        <w:rPr>
          <w:sz w:val="15"/>
          <w:szCs w:val="15"/>
        </w:rPr>
      </w:pPr>
      <w:bookmarkStart w:id="17" w:name="_Ref2403"/>
      <w:r w:rsidRPr="003F0161">
        <w:rPr>
          <w:rFonts w:hint="eastAsia"/>
          <w:sz w:val="15"/>
          <w:szCs w:val="15"/>
        </w:rPr>
        <w:t>Ma, Q., Hong, Q.R., Gao, X.,et al. Highly integrated programmable metasurface for multifunctions in reflections and transmissions</w:t>
      </w:r>
      <w:r w:rsidR="00F25493" w:rsidRPr="003F0161">
        <w:rPr>
          <w:rFonts w:hint="eastAsia"/>
          <w:sz w:val="15"/>
          <w:szCs w:val="15"/>
        </w:rPr>
        <w:t>[J].</w:t>
      </w:r>
      <w:r w:rsidRPr="003F0161">
        <w:rPr>
          <w:rFonts w:hint="eastAsia"/>
          <w:sz w:val="15"/>
          <w:szCs w:val="15"/>
        </w:rPr>
        <w:t xml:space="preserve"> APL Materials, 2022,10</w:t>
      </w:r>
      <w:r w:rsidRPr="003F0161">
        <w:rPr>
          <w:rFonts w:hint="eastAsia"/>
          <w:sz w:val="15"/>
          <w:szCs w:val="15"/>
        </w:rPr>
        <w:t>（</w:t>
      </w:r>
      <w:r w:rsidRPr="003F0161">
        <w:rPr>
          <w:rFonts w:hint="eastAsia"/>
          <w:sz w:val="15"/>
          <w:szCs w:val="15"/>
        </w:rPr>
        <w:t>6</w:t>
      </w:r>
      <w:r w:rsidRPr="003F0161">
        <w:rPr>
          <w:rFonts w:hint="eastAsia"/>
          <w:sz w:val="15"/>
          <w:szCs w:val="15"/>
        </w:rPr>
        <w:t>）</w:t>
      </w:r>
      <w:r w:rsidRPr="003F0161">
        <w:rPr>
          <w:rFonts w:hint="eastAsia"/>
          <w:sz w:val="15"/>
          <w:szCs w:val="15"/>
        </w:rPr>
        <w:t>.</w:t>
      </w:r>
      <w:bookmarkEnd w:id="17"/>
      <w:r w:rsidR="00E638BC">
        <w:rPr>
          <w:rStyle w:val="a8"/>
        </w:rPr>
        <w:commentReference w:id="18"/>
      </w:r>
    </w:p>
    <w:p w14:paraId="69AE2EB7" w14:textId="37B5C98D" w:rsidR="00F17155" w:rsidRPr="003F0161" w:rsidRDefault="00844BEE">
      <w:pPr>
        <w:numPr>
          <w:ilvl w:val="0"/>
          <w:numId w:val="1"/>
        </w:numPr>
        <w:spacing w:line="240" w:lineRule="auto"/>
        <w:ind w:left="658" w:firstLineChars="0"/>
        <w:rPr>
          <w:sz w:val="15"/>
          <w:szCs w:val="15"/>
        </w:rPr>
      </w:pPr>
      <w:r w:rsidRPr="003F0161">
        <w:rPr>
          <w:rFonts w:hint="eastAsia"/>
          <w:sz w:val="15"/>
          <w:szCs w:val="15"/>
        </w:rPr>
        <w:t xml:space="preserve">Chang, X., Pivnenko, M., Shrestha, P., et al. Electrically tuned active metasurface towards metasurface-integrated liquid crystal on silicon </w:t>
      </w:r>
      <w:r w:rsidRPr="003F0161">
        <w:rPr>
          <w:rFonts w:hint="eastAsia"/>
          <w:sz w:val="15"/>
          <w:szCs w:val="15"/>
        </w:rPr>
        <w:t>（</w:t>
      </w:r>
      <w:r w:rsidRPr="003F0161">
        <w:rPr>
          <w:rFonts w:hint="eastAsia"/>
          <w:sz w:val="15"/>
          <w:szCs w:val="15"/>
        </w:rPr>
        <w:t>meta-LCoS</w:t>
      </w:r>
      <w:r w:rsidRPr="003F0161">
        <w:rPr>
          <w:rFonts w:hint="eastAsia"/>
          <w:sz w:val="15"/>
          <w:szCs w:val="15"/>
        </w:rPr>
        <w:t>）</w:t>
      </w:r>
      <w:r w:rsidRPr="003F0161">
        <w:rPr>
          <w:rFonts w:hint="eastAsia"/>
          <w:sz w:val="15"/>
          <w:szCs w:val="15"/>
        </w:rPr>
        <w:t xml:space="preserve"> devices</w:t>
      </w:r>
      <w:r w:rsidR="00F25493" w:rsidRPr="003F0161">
        <w:rPr>
          <w:rFonts w:hint="eastAsia"/>
          <w:sz w:val="15"/>
          <w:szCs w:val="15"/>
        </w:rPr>
        <w:t>[J].</w:t>
      </w:r>
      <w:r w:rsidRPr="003F0161">
        <w:rPr>
          <w:rFonts w:hint="eastAsia"/>
          <w:sz w:val="15"/>
          <w:szCs w:val="15"/>
        </w:rPr>
        <w:t xml:space="preserve"> Optics Express, 2023, 31</w:t>
      </w:r>
      <w:r w:rsidRPr="003F0161">
        <w:rPr>
          <w:rFonts w:hint="eastAsia"/>
          <w:sz w:val="15"/>
          <w:szCs w:val="15"/>
        </w:rPr>
        <w:t>（</w:t>
      </w:r>
      <w:r w:rsidRPr="003F0161">
        <w:rPr>
          <w:rFonts w:hint="eastAsia"/>
          <w:sz w:val="15"/>
          <w:szCs w:val="15"/>
        </w:rPr>
        <w:t>4</w:t>
      </w:r>
      <w:r w:rsidRPr="003F0161">
        <w:rPr>
          <w:rFonts w:hint="eastAsia"/>
          <w:sz w:val="15"/>
          <w:szCs w:val="15"/>
        </w:rPr>
        <w:t>）</w:t>
      </w:r>
      <w:r w:rsidR="004F2387">
        <w:rPr>
          <w:sz w:val="15"/>
          <w:szCs w:val="15"/>
        </w:rPr>
        <w:t>:</w:t>
      </w:r>
      <w:r w:rsidRPr="003F0161">
        <w:rPr>
          <w:rFonts w:hint="eastAsia"/>
          <w:sz w:val="15"/>
          <w:szCs w:val="15"/>
        </w:rPr>
        <w:t>5378-5387.</w:t>
      </w:r>
    </w:p>
    <w:p w14:paraId="5A431A24" w14:textId="12AFD142" w:rsidR="00F17155" w:rsidRPr="003F0161" w:rsidRDefault="00844BEE">
      <w:pPr>
        <w:numPr>
          <w:ilvl w:val="0"/>
          <w:numId w:val="1"/>
        </w:numPr>
        <w:spacing w:line="240" w:lineRule="auto"/>
        <w:ind w:left="658" w:firstLineChars="0"/>
        <w:rPr>
          <w:sz w:val="15"/>
          <w:szCs w:val="15"/>
        </w:rPr>
      </w:pPr>
      <w:bookmarkStart w:id="19" w:name="_Ref2634"/>
      <w:r w:rsidRPr="003F0161">
        <w:rPr>
          <w:rFonts w:hint="eastAsia"/>
          <w:sz w:val="15"/>
          <w:szCs w:val="15"/>
        </w:rPr>
        <w:t>Ma, Q., Liu, C., Gu, Z.,et al. Information metasurfaces and intelligent metasurfaces</w:t>
      </w:r>
      <w:r w:rsidR="00F25493" w:rsidRPr="003F0161">
        <w:rPr>
          <w:rFonts w:hint="eastAsia"/>
          <w:sz w:val="15"/>
          <w:szCs w:val="15"/>
        </w:rPr>
        <w:t>[J].</w:t>
      </w:r>
      <w:r w:rsidRPr="003F0161">
        <w:rPr>
          <w:rFonts w:hint="eastAsia"/>
          <w:sz w:val="15"/>
          <w:szCs w:val="15"/>
        </w:rPr>
        <w:t xml:space="preserve"> Photonics Insights,2022, 1</w:t>
      </w:r>
      <w:r w:rsidRPr="003F0161">
        <w:rPr>
          <w:rFonts w:hint="eastAsia"/>
          <w:sz w:val="15"/>
          <w:szCs w:val="15"/>
        </w:rPr>
        <w:t>（</w:t>
      </w:r>
      <w:r w:rsidRPr="003F0161">
        <w:rPr>
          <w:rFonts w:hint="eastAsia"/>
          <w:sz w:val="15"/>
          <w:szCs w:val="15"/>
        </w:rPr>
        <w:t>1</w:t>
      </w:r>
      <w:r w:rsidRPr="003F0161">
        <w:rPr>
          <w:rFonts w:hint="eastAsia"/>
          <w:sz w:val="15"/>
          <w:szCs w:val="15"/>
        </w:rPr>
        <w:t>）</w:t>
      </w:r>
      <w:r w:rsidRPr="003F0161">
        <w:rPr>
          <w:rFonts w:hint="eastAsia"/>
          <w:sz w:val="15"/>
          <w:szCs w:val="15"/>
        </w:rPr>
        <w:t xml:space="preserve">, </w:t>
      </w:r>
      <w:r w:rsidR="004F2387">
        <w:rPr>
          <w:sz w:val="15"/>
          <w:szCs w:val="15"/>
        </w:rPr>
        <w:t>:</w:t>
      </w:r>
      <w:r w:rsidRPr="003F0161">
        <w:rPr>
          <w:rFonts w:hint="eastAsia"/>
          <w:sz w:val="15"/>
          <w:szCs w:val="15"/>
        </w:rPr>
        <w:t>R01-R01.</w:t>
      </w:r>
      <w:bookmarkEnd w:id="19"/>
    </w:p>
    <w:p w14:paraId="5B4EB3FD" w14:textId="2897AE40" w:rsidR="00F17155" w:rsidRPr="003F0161" w:rsidRDefault="00844BEE">
      <w:pPr>
        <w:numPr>
          <w:ilvl w:val="0"/>
          <w:numId w:val="1"/>
        </w:numPr>
        <w:spacing w:line="240" w:lineRule="auto"/>
        <w:ind w:left="658" w:firstLineChars="0"/>
        <w:rPr>
          <w:sz w:val="15"/>
          <w:szCs w:val="15"/>
        </w:rPr>
      </w:pPr>
      <w:r w:rsidRPr="003F0161">
        <w:rPr>
          <w:rFonts w:hint="eastAsia"/>
          <w:sz w:val="15"/>
          <w:szCs w:val="15"/>
        </w:rPr>
        <w:t>Tsilipakos, O., Tasolamprou, A.C., Pitilakis, A.,et al. Toward intelligent metasurfaces: the progress from globally tunable metasurfaces to software</w:t>
      </w:r>
      <w:r w:rsidRPr="003F0161">
        <w:rPr>
          <w:rFonts w:hint="eastAsia"/>
          <w:sz w:val="15"/>
          <w:szCs w:val="15"/>
        </w:rPr>
        <w:t>‐</w:t>
      </w:r>
      <w:r w:rsidRPr="003F0161">
        <w:rPr>
          <w:rFonts w:hint="eastAsia"/>
          <w:sz w:val="15"/>
          <w:szCs w:val="15"/>
        </w:rPr>
        <w:t>defined metasurfaces with an embedded network of controllers. Advanced optical materials, 2020, 8</w:t>
      </w:r>
      <w:r w:rsidRPr="003F0161">
        <w:rPr>
          <w:rFonts w:hint="eastAsia"/>
          <w:sz w:val="15"/>
          <w:szCs w:val="15"/>
        </w:rPr>
        <w:t>（</w:t>
      </w:r>
      <w:r w:rsidRPr="003F0161">
        <w:rPr>
          <w:rFonts w:hint="eastAsia"/>
          <w:sz w:val="15"/>
          <w:szCs w:val="15"/>
        </w:rPr>
        <w:t>17</w:t>
      </w:r>
      <w:r w:rsidRPr="003F0161">
        <w:rPr>
          <w:rFonts w:hint="eastAsia"/>
          <w:sz w:val="15"/>
          <w:szCs w:val="15"/>
        </w:rPr>
        <w:t>）</w:t>
      </w:r>
      <w:r w:rsidR="004F2387">
        <w:rPr>
          <w:sz w:val="15"/>
          <w:szCs w:val="15"/>
        </w:rPr>
        <w:t>:</w:t>
      </w:r>
      <w:commentRangeStart w:id="20"/>
      <w:r w:rsidRPr="003F0161">
        <w:rPr>
          <w:rFonts w:hint="eastAsia"/>
          <w:sz w:val="15"/>
          <w:szCs w:val="15"/>
        </w:rPr>
        <w:t>2000783.</w:t>
      </w:r>
      <w:commentRangeEnd w:id="20"/>
      <w:r w:rsidR="00E638BC">
        <w:rPr>
          <w:rStyle w:val="a8"/>
        </w:rPr>
        <w:commentReference w:id="20"/>
      </w:r>
    </w:p>
    <w:p w14:paraId="755BD3BD" w14:textId="4ECCB283" w:rsidR="00F17155" w:rsidRPr="003F0161" w:rsidRDefault="00844BEE">
      <w:pPr>
        <w:numPr>
          <w:ilvl w:val="0"/>
          <w:numId w:val="1"/>
        </w:numPr>
        <w:spacing w:line="240" w:lineRule="auto"/>
        <w:ind w:left="658" w:firstLineChars="0"/>
        <w:rPr>
          <w:sz w:val="15"/>
          <w:szCs w:val="15"/>
        </w:rPr>
      </w:pPr>
      <w:bookmarkStart w:id="21" w:name="_Ref23957"/>
      <w:r w:rsidRPr="003F0161">
        <w:rPr>
          <w:sz w:val="15"/>
          <w:szCs w:val="15"/>
        </w:rPr>
        <w:t xml:space="preserve">Edfors, O., &amp; Johansson, A. J. Is orbital angular momentum </w:t>
      </w:r>
      <w:r w:rsidRPr="003F0161">
        <w:rPr>
          <w:rFonts w:hint="eastAsia"/>
          <w:sz w:val="15"/>
          <w:szCs w:val="15"/>
        </w:rPr>
        <w:t>（</w:t>
      </w:r>
      <w:r w:rsidRPr="003F0161">
        <w:rPr>
          <w:sz w:val="15"/>
          <w:szCs w:val="15"/>
        </w:rPr>
        <w:t>OAM</w:t>
      </w:r>
      <w:r w:rsidRPr="003F0161">
        <w:rPr>
          <w:rFonts w:hint="eastAsia"/>
          <w:sz w:val="15"/>
          <w:szCs w:val="15"/>
        </w:rPr>
        <w:t>）</w:t>
      </w:r>
      <w:r w:rsidRPr="003F0161">
        <w:rPr>
          <w:sz w:val="15"/>
          <w:szCs w:val="15"/>
        </w:rPr>
        <w:t xml:space="preserve"> based radio communication an unexploited area</w:t>
      </w:r>
      <w:r w:rsidR="00F25493" w:rsidRPr="003F0161">
        <w:rPr>
          <w:rFonts w:hint="eastAsia"/>
          <w:sz w:val="15"/>
          <w:szCs w:val="15"/>
        </w:rPr>
        <w:t>[J].</w:t>
      </w:r>
      <w:r w:rsidRPr="003F0161">
        <w:rPr>
          <w:sz w:val="15"/>
          <w:szCs w:val="15"/>
        </w:rPr>
        <w:t xml:space="preserve"> IEEE Transactions on Antennas and Propagation, 2011</w:t>
      </w:r>
      <w:r w:rsidRPr="003F0161">
        <w:rPr>
          <w:rFonts w:hint="eastAsia"/>
          <w:sz w:val="15"/>
          <w:szCs w:val="15"/>
        </w:rPr>
        <w:t>,</w:t>
      </w:r>
      <w:r w:rsidRPr="003F0161">
        <w:rPr>
          <w:sz w:val="15"/>
          <w:szCs w:val="15"/>
        </w:rPr>
        <w:t>60</w:t>
      </w:r>
      <w:r w:rsidRPr="003F0161">
        <w:rPr>
          <w:rFonts w:hint="eastAsia"/>
          <w:sz w:val="15"/>
          <w:szCs w:val="15"/>
        </w:rPr>
        <w:t>（</w:t>
      </w:r>
      <w:r w:rsidRPr="003F0161">
        <w:rPr>
          <w:sz w:val="15"/>
          <w:szCs w:val="15"/>
        </w:rPr>
        <w:t>2</w:t>
      </w:r>
      <w:r w:rsidRPr="003F0161">
        <w:rPr>
          <w:rFonts w:hint="eastAsia"/>
          <w:sz w:val="15"/>
          <w:szCs w:val="15"/>
        </w:rPr>
        <w:t>）</w:t>
      </w:r>
      <w:r w:rsidR="004F2387">
        <w:rPr>
          <w:sz w:val="15"/>
          <w:szCs w:val="15"/>
        </w:rPr>
        <w:t>:</w:t>
      </w:r>
      <w:r w:rsidRPr="003F0161">
        <w:rPr>
          <w:sz w:val="15"/>
          <w:szCs w:val="15"/>
        </w:rPr>
        <w:t>1126-1131.</w:t>
      </w:r>
      <w:bookmarkEnd w:id="21"/>
    </w:p>
    <w:p w14:paraId="5ED6E9E7" w14:textId="649E16C3" w:rsidR="00F17155" w:rsidRPr="003F0161" w:rsidRDefault="00844BEE">
      <w:pPr>
        <w:numPr>
          <w:ilvl w:val="0"/>
          <w:numId w:val="1"/>
        </w:numPr>
        <w:spacing w:line="240" w:lineRule="auto"/>
        <w:ind w:left="658" w:firstLineChars="0"/>
        <w:rPr>
          <w:sz w:val="15"/>
          <w:szCs w:val="15"/>
        </w:rPr>
      </w:pPr>
      <w:bookmarkStart w:id="22" w:name="_Ref14871"/>
      <w:r w:rsidRPr="003F0161">
        <w:rPr>
          <w:rFonts w:hint="eastAsia"/>
          <w:sz w:val="15"/>
          <w:szCs w:val="15"/>
        </w:rPr>
        <w:t>TURNBULL G A,ROBERTSON D A, SMITH G M, et al. The generation of free-space Laguerre-Gaussian modes at millimetre-wave frequencies by use a spiral phase plate[J].Optics Communications, 1996,127</w:t>
      </w:r>
      <w:r w:rsidRPr="003F0161">
        <w:rPr>
          <w:rFonts w:hint="eastAsia"/>
          <w:sz w:val="15"/>
          <w:szCs w:val="15"/>
        </w:rPr>
        <w:t>（</w:t>
      </w:r>
      <w:r w:rsidRPr="003F0161">
        <w:rPr>
          <w:rFonts w:hint="eastAsia"/>
          <w:sz w:val="15"/>
          <w:szCs w:val="15"/>
        </w:rPr>
        <w:t>4/6</w:t>
      </w:r>
      <w:r w:rsidRPr="003F0161">
        <w:rPr>
          <w:rFonts w:hint="eastAsia"/>
          <w:sz w:val="15"/>
          <w:szCs w:val="15"/>
        </w:rPr>
        <w:t>）</w:t>
      </w:r>
      <w:r w:rsidR="004F2387">
        <w:rPr>
          <w:sz w:val="15"/>
          <w:szCs w:val="15"/>
        </w:rPr>
        <w:t>:</w:t>
      </w:r>
      <w:r w:rsidRPr="003F0161">
        <w:rPr>
          <w:rFonts w:hint="eastAsia"/>
          <w:sz w:val="15"/>
          <w:szCs w:val="15"/>
        </w:rPr>
        <w:t>183-188.</w:t>
      </w:r>
      <w:bookmarkEnd w:id="22"/>
    </w:p>
    <w:p w14:paraId="75D820A6" w14:textId="5D949A0A" w:rsidR="00F17155" w:rsidRPr="003F0161" w:rsidRDefault="00844BEE">
      <w:pPr>
        <w:numPr>
          <w:ilvl w:val="0"/>
          <w:numId w:val="1"/>
        </w:numPr>
        <w:spacing w:line="240" w:lineRule="auto"/>
        <w:ind w:left="658" w:firstLineChars="0"/>
        <w:rPr>
          <w:sz w:val="15"/>
          <w:szCs w:val="15"/>
        </w:rPr>
      </w:pPr>
      <w:bookmarkStart w:id="23" w:name="_Ref15504"/>
      <w:r w:rsidRPr="003F0161">
        <w:rPr>
          <w:rFonts w:hint="eastAsia"/>
          <w:sz w:val="15"/>
          <w:szCs w:val="15"/>
        </w:rPr>
        <w:t>Wang J, Zhang Z, Huang C, et al. Transmission</w:t>
      </w:r>
      <w:r w:rsidRPr="003F0161">
        <w:rPr>
          <w:rFonts w:hint="eastAsia"/>
          <w:sz w:val="15"/>
          <w:szCs w:val="15"/>
        </w:rPr>
        <w:t>–</w:t>
      </w:r>
      <w:r w:rsidRPr="003F0161">
        <w:rPr>
          <w:rFonts w:hint="eastAsia"/>
          <w:sz w:val="15"/>
          <w:szCs w:val="15"/>
        </w:rPr>
        <w:t>reflection</w:t>
      </w:r>
      <w:r w:rsidRPr="003F0161">
        <w:rPr>
          <w:rFonts w:hint="eastAsia"/>
          <w:sz w:val="15"/>
          <w:szCs w:val="15"/>
        </w:rPr>
        <w:t>‐</w:t>
      </w:r>
      <w:r w:rsidRPr="003F0161">
        <w:rPr>
          <w:rFonts w:hint="eastAsia"/>
          <w:sz w:val="15"/>
          <w:szCs w:val="15"/>
        </w:rPr>
        <w:t>integrated quadratic phase metasurface for multifunctional electromagnetic manipulation in full space[J]. Advanced Optical Materials,2022,10</w:t>
      </w:r>
      <w:r w:rsidRPr="003F0161">
        <w:rPr>
          <w:rFonts w:hint="eastAsia"/>
          <w:sz w:val="15"/>
          <w:szCs w:val="15"/>
        </w:rPr>
        <w:t>（</w:t>
      </w:r>
      <w:r w:rsidRPr="003F0161">
        <w:rPr>
          <w:rFonts w:hint="eastAsia"/>
          <w:sz w:val="15"/>
          <w:szCs w:val="15"/>
        </w:rPr>
        <w:t>6</w:t>
      </w:r>
      <w:r w:rsidRPr="003F0161">
        <w:rPr>
          <w:rFonts w:hint="eastAsia"/>
          <w:sz w:val="15"/>
          <w:szCs w:val="15"/>
        </w:rPr>
        <w:t>）</w:t>
      </w:r>
      <w:r w:rsidR="004F2387">
        <w:rPr>
          <w:sz w:val="15"/>
          <w:szCs w:val="15"/>
        </w:rPr>
        <w:t>:</w:t>
      </w:r>
      <w:commentRangeStart w:id="24"/>
      <w:r w:rsidRPr="003F0161">
        <w:rPr>
          <w:rFonts w:hint="eastAsia"/>
          <w:sz w:val="15"/>
          <w:szCs w:val="15"/>
        </w:rPr>
        <w:t>2102111</w:t>
      </w:r>
      <w:commentRangeEnd w:id="24"/>
      <w:r w:rsidR="00F25493">
        <w:rPr>
          <w:rStyle w:val="a8"/>
        </w:rPr>
        <w:commentReference w:id="24"/>
      </w:r>
      <w:r w:rsidRPr="003F0161">
        <w:rPr>
          <w:rFonts w:hint="eastAsia"/>
          <w:sz w:val="15"/>
          <w:szCs w:val="15"/>
        </w:rPr>
        <w:t>.</w:t>
      </w:r>
      <w:bookmarkEnd w:id="23"/>
    </w:p>
    <w:p w14:paraId="7F69896C" w14:textId="138883FC" w:rsidR="00F17155" w:rsidRPr="003F0161" w:rsidRDefault="00844BEE">
      <w:pPr>
        <w:numPr>
          <w:ilvl w:val="0"/>
          <w:numId w:val="1"/>
        </w:numPr>
        <w:spacing w:line="240" w:lineRule="auto"/>
        <w:ind w:left="658" w:firstLineChars="0"/>
        <w:rPr>
          <w:sz w:val="15"/>
          <w:szCs w:val="15"/>
        </w:rPr>
      </w:pPr>
      <w:r w:rsidRPr="003F0161">
        <w:rPr>
          <w:rFonts w:hint="eastAsia"/>
          <w:sz w:val="15"/>
          <w:szCs w:val="15"/>
        </w:rPr>
        <w:t>Wang Y, Ge Y, Chen Z, et al. Broadband high-efficiency ultrathin metasurfaces with simultaneous independent control of transmission and reflection amplitudes and phases[J]. IEEE Transactions on Microwave Theory and Techniques,2021, 70</w:t>
      </w:r>
      <w:r w:rsidRPr="003F0161">
        <w:rPr>
          <w:rFonts w:hint="eastAsia"/>
          <w:sz w:val="15"/>
          <w:szCs w:val="15"/>
        </w:rPr>
        <w:t>（</w:t>
      </w:r>
      <w:r w:rsidRPr="003F0161">
        <w:rPr>
          <w:rFonts w:hint="eastAsia"/>
          <w:sz w:val="15"/>
          <w:szCs w:val="15"/>
        </w:rPr>
        <w:t>1</w:t>
      </w:r>
      <w:r w:rsidRPr="003F0161">
        <w:rPr>
          <w:rFonts w:hint="eastAsia"/>
          <w:sz w:val="15"/>
          <w:szCs w:val="15"/>
        </w:rPr>
        <w:t>）</w:t>
      </w:r>
      <w:r w:rsidR="00F25493">
        <w:rPr>
          <w:rFonts w:hint="eastAsia"/>
          <w:sz w:val="15"/>
          <w:szCs w:val="15"/>
        </w:rPr>
        <w:t>:</w:t>
      </w:r>
      <w:r w:rsidRPr="003F0161">
        <w:rPr>
          <w:rFonts w:hint="eastAsia"/>
          <w:sz w:val="15"/>
          <w:szCs w:val="15"/>
        </w:rPr>
        <w:t>254-263.</w:t>
      </w:r>
    </w:p>
    <w:p w14:paraId="0EC9DDA9" w14:textId="268E0B42" w:rsidR="00F17155" w:rsidRPr="003F0161" w:rsidRDefault="00844BEE">
      <w:pPr>
        <w:numPr>
          <w:ilvl w:val="0"/>
          <w:numId w:val="1"/>
        </w:numPr>
        <w:spacing w:line="240" w:lineRule="auto"/>
        <w:ind w:left="658" w:firstLineChars="0"/>
        <w:rPr>
          <w:sz w:val="15"/>
          <w:szCs w:val="15"/>
        </w:rPr>
      </w:pPr>
      <w:r w:rsidRPr="003F0161">
        <w:rPr>
          <w:rFonts w:hint="eastAsia"/>
          <w:sz w:val="15"/>
          <w:szCs w:val="15"/>
        </w:rPr>
        <w:t>Cai T, Wang G M, Fu X L, et al. High-efficiency metasurface with polarization-dependent transmission and reflection properties for both reflectarray and transmitarray[J]. IEEE Transactions on Antennas and Propagation, 2018,66</w:t>
      </w:r>
      <w:r w:rsidRPr="003F0161">
        <w:rPr>
          <w:rFonts w:hint="eastAsia"/>
          <w:sz w:val="15"/>
          <w:szCs w:val="15"/>
        </w:rPr>
        <w:t>（</w:t>
      </w:r>
      <w:r w:rsidRPr="003F0161">
        <w:rPr>
          <w:rFonts w:hint="eastAsia"/>
          <w:sz w:val="15"/>
          <w:szCs w:val="15"/>
        </w:rPr>
        <w:t>6</w:t>
      </w:r>
      <w:r w:rsidRPr="003F0161">
        <w:rPr>
          <w:rFonts w:hint="eastAsia"/>
          <w:sz w:val="15"/>
          <w:szCs w:val="15"/>
        </w:rPr>
        <w:t>）</w:t>
      </w:r>
      <w:r w:rsidR="004F2387">
        <w:rPr>
          <w:sz w:val="15"/>
          <w:szCs w:val="15"/>
        </w:rPr>
        <w:t>:</w:t>
      </w:r>
      <w:r w:rsidRPr="003F0161">
        <w:rPr>
          <w:rFonts w:hint="eastAsia"/>
          <w:sz w:val="15"/>
          <w:szCs w:val="15"/>
        </w:rPr>
        <w:t>3219-3224.</w:t>
      </w:r>
    </w:p>
    <w:p w14:paraId="714965BF" w14:textId="2A5C1886" w:rsidR="00F17155" w:rsidRPr="003F0161" w:rsidRDefault="00844BEE">
      <w:pPr>
        <w:numPr>
          <w:ilvl w:val="0"/>
          <w:numId w:val="1"/>
        </w:numPr>
        <w:spacing w:line="240" w:lineRule="auto"/>
        <w:ind w:left="658" w:firstLineChars="0"/>
        <w:rPr>
          <w:sz w:val="15"/>
          <w:szCs w:val="15"/>
        </w:rPr>
      </w:pPr>
      <w:r w:rsidRPr="003F0161">
        <w:rPr>
          <w:rFonts w:hint="eastAsia"/>
          <w:sz w:val="15"/>
          <w:szCs w:val="15"/>
        </w:rPr>
        <w:t>Liang J C, Cheng Q, Gao Y, et al. An angle-insensitive 3-bit reconfigurable intelligent surface[J]. IEEE Transactions on Antennas and Propagation, 2021,70</w:t>
      </w:r>
      <w:r w:rsidRPr="003F0161">
        <w:rPr>
          <w:rFonts w:hint="eastAsia"/>
          <w:sz w:val="15"/>
          <w:szCs w:val="15"/>
        </w:rPr>
        <w:t>（</w:t>
      </w:r>
      <w:r w:rsidRPr="003F0161">
        <w:rPr>
          <w:rFonts w:hint="eastAsia"/>
          <w:sz w:val="15"/>
          <w:szCs w:val="15"/>
        </w:rPr>
        <w:t>10</w:t>
      </w:r>
      <w:r w:rsidRPr="003F0161">
        <w:rPr>
          <w:rFonts w:hint="eastAsia"/>
          <w:sz w:val="15"/>
          <w:szCs w:val="15"/>
        </w:rPr>
        <w:t>）</w:t>
      </w:r>
      <w:r w:rsidR="004F2387">
        <w:rPr>
          <w:sz w:val="15"/>
          <w:szCs w:val="15"/>
        </w:rPr>
        <w:t>:</w:t>
      </w:r>
      <w:r w:rsidRPr="003F0161">
        <w:rPr>
          <w:rFonts w:hint="eastAsia"/>
          <w:sz w:val="15"/>
          <w:szCs w:val="15"/>
        </w:rPr>
        <w:t>8798-8808.</w:t>
      </w:r>
    </w:p>
    <w:p w14:paraId="27D149EC" w14:textId="4495CDE2" w:rsidR="00F17155" w:rsidRPr="003F0161" w:rsidRDefault="00844BEE">
      <w:pPr>
        <w:numPr>
          <w:ilvl w:val="0"/>
          <w:numId w:val="1"/>
        </w:numPr>
        <w:spacing w:line="240" w:lineRule="auto"/>
        <w:ind w:left="658" w:firstLineChars="0"/>
        <w:rPr>
          <w:sz w:val="15"/>
          <w:szCs w:val="15"/>
        </w:rPr>
      </w:pPr>
      <w:r w:rsidRPr="003F0161">
        <w:rPr>
          <w:rFonts w:hint="eastAsia"/>
          <w:sz w:val="15"/>
          <w:szCs w:val="15"/>
        </w:rPr>
        <w:t>刘永杰</w:t>
      </w:r>
      <w:r w:rsidRPr="003F0161">
        <w:rPr>
          <w:rFonts w:hint="eastAsia"/>
          <w:sz w:val="15"/>
          <w:szCs w:val="15"/>
        </w:rPr>
        <w:t xml:space="preserve">. </w:t>
      </w:r>
      <w:r w:rsidRPr="003F0161">
        <w:rPr>
          <w:rFonts w:hint="eastAsia"/>
          <w:sz w:val="15"/>
          <w:szCs w:val="15"/>
        </w:rPr>
        <w:t>基于电磁超表面的准无衍射波束产生技术及其应用研究</w:t>
      </w:r>
      <w:r w:rsidRPr="003F0161">
        <w:rPr>
          <w:rFonts w:hint="eastAsia"/>
          <w:sz w:val="15"/>
          <w:szCs w:val="15"/>
        </w:rPr>
        <w:t>[D].</w:t>
      </w:r>
      <w:r w:rsidR="00F25493">
        <w:rPr>
          <w:sz w:val="15"/>
          <w:szCs w:val="15"/>
        </w:rPr>
        <w:t xml:space="preserve"> </w:t>
      </w:r>
      <w:r w:rsidR="00F25493">
        <w:rPr>
          <w:rFonts w:hint="eastAsia"/>
          <w:sz w:val="15"/>
          <w:szCs w:val="15"/>
        </w:rPr>
        <w:t>西安</w:t>
      </w:r>
      <w:r w:rsidR="00F25493">
        <w:rPr>
          <w:sz w:val="15"/>
          <w:szCs w:val="15"/>
        </w:rPr>
        <w:t>：</w:t>
      </w:r>
      <w:r w:rsidRPr="003F0161">
        <w:rPr>
          <w:rFonts w:hint="eastAsia"/>
          <w:sz w:val="15"/>
          <w:szCs w:val="15"/>
        </w:rPr>
        <w:t>西安电子科技大学，</w:t>
      </w:r>
      <w:r w:rsidRPr="003F0161">
        <w:rPr>
          <w:rFonts w:hint="eastAsia"/>
          <w:sz w:val="15"/>
          <w:szCs w:val="15"/>
        </w:rPr>
        <w:t>2019.</w:t>
      </w:r>
    </w:p>
    <w:p w14:paraId="230DAE30" w14:textId="7DFF95B0" w:rsidR="00F17155" w:rsidRPr="003F0161" w:rsidRDefault="00844BEE">
      <w:pPr>
        <w:numPr>
          <w:ilvl w:val="0"/>
          <w:numId w:val="1"/>
        </w:numPr>
        <w:spacing w:line="240" w:lineRule="auto"/>
        <w:ind w:left="658" w:firstLineChars="0"/>
        <w:rPr>
          <w:sz w:val="15"/>
          <w:szCs w:val="15"/>
        </w:rPr>
      </w:pPr>
      <w:r w:rsidRPr="003F0161">
        <w:rPr>
          <w:sz w:val="15"/>
          <w:szCs w:val="15"/>
        </w:rPr>
        <w:t>LIU H,XUE H,LIU Y,et al.</w:t>
      </w:r>
      <w:r w:rsidRPr="003F0161">
        <w:rPr>
          <w:rFonts w:hint="eastAsia"/>
          <w:sz w:val="15"/>
          <w:szCs w:val="15"/>
        </w:rPr>
        <w:t xml:space="preserve"> </w:t>
      </w:r>
      <w:r w:rsidRPr="003F0161">
        <w:rPr>
          <w:sz w:val="15"/>
          <w:szCs w:val="15"/>
        </w:rPr>
        <w:t>Generation of high-order Bessel orbital angular momentum vortex beam using a single-layer reflective metasurface[J]. IEEE Access,</w:t>
      </w:r>
      <w:r w:rsidRPr="003F0161">
        <w:rPr>
          <w:rFonts w:hint="eastAsia"/>
          <w:sz w:val="15"/>
          <w:szCs w:val="15"/>
        </w:rPr>
        <w:t xml:space="preserve"> </w:t>
      </w:r>
      <w:r w:rsidRPr="003F0161">
        <w:rPr>
          <w:sz w:val="15"/>
          <w:szCs w:val="15"/>
        </w:rPr>
        <w:t>2020,8</w:t>
      </w:r>
      <w:r w:rsidR="004F2387">
        <w:rPr>
          <w:sz w:val="15"/>
          <w:szCs w:val="15"/>
        </w:rPr>
        <w:t>:</w:t>
      </w:r>
      <w:r w:rsidRPr="003F0161">
        <w:rPr>
          <w:sz w:val="15"/>
          <w:szCs w:val="15"/>
        </w:rPr>
        <w:t>126504-126510.</w:t>
      </w:r>
    </w:p>
    <w:p w14:paraId="5EE03DE7" w14:textId="7F051911" w:rsidR="00F17155" w:rsidRPr="003F0161" w:rsidRDefault="00844BEE">
      <w:pPr>
        <w:numPr>
          <w:ilvl w:val="0"/>
          <w:numId w:val="1"/>
        </w:numPr>
        <w:spacing w:line="240" w:lineRule="auto"/>
        <w:ind w:left="658" w:firstLineChars="0"/>
        <w:rPr>
          <w:sz w:val="15"/>
          <w:szCs w:val="15"/>
        </w:rPr>
      </w:pPr>
      <w:r w:rsidRPr="003F0161">
        <w:rPr>
          <w:rFonts w:hint="eastAsia"/>
          <w:sz w:val="15"/>
          <w:szCs w:val="15"/>
        </w:rPr>
        <w:t>熊迎香</w:t>
      </w:r>
      <w:r w:rsidRPr="003F0161">
        <w:rPr>
          <w:rFonts w:hint="eastAsia"/>
          <w:sz w:val="15"/>
          <w:szCs w:val="15"/>
        </w:rPr>
        <w:t xml:space="preserve">. </w:t>
      </w:r>
      <w:r w:rsidRPr="003F0161">
        <w:rPr>
          <w:rFonts w:hint="eastAsia"/>
          <w:sz w:val="15"/>
          <w:szCs w:val="15"/>
        </w:rPr>
        <w:t>超表面对透</w:t>
      </w:r>
      <w:r w:rsidRPr="003F0161">
        <w:rPr>
          <w:rFonts w:hint="eastAsia"/>
          <w:sz w:val="15"/>
          <w:szCs w:val="15"/>
        </w:rPr>
        <w:t>/</w:t>
      </w:r>
      <w:r w:rsidRPr="003F0161">
        <w:rPr>
          <w:rFonts w:hint="eastAsia"/>
          <w:sz w:val="15"/>
          <w:szCs w:val="15"/>
        </w:rPr>
        <w:t>反射电磁波的多功能调控</w:t>
      </w:r>
      <w:r w:rsidRPr="003F0161">
        <w:rPr>
          <w:rFonts w:hint="eastAsia"/>
          <w:sz w:val="15"/>
          <w:szCs w:val="15"/>
        </w:rPr>
        <w:t xml:space="preserve">[D]. </w:t>
      </w:r>
      <w:r w:rsidR="00F25493">
        <w:rPr>
          <w:rFonts w:hint="eastAsia"/>
          <w:sz w:val="15"/>
          <w:szCs w:val="15"/>
        </w:rPr>
        <w:t>柳州：</w:t>
      </w:r>
      <w:r w:rsidRPr="003F0161">
        <w:rPr>
          <w:rFonts w:hint="eastAsia"/>
          <w:sz w:val="15"/>
          <w:szCs w:val="15"/>
        </w:rPr>
        <w:t>广西科技大学，</w:t>
      </w:r>
      <w:r w:rsidRPr="003F0161">
        <w:rPr>
          <w:rFonts w:hint="eastAsia"/>
          <w:sz w:val="15"/>
          <w:szCs w:val="15"/>
        </w:rPr>
        <w:t>2023.</w:t>
      </w:r>
    </w:p>
    <w:p w14:paraId="5BB3B848" w14:textId="77777777" w:rsidR="00F17155" w:rsidRPr="003F0161" w:rsidRDefault="00F17155">
      <w:pPr>
        <w:spacing w:line="240" w:lineRule="auto"/>
        <w:ind w:firstLine="300"/>
        <w:rPr>
          <w:sz w:val="15"/>
          <w:szCs w:val="15"/>
        </w:rPr>
      </w:pPr>
    </w:p>
    <w:p w14:paraId="18B19B8B" w14:textId="77777777" w:rsidR="003F0161" w:rsidRDefault="003F0161">
      <w:pPr>
        <w:spacing w:line="240" w:lineRule="auto"/>
        <w:ind w:firstLine="300"/>
        <w:rPr>
          <w:sz w:val="15"/>
          <w:szCs w:val="15"/>
        </w:rPr>
      </w:pPr>
    </w:p>
    <w:p w14:paraId="70A8E0DC" w14:textId="77777777" w:rsidR="003F0161" w:rsidRDefault="003F0161">
      <w:pPr>
        <w:spacing w:line="240" w:lineRule="auto"/>
        <w:ind w:firstLine="300"/>
        <w:rPr>
          <w:sz w:val="15"/>
          <w:szCs w:val="15"/>
        </w:rPr>
      </w:pPr>
      <w:r>
        <w:rPr>
          <w:rFonts w:hint="eastAsia"/>
          <w:sz w:val="15"/>
          <w:szCs w:val="15"/>
        </w:rPr>
        <w:t>收</w:t>
      </w:r>
      <w:r>
        <w:rPr>
          <w:sz w:val="15"/>
          <w:szCs w:val="15"/>
        </w:rPr>
        <w:t>稿日期：</w:t>
      </w:r>
      <w:r>
        <w:rPr>
          <w:rFonts w:hint="eastAsia"/>
          <w:sz w:val="15"/>
          <w:szCs w:val="15"/>
        </w:rPr>
        <w:t>2024</w:t>
      </w:r>
      <w:r>
        <w:rPr>
          <w:sz w:val="15"/>
          <w:szCs w:val="15"/>
        </w:rPr>
        <w:t>-11-27</w:t>
      </w:r>
      <w:r>
        <w:rPr>
          <w:rFonts w:hint="eastAsia"/>
          <w:sz w:val="15"/>
          <w:szCs w:val="15"/>
        </w:rPr>
        <w:t>。</w:t>
      </w:r>
    </w:p>
    <w:p w14:paraId="19C74F0F" w14:textId="77777777" w:rsidR="00F17155" w:rsidRPr="003F0161" w:rsidRDefault="00844BEE">
      <w:pPr>
        <w:spacing w:line="240" w:lineRule="auto"/>
        <w:ind w:firstLine="300"/>
        <w:rPr>
          <w:sz w:val="15"/>
          <w:szCs w:val="15"/>
        </w:rPr>
      </w:pPr>
      <w:r w:rsidRPr="003F0161">
        <w:rPr>
          <w:sz w:val="15"/>
          <w:szCs w:val="15"/>
        </w:rPr>
        <w:t>基金项目：</w:t>
      </w:r>
      <w:r w:rsidRPr="003F0161">
        <w:rPr>
          <w:rFonts w:hint="eastAsia"/>
          <w:sz w:val="15"/>
          <w:szCs w:val="15"/>
        </w:rPr>
        <w:t>山西省重点研发计划（</w:t>
      </w:r>
      <w:r w:rsidRPr="003F0161">
        <w:rPr>
          <w:rFonts w:hint="eastAsia"/>
          <w:sz w:val="15"/>
          <w:szCs w:val="15"/>
        </w:rPr>
        <w:t>NO.202102030201005</w:t>
      </w:r>
      <w:r w:rsidRPr="003F0161">
        <w:rPr>
          <w:rFonts w:hint="eastAsia"/>
          <w:sz w:val="15"/>
          <w:szCs w:val="15"/>
        </w:rPr>
        <w:t>）、国家自然科学基金（</w:t>
      </w:r>
      <w:r w:rsidRPr="003F0161">
        <w:rPr>
          <w:rFonts w:hint="eastAsia"/>
          <w:sz w:val="15"/>
          <w:szCs w:val="15"/>
        </w:rPr>
        <w:t>NO.62401522</w:t>
      </w:r>
      <w:r w:rsidRPr="003F0161">
        <w:rPr>
          <w:rFonts w:hint="eastAsia"/>
          <w:sz w:val="15"/>
          <w:szCs w:val="15"/>
        </w:rPr>
        <w:t>）、山西省基础研究计划（</w:t>
      </w:r>
      <w:r w:rsidRPr="003F0161">
        <w:rPr>
          <w:rFonts w:hint="eastAsia"/>
          <w:sz w:val="15"/>
          <w:szCs w:val="15"/>
        </w:rPr>
        <w:t>NO.202203021222070</w:t>
      </w:r>
      <w:r w:rsidRPr="003F0161">
        <w:rPr>
          <w:rFonts w:hint="eastAsia"/>
          <w:sz w:val="15"/>
          <w:szCs w:val="15"/>
        </w:rPr>
        <w:t>）、中国博士后科学基金（</w:t>
      </w:r>
      <w:r w:rsidRPr="003F0161">
        <w:rPr>
          <w:rFonts w:hint="eastAsia"/>
          <w:sz w:val="15"/>
          <w:szCs w:val="15"/>
        </w:rPr>
        <w:t>NO.2023M743313</w:t>
      </w:r>
      <w:r w:rsidRPr="003F0161">
        <w:rPr>
          <w:rFonts w:hint="eastAsia"/>
          <w:sz w:val="15"/>
          <w:szCs w:val="15"/>
        </w:rPr>
        <w:t>）和山西省国家留学基金委的部分支持。</w:t>
      </w:r>
    </w:p>
    <w:p w14:paraId="0E30C519" w14:textId="77777777" w:rsidR="00F17155" w:rsidRPr="003F0161" w:rsidRDefault="00844BEE">
      <w:pPr>
        <w:spacing w:line="240" w:lineRule="auto"/>
        <w:ind w:firstLine="300"/>
        <w:rPr>
          <w:sz w:val="15"/>
          <w:szCs w:val="15"/>
        </w:rPr>
      </w:pPr>
      <w:r w:rsidRPr="003F0161">
        <w:rPr>
          <w:rFonts w:hint="eastAsia"/>
          <w:sz w:val="15"/>
          <w:szCs w:val="15"/>
        </w:rPr>
        <w:t>作者简介：罗熳（</w:t>
      </w:r>
      <w:r w:rsidRPr="003F0161">
        <w:rPr>
          <w:rFonts w:hint="eastAsia"/>
          <w:sz w:val="15"/>
          <w:szCs w:val="15"/>
        </w:rPr>
        <w:t>2000</w:t>
      </w:r>
      <w:r w:rsidRPr="003F0161">
        <w:rPr>
          <w:rFonts w:hint="eastAsia"/>
          <w:sz w:val="15"/>
          <w:szCs w:val="15"/>
        </w:rPr>
        <w:t>—），女，四川泸州人，硕士研究生，现就读于中北大学仪器与电子学院仪器科学与技术专业，主要研究方向是超材料，携带轨道角动量的反射和透射双功能超表面天线阵、涡旋电磁波超表面。</w:t>
      </w:r>
    </w:p>
    <w:p w14:paraId="000610F9" w14:textId="77777777" w:rsidR="00F17155" w:rsidRPr="003F0161" w:rsidRDefault="00844BEE">
      <w:pPr>
        <w:spacing w:line="240" w:lineRule="auto"/>
        <w:ind w:left="238" w:firstLineChars="0" w:firstLine="0"/>
        <w:rPr>
          <w:sz w:val="15"/>
          <w:szCs w:val="15"/>
        </w:rPr>
      </w:pPr>
      <w:r w:rsidRPr="003F0161">
        <w:rPr>
          <w:rFonts w:hint="eastAsia"/>
          <w:noProof/>
          <w:sz w:val="15"/>
          <w:szCs w:val="15"/>
        </w:rPr>
        <w:drawing>
          <wp:inline distT="0" distB="0" distL="114300" distR="114300" wp14:anchorId="3C3871DF" wp14:editId="5C7548DC">
            <wp:extent cx="720090" cy="1080135"/>
            <wp:effectExtent l="0" t="0" r="11430" b="1905"/>
            <wp:docPr id="2" name="图片 2" descr="微信图片_20240902113016"/>
            <wp:cNvGraphicFramePr/>
            <a:graphic xmlns:a="http://schemas.openxmlformats.org/drawingml/2006/main">
              <a:graphicData uri="http://schemas.openxmlformats.org/drawingml/2006/picture">
                <pic:pic xmlns:pic="http://schemas.openxmlformats.org/drawingml/2006/picture">
                  <pic:nvPicPr>
                    <pic:cNvPr id="2" name="图片 2" descr="微信图片_20240902113016"/>
                    <pic:cNvPicPr/>
                  </pic:nvPicPr>
                  <pic:blipFill>
                    <a:blip r:embed="rId28"/>
                    <a:stretch>
                      <a:fillRect/>
                    </a:stretch>
                  </pic:blipFill>
                  <pic:spPr>
                    <a:xfrm>
                      <a:off x="0" y="0"/>
                      <a:ext cx="720090" cy="1080135"/>
                    </a:xfrm>
                    <a:prstGeom prst="rect">
                      <a:avLst/>
                    </a:prstGeom>
                  </pic:spPr>
                </pic:pic>
              </a:graphicData>
            </a:graphic>
          </wp:inline>
        </w:drawing>
      </w:r>
    </w:p>
    <w:p w14:paraId="03C5DF7A" w14:textId="77777777" w:rsidR="00F17155" w:rsidRPr="003F0161" w:rsidRDefault="00844BEE">
      <w:pPr>
        <w:spacing w:line="240" w:lineRule="auto"/>
        <w:ind w:firstLine="300"/>
        <w:rPr>
          <w:sz w:val="15"/>
          <w:szCs w:val="15"/>
        </w:rPr>
      </w:pPr>
      <w:r w:rsidRPr="003F0161">
        <w:rPr>
          <w:rFonts w:hint="eastAsia"/>
          <w:sz w:val="15"/>
          <w:szCs w:val="15"/>
        </w:rPr>
        <w:lastRenderedPageBreak/>
        <w:t>通信作者：谭秋林（</w:t>
      </w:r>
      <w:r w:rsidRPr="003F0161">
        <w:rPr>
          <w:rFonts w:hint="eastAsia"/>
          <w:sz w:val="15"/>
          <w:szCs w:val="15"/>
        </w:rPr>
        <w:t>1979</w:t>
      </w:r>
      <w:r w:rsidRPr="003F0161">
        <w:rPr>
          <w:rFonts w:hint="eastAsia"/>
          <w:sz w:val="15"/>
          <w:szCs w:val="15"/>
        </w:rPr>
        <w:t>—），男，博士，教授。主要研究方向为：超常规传感技术及仪器。</w:t>
      </w:r>
    </w:p>
    <w:p w14:paraId="591AF594" w14:textId="77777777" w:rsidR="00F17155" w:rsidRPr="003F0161" w:rsidRDefault="00F17155">
      <w:pPr>
        <w:spacing w:line="240" w:lineRule="auto"/>
        <w:ind w:firstLine="300"/>
        <w:rPr>
          <w:sz w:val="15"/>
          <w:szCs w:val="15"/>
        </w:rPr>
      </w:pPr>
    </w:p>
    <w:sectPr w:rsidR="00F17155" w:rsidRPr="003F0161">
      <w:type w:val="continuous"/>
      <w:pgSz w:w="11905" w:h="16838"/>
      <w:pgMar w:top="1440" w:right="1803" w:bottom="1440" w:left="1803" w:header="907" w:footer="850" w:gutter="567"/>
      <w:cols w:space="0"/>
      <w:docGrid w:linePitch="403"/>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admin" w:date="2025-10-15T16:42:00Z" w:initials="a">
    <w:p w14:paraId="7531D7F0" w14:textId="77777777" w:rsidR="004D5E5E" w:rsidRPr="004D5E5E" w:rsidRDefault="004D5E5E">
      <w:pPr>
        <w:pStyle w:val="a9"/>
      </w:pPr>
      <w:r>
        <w:rPr>
          <w:rStyle w:val="a8"/>
        </w:rPr>
        <w:annotationRef/>
      </w:r>
      <m:oMath>
        <m:sSub>
          <m:sSubPr>
            <m:ctrlPr>
              <w:rPr>
                <w:rFonts w:ascii="Cambria Math" w:hAnsi="Cambria Math" w:hint="eastAsia"/>
                <w:i/>
                <w:iCs/>
                <w:sz w:val="21"/>
                <w:szCs w:val="21"/>
              </w:rPr>
            </m:ctrlPr>
          </m:sSubPr>
          <m:e>
            <m:r>
              <w:rPr>
                <w:rFonts w:ascii="Cambria Math" w:hAnsi="Cambria Math"/>
                <w:sz w:val="21"/>
                <w:szCs w:val="21"/>
              </w:rPr>
              <m:t>ε</m:t>
            </m:r>
          </m:e>
          <m:sub>
            <m:r>
              <w:rPr>
                <w:rFonts w:ascii="Cambria Math" w:hAnsi="Cambria Math" w:hint="eastAsia"/>
                <w:sz w:val="21"/>
                <w:szCs w:val="21"/>
              </w:rPr>
              <m:t>0</m:t>
            </m:r>
          </m:sub>
        </m:sSub>
        <m:r>
          <m:rPr>
            <m:sty m:val="p"/>
          </m:rPr>
          <w:rPr>
            <w:rFonts w:ascii="Cambria Math" w:hAnsi="Cambria Math" w:hint="eastAsia"/>
            <w:sz w:val="21"/>
            <w:szCs w:val="21"/>
          </w:rPr>
          <m:t>表示</m:t>
        </m:r>
        <m:r>
          <m:rPr>
            <m:sty m:val="p"/>
          </m:rPr>
          <w:rPr>
            <w:rFonts w:ascii="Cambria Math" w:hAnsi="Cambria Math"/>
            <w:sz w:val="21"/>
            <w:szCs w:val="21"/>
          </w:rPr>
          <m:t>什么？</m:t>
        </m:r>
      </m:oMath>
    </w:p>
  </w:comment>
  <w:comment w:id="3" w:author="admin" w:date="2025-10-15T16:43:00Z" w:initials="a">
    <w:p w14:paraId="14360BF3" w14:textId="77777777" w:rsidR="004D5E5E" w:rsidRDefault="004D5E5E">
      <w:pPr>
        <w:pStyle w:val="a9"/>
      </w:pPr>
      <w:r>
        <w:rPr>
          <w:rStyle w:val="a8"/>
        </w:rPr>
        <w:annotationRef/>
      </w:r>
      <w:r>
        <w:rPr>
          <w:rFonts w:hint="eastAsia"/>
        </w:rPr>
        <w:t>V</w:t>
      </w:r>
      <w:r>
        <w:rPr>
          <w:rFonts w:hint="eastAsia"/>
        </w:rPr>
        <w:t>表示</w:t>
      </w:r>
      <w:r>
        <w:t>什么？</w:t>
      </w:r>
    </w:p>
  </w:comment>
  <w:comment w:id="4" w:author="admin" w:date="2025-10-15T16:49:00Z" w:initials="a">
    <w:p w14:paraId="56C4D442" w14:textId="49780D85" w:rsidR="00C52CB2" w:rsidRPr="00C52CB2" w:rsidRDefault="00C52CB2">
      <w:pPr>
        <w:pStyle w:val="a9"/>
      </w:pPr>
      <w:r>
        <w:rPr>
          <w:rStyle w:val="a8"/>
        </w:rPr>
        <w:annotationRef/>
      </w:r>
      <m:oMath>
        <m:acc>
          <m:accPr>
            <m:chr m:val="⃗"/>
            <m:ctrlPr>
              <w:rPr>
                <w:rFonts w:ascii="Cambria Math" w:hAnsi="Cambria Math" w:cs="宋体" w:hint="eastAsia"/>
                <w:i/>
                <w:iCs/>
                <w:sz w:val="21"/>
                <w:szCs w:val="21"/>
              </w:rPr>
            </m:ctrlPr>
          </m:accPr>
          <m:e>
            <m:r>
              <w:rPr>
                <w:rFonts w:ascii="Cambria Math" w:hAnsi="Cambria Math" w:cs="宋体" w:hint="eastAsia"/>
                <w:sz w:val="21"/>
                <w:szCs w:val="21"/>
              </w:rPr>
              <m:t>A</m:t>
            </m:r>
          </m:e>
        </m:acc>
        <m:r>
          <m:rPr>
            <m:sty m:val="p"/>
          </m:rPr>
          <w:rPr>
            <w:rFonts w:ascii="Cambria Math" w:hAnsi="Cambria Math" w:cs="宋体" w:hint="eastAsia"/>
            <w:sz w:val="21"/>
            <w:szCs w:val="21"/>
          </w:rPr>
          <m:t>表示</m:t>
        </m:r>
        <m:r>
          <m:rPr>
            <m:sty m:val="p"/>
          </m:rPr>
          <w:rPr>
            <w:rFonts w:ascii="Cambria Math" w:hAnsi="Cambria Math" w:cs="宋体"/>
            <w:sz w:val="21"/>
            <w:szCs w:val="21"/>
          </w:rPr>
          <m:t>什么？</m:t>
        </m:r>
      </m:oMath>
    </w:p>
  </w:comment>
  <w:comment w:id="5" w:author="admin" w:date="2025-10-15T16:56:00Z" w:initials="a">
    <w:p w14:paraId="1F182884" w14:textId="2D5DB764" w:rsidR="007B0507" w:rsidRPr="00DD58AA" w:rsidRDefault="007B0507">
      <w:pPr>
        <w:pStyle w:val="a9"/>
      </w:pPr>
      <w:r>
        <w:rPr>
          <w:rStyle w:val="a8"/>
        </w:rPr>
        <w:annotationRef/>
      </w:r>
      <m:oMath>
        <m:sSub>
          <m:sSubPr>
            <m:ctrlPr>
              <w:rPr>
                <w:rFonts w:ascii="Cambria Math" w:hAnsi="Cambria Math" w:cs="宋体" w:hint="eastAsia"/>
                <w:i/>
                <w:sz w:val="21"/>
                <w:szCs w:val="21"/>
              </w:rPr>
            </m:ctrlPr>
          </m:sSubPr>
          <m:e>
            <m:r>
              <w:rPr>
                <w:rFonts w:ascii="Cambria Math" w:hAnsi="Cambria Math" w:cs="宋体" w:hint="eastAsia"/>
                <w:sz w:val="21"/>
                <w:szCs w:val="21"/>
              </w:rPr>
              <m:t>k</m:t>
            </m:r>
          </m:e>
          <m:sub>
            <m:r>
              <w:rPr>
                <w:rFonts w:ascii="Cambria Math" w:hAnsi="Cambria Math" w:cs="宋体" w:hint="eastAsia"/>
                <w:sz w:val="21"/>
                <w:szCs w:val="21"/>
              </w:rPr>
              <m:t>0</m:t>
            </m:r>
          </m:sub>
        </m:sSub>
        <m:r>
          <m:rPr>
            <m:sty m:val="p"/>
          </m:rPr>
          <w:rPr>
            <w:rFonts w:ascii="Cambria Math" w:hAnsi="Cambria Math" w:cs="宋体" w:hint="eastAsia"/>
            <w:sz w:val="21"/>
            <w:szCs w:val="21"/>
          </w:rPr>
          <m:t>表示</m:t>
        </m:r>
        <m:r>
          <m:rPr>
            <m:sty m:val="p"/>
          </m:rPr>
          <w:rPr>
            <w:rFonts w:ascii="Cambria Math" w:hAnsi="Cambria Math" w:cs="宋体"/>
            <w:sz w:val="21"/>
            <w:szCs w:val="21"/>
          </w:rPr>
          <m:t>什么？</m:t>
        </m:r>
      </m:oMath>
    </w:p>
  </w:comment>
  <w:comment w:id="6" w:author="admin" w:date="2025-10-15T17:21:00Z" w:initials="a">
    <w:p w14:paraId="783BD172" w14:textId="4519A25D" w:rsidR="003D3B10" w:rsidRDefault="003D3B10">
      <w:pPr>
        <w:pStyle w:val="a9"/>
      </w:pPr>
      <w:r>
        <w:rPr>
          <w:rStyle w:val="a8"/>
        </w:rPr>
        <w:annotationRef/>
      </w:r>
      <w:r>
        <w:rPr>
          <w:rFonts w:hint="eastAsia"/>
        </w:rPr>
        <w:t>图</w:t>
      </w:r>
      <w:r>
        <w:rPr>
          <w:rFonts w:hint="eastAsia"/>
        </w:rPr>
        <w:t>1</w:t>
      </w:r>
      <w:r>
        <w:rPr>
          <w:rFonts w:hint="eastAsia"/>
        </w:rPr>
        <w:t>中</w:t>
      </w:r>
      <w:r>
        <w:t>有</w:t>
      </w:r>
      <w:r>
        <w:rPr>
          <w:rFonts w:hint="eastAsia"/>
        </w:rPr>
        <w:t>3</w:t>
      </w:r>
      <w:r>
        <w:rPr>
          <w:rFonts w:hint="eastAsia"/>
        </w:rPr>
        <w:t>个</w:t>
      </w:r>
      <w:r>
        <w:t>图，分作</w:t>
      </w:r>
      <w:r>
        <w:rPr>
          <w:rFonts w:hint="eastAsia"/>
        </w:rPr>
        <w:t>a</w:t>
      </w:r>
      <w:r w:rsidR="003048BD">
        <w:rPr>
          <w:rFonts w:hint="eastAsia"/>
        </w:rPr>
        <w:t>、</w:t>
      </w:r>
      <w:r>
        <w:rPr>
          <w:rFonts w:hint="eastAsia"/>
        </w:rPr>
        <w:t>b</w:t>
      </w:r>
      <w:r w:rsidR="003048BD">
        <w:rPr>
          <w:rFonts w:hint="eastAsia"/>
        </w:rPr>
        <w:t>、</w:t>
      </w:r>
      <w:r>
        <w:rPr>
          <w:rFonts w:hint="eastAsia"/>
        </w:rPr>
        <w:t>c 3</w:t>
      </w:r>
      <w:r>
        <w:rPr>
          <w:rFonts w:hint="eastAsia"/>
        </w:rPr>
        <w:t>个</w:t>
      </w:r>
      <w:r>
        <w:t>分图</w:t>
      </w:r>
      <w:r>
        <w:rPr>
          <w:rFonts w:hint="eastAsia"/>
        </w:rPr>
        <w:t>，</w:t>
      </w:r>
      <w:r>
        <w:t>并增加分图题。</w:t>
      </w:r>
    </w:p>
  </w:comment>
  <w:comment w:id="7" w:author="admin" w:date="2025-10-15T17:25:00Z" w:initials="a">
    <w:p w14:paraId="37AA53E8" w14:textId="2199BE0D" w:rsidR="00900734" w:rsidRDefault="00900734">
      <w:pPr>
        <w:pStyle w:val="a9"/>
      </w:pPr>
      <w:r>
        <w:rPr>
          <w:rStyle w:val="a8"/>
        </w:rPr>
        <w:annotationRef/>
      </w:r>
      <w:r>
        <w:rPr>
          <w:rFonts w:hint="eastAsia"/>
        </w:rPr>
        <w:t>图</w:t>
      </w:r>
      <w:r>
        <w:rPr>
          <w:rFonts w:hint="eastAsia"/>
        </w:rPr>
        <w:t>2</w:t>
      </w:r>
      <w:r w:rsidR="00A238EE">
        <w:rPr>
          <w:rFonts w:hint="eastAsia"/>
        </w:rPr>
        <w:t>中右图</w:t>
      </w:r>
      <w:r w:rsidR="00A238EE">
        <w:t>是</w:t>
      </w:r>
      <w:r w:rsidR="00A238EE">
        <w:rPr>
          <w:rFonts w:hint="eastAsia"/>
        </w:rPr>
        <w:t>什么</w:t>
      </w:r>
      <w:r w:rsidR="00A238EE">
        <w:t>图？</w:t>
      </w:r>
    </w:p>
  </w:comment>
  <w:comment w:id="8" w:author="admin" w:date="2025-10-15T17:43:00Z" w:initials="a">
    <w:p w14:paraId="51D26F61" w14:textId="74C8E332" w:rsidR="00A46166" w:rsidRDefault="00A46166">
      <w:pPr>
        <w:pStyle w:val="a9"/>
      </w:pPr>
      <w:r>
        <w:rPr>
          <w:rStyle w:val="a8"/>
        </w:rPr>
        <w:annotationRef/>
      </w:r>
      <w:r>
        <w:rPr>
          <w:rFonts w:ascii="Segoe UI" w:hAnsi="Segoe UI" w:cs="Segoe UI"/>
          <w:color w:val="0F1115"/>
          <w:shd w:val="clear" w:color="auto" w:fill="FFFFFF"/>
        </w:rPr>
        <w:t>为了使文中描述与图</w:t>
      </w:r>
      <w:r>
        <w:rPr>
          <w:rFonts w:ascii="Segoe UI" w:hAnsi="Segoe UI" w:cs="Segoe UI"/>
          <w:color w:val="0F1115"/>
          <w:shd w:val="clear" w:color="auto" w:fill="FFFFFF"/>
        </w:rPr>
        <w:t>4</w:t>
      </w:r>
      <w:r>
        <w:rPr>
          <w:rFonts w:ascii="Segoe UI" w:hAnsi="Segoe UI" w:cs="Segoe UI"/>
          <w:color w:val="0F1115"/>
          <w:shd w:val="clear" w:color="auto" w:fill="FFFFFF"/>
        </w:rPr>
        <w:t>的内容</w:t>
      </w:r>
      <w:r>
        <w:rPr>
          <w:rFonts w:ascii="Segoe UI" w:hAnsi="Segoe UI" w:cs="Segoe UI" w:hint="eastAsia"/>
          <w:color w:val="0F1115"/>
          <w:shd w:val="clear" w:color="auto" w:fill="FFFFFF"/>
        </w:rPr>
        <w:t>对应</w:t>
      </w:r>
      <w:r>
        <w:rPr>
          <w:rFonts w:ascii="Segoe UI" w:hAnsi="Segoe UI" w:cs="Segoe UI"/>
          <w:color w:val="0F1115"/>
          <w:shd w:val="clear" w:color="auto" w:fill="FFFFFF"/>
        </w:rPr>
        <w:t>，让读者能轻松理解其中的逻辑</w:t>
      </w:r>
      <w:r>
        <w:rPr>
          <w:rFonts w:ascii="Segoe UI" w:hAnsi="Segoe UI" w:cs="Segoe UI" w:hint="eastAsia"/>
          <w:color w:val="0F1115"/>
          <w:shd w:val="clear" w:color="auto" w:fill="FFFFFF"/>
        </w:rPr>
        <w:t>，</w:t>
      </w:r>
      <w:r>
        <w:rPr>
          <w:rFonts w:ascii="Segoe UI" w:hAnsi="Segoe UI" w:cs="Segoe UI"/>
          <w:color w:val="0F1115"/>
          <w:shd w:val="clear" w:color="auto" w:fill="FFFFFF"/>
        </w:rPr>
        <w:t>我们对图</w:t>
      </w:r>
      <w:r>
        <w:rPr>
          <w:rFonts w:ascii="Segoe UI" w:hAnsi="Segoe UI" w:cs="Segoe UI" w:hint="eastAsia"/>
          <w:color w:val="0F1115"/>
          <w:shd w:val="clear" w:color="auto" w:fill="FFFFFF"/>
        </w:rPr>
        <w:t>4</w:t>
      </w:r>
      <w:r>
        <w:rPr>
          <w:rFonts w:ascii="Segoe UI" w:hAnsi="Segoe UI" w:cs="Segoe UI" w:hint="eastAsia"/>
          <w:color w:val="0F1115"/>
          <w:shd w:val="clear" w:color="auto" w:fill="FFFFFF"/>
        </w:rPr>
        <w:t>的</w:t>
      </w:r>
      <w:r>
        <w:rPr>
          <w:rFonts w:ascii="Segoe UI" w:hAnsi="Segoe UI" w:cs="Segoe UI"/>
          <w:color w:val="0F1115"/>
          <w:shd w:val="clear" w:color="auto" w:fill="FFFFFF"/>
        </w:rPr>
        <w:t>描述进行了</w:t>
      </w:r>
      <w:r>
        <w:rPr>
          <w:rFonts w:ascii="Segoe UI" w:hAnsi="Segoe UI" w:cs="Segoe UI" w:hint="eastAsia"/>
          <w:color w:val="0F1115"/>
          <w:shd w:val="clear" w:color="auto" w:fill="FFFFFF"/>
        </w:rPr>
        <w:t>修改</w:t>
      </w:r>
      <w:r>
        <w:rPr>
          <w:rFonts w:ascii="Segoe UI" w:hAnsi="Segoe UI" w:cs="Segoe UI"/>
          <w:color w:val="0F1115"/>
          <w:shd w:val="clear" w:color="auto" w:fill="FFFFFF"/>
        </w:rPr>
        <w:t>，请核实</w:t>
      </w:r>
      <w:r w:rsidR="00C93B01">
        <w:rPr>
          <w:rFonts w:ascii="Segoe UI" w:hAnsi="Segoe UI" w:cs="Segoe UI" w:hint="eastAsia"/>
          <w:color w:val="0F1115"/>
          <w:shd w:val="clear" w:color="auto" w:fill="FFFFFF"/>
        </w:rPr>
        <w:t>是</w:t>
      </w:r>
      <w:r w:rsidR="00C93B01">
        <w:rPr>
          <w:rFonts w:ascii="Segoe UI" w:hAnsi="Segoe UI" w:cs="Segoe UI"/>
          <w:color w:val="0F1115"/>
          <w:shd w:val="clear" w:color="auto" w:fill="FFFFFF"/>
        </w:rPr>
        <w:t>否正确</w:t>
      </w:r>
      <w:r w:rsidR="00AE1370">
        <w:rPr>
          <w:rFonts w:ascii="Segoe UI" w:hAnsi="Segoe UI" w:cs="Segoe UI" w:hint="eastAsia"/>
          <w:color w:val="0F1115"/>
          <w:shd w:val="clear" w:color="auto" w:fill="FFFFFF"/>
        </w:rPr>
        <w:t xml:space="preserve">  </w:t>
      </w:r>
    </w:p>
  </w:comment>
  <w:comment w:id="9" w:author="admin" w:date="2025-10-16T09:57:00Z" w:initials="a">
    <w:p w14:paraId="4CAABFBE" w14:textId="261BACEA" w:rsidR="003451EF" w:rsidRDefault="003451EF">
      <w:pPr>
        <w:pStyle w:val="a9"/>
        <w:rPr>
          <w:rFonts w:hint="eastAsia"/>
        </w:rPr>
      </w:pPr>
      <w:r>
        <w:rPr>
          <w:rStyle w:val="a8"/>
        </w:rPr>
        <w:annotationRef/>
      </w:r>
      <w:r>
        <w:rPr>
          <w:rFonts w:hint="eastAsia"/>
        </w:rPr>
        <w:t>图</w:t>
      </w:r>
      <w:r>
        <w:rPr>
          <w:rFonts w:hint="eastAsia"/>
        </w:rPr>
        <w:t>6</w:t>
      </w:r>
      <w:r>
        <w:rPr>
          <w:rFonts w:hint="eastAsia"/>
        </w:rPr>
        <w:t>左</w:t>
      </w:r>
      <w:r>
        <w:t>侧</w:t>
      </w:r>
      <w:r>
        <w:rPr>
          <w:rFonts w:hint="eastAsia"/>
        </w:rPr>
        <w:t>图</w:t>
      </w:r>
      <w:r>
        <w:t>是什</w:t>
      </w:r>
      <w:r>
        <w:rPr>
          <w:rFonts w:hint="eastAsia"/>
        </w:rPr>
        <w:t>么</w:t>
      </w:r>
      <w:r>
        <w:t>？表示什么意思</w:t>
      </w:r>
    </w:p>
  </w:comment>
  <w:comment w:id="12" w:author="admin" w:date="2025-10-16T10:10:00Z" w:initials="a">
    <w:p w14:paraId="4ADC7454" w14:textId="41754C08" w:rsidR="00F25493" w:rsidRDefault="00F25493" w:rsidP="00F25493">
      <w:pPr>
        <w:pStyle w:val="a9"/>
        <w:ind w:firstLineChars="0" w:firstLine="0"/>
        <w:rPr>
          <w:rFonts w:hint="eastAsia"/>
        </w:rPr>
      </w:pPr>
      <w:r>
        <w:rPr>
          <w:rStyle w:val="a8"/>
        </w:rPr>
        <w:annotationRef/>
      </w:r>
      <w:r>
        <w:rPr>
          <w:rFonts w:hint="eastAsia"/>
        </w:rPr>
        <w:t>这</w:t>
      </w:r>
      <w:r>
        <w:t>些文献需补充页码</w:t>
      </w:r>
      <w:r>
        <w:rPr>
          <w:rFonts w:hint="eastAsia"/>
        </w:rPr>
        <w:t>/</w:t>
      </w:r>
      <w:r>
        <w:rPr>
          <w:rFonts w:hint="eastAsia"/>
        </w:rPr>
        <w:t>编码</w:t>
      </w:r>
      <w:r>
        <w:t>范围。</w:t>
      </w:r>
    </w:p>
  </w:comment>
  <w:comment w:id="15" w:author="admin" w:date="2025-10-16T10:13:00Z" w:initials="a">
    <w:p w14:paraId="16661BE4" w14:textId="0F2FE3DD" w:rsidR="00E638BC" w:rsidRDefault="00E638BC">
      <w:pPr>
        <w:pStyle w:val="a9"/>
      </w:pPr>
      <w:r>
        <w:rPr>
          <w:rStyle w:val="a8"/>
        </w:rPr>
        <w:annotationRef/>
      </w:r>
      <w:r>
        <w:t>需补充页码</w:t>
      </w:r>
      <w:r>
        <w:rPr>
          <w:rFonts w:hint="eastAsia"/>
        </w:rPr>
        <w:t>/</w:t>
      </w:r>
      <w:r>
        <w:rPr>
          <w:rFonts w:hint="eastAsia"/>
        </w:rPr>
        <w:t>编码</w:t>
      </w:r>
      <w:r>
        <w:t>范围。</w:t>
      </w:r>
    </w:p>
  </w:comment>
  <w:comment w:id="18" w:author="admin" w:date="2025-10-16T10:13:00Z" w:initials="a">
    <w:p w14:paraId="302DA306" w14:textId="1A2B9E56" w:rsidR="00E638BC" w:rsidRDefault="00E638BC">
      <w:pPr>
        <w:pStyle w:val="a9"/>
      </w:pPr>
      <w:r>
        <w:rPr>
          <w:rStyle w:val="a8"/>
        </w:rPr>
        <w:annotationRef/>
      </w:r>
      <w:r>
        <w:t>需补充页码</w:t>
      </w:r>
      <w:r>
        <w:rPr>
          <w:rFonts w:hint="eastAsia"/>
        </w:rPr>
        <w:t>/</w:t>
      </w:r>
      <w:r>
        <w:rPr>
          <w:rFonts w:hint="eastAsia"/>
        </w:rPr>
        <w:t>编码</w:t>
      </w:r>
      <w:r>
        <w:t>范围。</w:t>
      </w:r>
    </w:p>
  </w:comment>
  <w:comment w:id="20" w:author="admin" w:date="2025-10-16T10:13:00Z" w:initials="a">
    <w:p w14:paraId="0E81CCD2" w14:textId="7672E0F9" w:rsidR="00E638BC" w:rsidRDefault="00E638BC">
      <w:pPr>
        <w:pStyle w:val="a9"/>
      </w:pPr>
      <w:r>
        <w:rPr>
          <w:rStyle w:val="a8"/>
        </w:rPr>
        <w:annotationRef/>
      </w:r>
      <w:r>
        <w:t>需补充页码</w:t>
      </w:r>
      <w:r>
        <w:rPr>
          <w:rFonts w:hint="eastAsia"/>
        </w:rPr>
        <w:t>/</w:t>
      </w:r>
      <w:r>
        <w:rPr>
          <w:rFonts w:hint="eastAsia"/>
        </w:rPr>
        <w:t>编码</w:t>
      </w:r>
      <w:r>
        <w:t>范围。</w:t>
      </w:r>
    </w:p>
  </w:comment>
  <w:comment w:id="24" w:author="admin" w:date="2025-10-16T10:12:00Z" w:initials="a">
    <w:p w14:paraId="773C2001" w14:textId="782DC23E" w:rsidR="00F25493" w:rsidRDefault="00F25493">
      <w:pPr>
        <w:pStyle w:val="a9"/>
      </w:pPr>
      <w:r>
        <w:rPr>
          <w:rStyle w:val="a8"/>
        </w:rPr>
        <w:annotationRef/>
      </w:r>
      <w:r w:rsidR="00E638BC">
        <w:t>需补充页码</w:t>
      </w:r>
      <w:r w:rsidR="00E638BC">
        <w:rPr>
          <w:rFonts w:hint="eastAsia"/>
        </w:rPr>
        <w:t>/</w:t>
      </w:r>
      <w:r w:rsidR="00E638BC">
        <w:rPr>
          <w:rFonts w:hint="eastAsia"/>
        </w:rPr>
        <w:t>编码</w:t>
      </w:r>
      <w:r w:rsidR="00E638BC">
        <w:t>范围。</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531D7F0" w15:done="0"/>
  <w15:commentEx w15:paraId="14360BF3" w15:done="0"/>
  <w15:commentEx w15:paraId="56C4D442" w15:done="0"/>
  <w15:commentEx w15:paraId="1F182884" w15:done="0"/>
  <w15:commentEx w15:paraId="783BD172" w15:done="0"/>
  <w15:commentEx w15:paraId="37AA53E8" w15:done="0"/>
  <w15:commentEx w15:paraId="51D26F61" w15:done="0"/>
  <w15:commentEx w15:paraId="4CAABFBE" w15:done="0"/>
  <w15:commentEx w15:paraId="4ADC7454" w15:done="0"/>
  <w15:commentEx w15:paraId="16661BE4" w15:done="0"/>
  <w15:commentEx w15:paraId="302DA306" w15:done="0"/>
  <w15:commentEx w15:paraId="0E81CCD2" w15:done="0"/>
  <w15:commentEx w15:paraId="773C2001"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F45555" w14:textId="77777777" w:rsidR="008E0542" w:rsidRDefault="008E0542">
      <w:pPr>
        <w:spacing w:line="240" w:lineRule="auto"/>
        <w:ind w:firstLine="480"/>
      </w:pPr>
      <w:r>
        <w:separator/>
      </w:r>
    </w:p>
  </w:endnote>
  <w:endnote w:type="continuationSeparator" w:id="0">
    <w:p w14:paraId="1CA7E209" w14:textId="77777777" w:rsidR="008E0542" w:rsidRDefault="008E0542">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微软雅黑">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DDDFD2" w14:textId="77777777" w:rsidR="008E0542" w:rsidRDefault="008E0542">
      <w:pPr>
        <w:spacing w:line="240" w:lineRule="auto"/>
        <w:ind w:firstLine="480"/>
      </w:pPr>
      <w:r>
        <w:separator/>
      </w:r>
    </w:p>
  </w:footnote>
  <w:footnote w:type="continuationSeparator" w:id="0">
    <w:p w14:paraId="19C95B26" w14:textId="77777777" w:rsidR="008E0542" w:rsidRDefault="008E0542">
      <w:pPr>
        <w:spacing w:line="240" w:lineRule="auto"/>
        <w:ind w:firstLine="48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529C52"/>
    <w:multiLevelType w:val="multilevel"/>
    <w:tmpl w:val="6D529C52"/>
    <w:lvl w:ilvl="0">
      <w:start w:val="1"/>
      <w:numFmt w:val="decimal"/>
      <w:lvlText w:val="[%1]"/>
      <w:lvlJc w:val="left"/>
      <w:pPr>
        <w:tabs>
          <w:tab w:val="left" w:pos="420"/>
        </w:tabs>
        <w:ind w:left="660" w:hanging="420"/>
      </w:pPr>
      <w:rPr>
        <w:rFonts w:ascii="Times New Roman" w:hAnsi="Times New Roman" w:cs="Times New Roman" w:hint="eastAsia"/>
        <w:sz w:val="21"/>
        <w:szCs w:val="21"/>
      </w:rPr>
    </w:lvl>
    <w:lvl w:ilvl="1">
      <w:start w:val="1"/>
      <w:numFmt w:val="japaneseCounting"/>
      <w:lvlText w:val="%2、"/>
      <w:lvlJc w:val="left"/>
      <w:pPr>
        <w:tabs>
          <w:tab w:val="left" w:pos="900"/>
        </w:tabs>
        <w:ind w:left="900" w:hanging="480"/>
      </w:pPr>
      <w:rPr>
        <w:rFonts w:hint="eastAsia"/>
      </w:rPr>
    </w:lvl>
    <w:lvl w:ilvl="2">
      <w:start w:val="1"/>
      <w:numFmt w:val="lowerRoman"/>
      <w:lvlText w:val="%3."/>
      <w:lvlJc w:val="right"/>
      <w:pPr>
        <w:tabs>
          <w:tab w:val="left" w:pos="1260"/>
        </w:tabs>
        <w:ind w:left="1260" w:hanging="420"/>
      </w:pPr>
      <w:rPr>
        <w:rFonts w:cs="Times New Roman" w:hint="eastAsia"/>
      </w:rPr>
    </w:lvl>
    <w:lvl w:ilvl="3">
      <w:start w:val="1"/>
      <w:numFmt w:val="decimal"/>
      <w:lvlText w:val="%4."/>
      <w:lvlJc w:val="left"/>
      <w:pPr>
        <w:tabs>
          <w:tab w:val="left" w:pos="1680"/>
        </w:tabs>
        <w:ind w:left="1680" w:hanging="420"/>
      </w:pPr>
      <w:rPr>
        <w:rFonts w:cs="Times New Roman" w:hint="eastAsia"/>
      </w:rPr>
    </w:lvl>
    <w:lvl w:ilvl="4">
      <w:start w:val="1"/>
      <w:numFmt w:val="lowerLetter"/>
      <w:lvlText w:val="%5)"/>
      <w:lvlJc w:val="left"/>
      <w:pPr>
        <w:tabs>
          <w:tab w:val="left" w:pos="2100"/>
        </w:tabs>
        <w:ind w:left="2100" w:hanging="420"/>
      </w:pPr>
      <w:rPr>
        <w:rFonts w:cs="Times New Roman" w:hint="eastAsia"/>
      </w:rPr>
    </w:lvl>
    <w:lvl w:ilvl="5">
      <w:start w:val="1"/>
      <w:numFmt w:val="lowerRoman"/>
      <w:lvlText w:val="%6."/>
      <w:lvlJc w:val="right"/>
      <w:pPr>
        <w:tabs>
          <w:tab w:val="left" w:pos="2520"/>
        </w:tabs>
        <w:ind w:left="2520" w:hanging="420"/>
      </w:pPr>
      <w:rPr>
        <w:rFonts w:cs="Times New Roman" w:hint="eastAsia"/>
      </w:rPr>
    </w:lvl>
    <w:lvl w:ilvl="6">
      <w:start w:val="1"/>
      <w:numFmt w:val="decimal"/>
      <w:lvlText w:val="%7."/>
      <w:lvlJc w:val="left"/>
      <w:pPr>
        <w:tabs>
          <w:tab w:val="left" w:pos="2940"/>
        </w:tabs>
        <w:ind w:left="2940" w:hanging="420"/>
      </w:pPr>
      <w:rPr>
        <w:rFonts w:cs="Times New Roman" w:hint="eastAsia"/>
      </w:rPr>
    </w:lvl>
    <w:lvl w:ilvl="7">
      <w:start w:val="1"/>
      <w:numFmt w:val="lowerLetter"/>
      <w:lvlText w:val="%8)"/>
      <w:lvlJc w:val="left"/>
      <w:pPr>
        <w:tabs>
          <w:tab w:val="left" w:pos="3360"/>
        </w:tabs>
        <w:ind w:left="3360" w:hanging="420"/>
      </w:pPr>
      <w:rPr>
        <w:rFonts w:cs="Times New Roman" w:hint="eastAsia"/>
      </w:rPr>
    </w:lvl>
    <w:lvl w:ilvl="8">
      <w:start w:val="1"/>
      <w:numFmt w:val="lowerRoman"/>
      <w:lvlText w:val="%9."/>
      <w:lvlJc w:val="right"/>
      <w:pPr>
        <w:tabs>
          <w:tab w:val="left" w:pos="3780"/>
        </w:tabs>
        <w:ind w:left="3780" w:hanging="420"/>
      </w:pPr>
      <w:rPr>
        <w:rFonts w:cs="Times New Roman" w:hint="eastAsia"/>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bordersDoNotSurroundHeader/>
  <w:bordersDoNotSurroundFooter/>
  <w:defaultTabStop w:val="420"/>
  <w:evenAndOddHeaders/>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NhZjYyZmZjNjcyNzgxNDgwM2Q1ZmQ1Y2I2ZmMxOTEifQ=="/>
    <w:docVar w:name="KSO_WPS_MARK_KEY" w:val="aba9a644-43db-4418-9b2a-4f67af6c7857"/>
  </w:docVars>
  <w:rsids>
    <w:rsidRoot w:val="02A51D6B"/>
    <w:rsid w:val="000154FB"/>
    <w:rsid w:val="00024F79"/>
    <w:rsid w:val="0004549F"/>
    <w:rsid w:val="00045A87"/>
    <w:rsid w:val="00062E78"/>
    <w:rsid w:val="00063F69"/>
    <w:rsid w:val="00083014"/>
    <w:rsid w:val="000974BF"/>
    <w:rsid w:val="000D14EA"/>
    <w:rsid w:val="000D289B"/>
    <w:rsid w:val="00101FCD"/>
    <w:rsid w:val="00103BF9"/>
    <w:rsid w:val="00105930"/>
    <w:rsid w:val="001D2F11"/>
    <w:rsid w:val="00264591"/>
    <w:rsid w:val="00290C01"/>
    <w:rsid w:val="002B387F"/>
    <w:rsid w:val="002B7551"/>
    <w:rsid w:val="002C4354"/>
    <w:rsid w:val="002C4946"/>
    <w:rsid w:val="003048BD"/>
    <w:rsid w:val="003451EF"/>
    <w:rsid w:val="003A2BCE"/>
    <w:rsid w:val="003A4737"/>
    <w:rsid w:val="003C0C13"/>
    <w:rsid w:val="003D3B10"/>
    <w:rsid w:val="003F0161"/>
    <w:rsid w:val="00411AA2"/>
    <w:rsid w:val="004222E2"/>
    <w:rsid w:val="00480AAB"/>
    <w:rsid w:val="00490B57"/>
    <w:rsid w:val="004D5E5E"/>
    <w:rsid w:val="004F2387"/>
    <w:rsid w:val="00520867"/>
    <w:rsid w:val="00542EF8"/>
    <w:rsid w:val="00584088"/>
    <w:rsid w:val="005A6157"/>
    <w:rsid w:val="005B316E"/>
    <w:rsid w:val="005D7F8C"/>
    <w:rsid w:val="005F5DD0"/>
    <w:rsid w:val="0060170E"/>
    <w:rsid w:val="00615D6D"/>
    <w:rsid w:val="00654DAB"/>
    <w:rsid w:val="00684A1E"/>
    <w:rsid w:val="006B07AF"/>
    <w:rsid w:val="006D56FE"/>
    <w:rsid w:val="006E2001"/>
    <w:rsid w:val="00706E81"/>
    <w:rsid w:val="007179BC"/>
    <w:rsid w:val="007409AC"/>
    <w:rsid w:val="00741A7A"/>
    <w:rsid w:val="007871A9"/>
    <w:rsid w:val="007B0507"/>
    <w:rsid w:val="007C1F23"/>
    <w:rsid w:val="008064C3"/>
    <w:rsid w:val="00812022"/>
    <w:rsid w:val="00827B54"/>
    <w:rsid w:val="00834511"/>
    <w:rsid w:val="00844BEE"/>
    <w:rsid w:val="00881D97"/>
    <w:rsid w:val="008B38FD"/>
    <w:rsid w:val="008D676B"/>
    <w:rsid w:val="008E0542"/>
    <w:rsid w:val="008E5AA7"/>
    <w:rsid w:val="00900734"/>
    <w:rsid w:val="00981CD4"/>
    <w:rsid w:val="009843A2"/>
    <w:rsid w:val="00994C4C"/>
    <w:rsid w:val="009C357F"/>
    <w:rsid w:val="009D1B9E"/>
    <w:rsid w:val="00A01E2A"/>
    <w:rsid w:val="00A14A4E"/>
    <w:rsid w:val="00A238EE"/>
    <w:rsid w:val="00A327B0"/>
    <w:rsid w:val="00A46166"/>
    <w:rsid w:val="00A652C0"/>
    <w:rsid w:val="00A72CE8"/>
    <w:rsid w:val="00AB4C79"/>
    <w:rsid w:val="00AD365C"/>
    <w:rsid w:val="00AE1370"/>
    <w:rsid w:val="00AF1B05"/>
    <w:rsid w:val="00B70C3B"/>
    <w:rsid w:val="00B7779D"/>
    <w:rsid w:val="00BA17CC"/>
    <w:rsid w:val="00BA3CBE"/>
    <w:rsid w:val="00BB3B68"/>
    <w:rsid w:val="00C32816"/>
    <w:rsid w:val="00C52CB2"/>
    <w:rsid w:val="00C7060D"/>
    <w:rsid w:val="00C859B1"/>
    <w:rsid w:val="00C93B01"/>
    <w:rsid w:val="00C94EB9"/>
    <w:rsid w:val="00C96014"/>
    <w:rsid w:val="00CE0AA8"/>
    <w:rsid w:val="00CE0AD3"/>
    <w:rsid w:val="00CE2F7A"/>
    <w:rsid w:val="00CE4113"/>
    <w:rsid w:val="00CE5415"/>
    <w:rsid w:val="00CF062B"/>
    <w:rsid w:val="00DA66AE"/>
    <w:rsid w:val="00DB590B"/>
    <w:rsid w:val="00DC2689"/>
    <w:rsid w:val="00DD58AA"/>
    <w:rsid w:val="00DE15BE"/>
    <w:rsid w:val="00E03225"/>
    <w:rsid w:val="00E638BC"/>
    <w:rsid w:val="00E76614"/>
    <w:rsid w:val="00EA4FA7"/>
    <w:rsid w:val="00EB65AA"/>
    <w:rsid w:val="00F014F7"/>
    <w:rsid w:val="00F11E62"/>
    <w:rsid w:val="00F17155"/>
    <w:rsid w:val="00F25493"/>
    <w:rsid w:val="00F27B42"/>
    <w:rsid w:val="00F70D4A"/>
    <w:rsid w:val="00F87C69"/>
    <w:rsid w:val="00FC3ACA"/>
    <w:rsid w:val="00FF3D16"/>
    <w:rsid w:val="00FF5BD7"/>
    <w:rsid w:val="01F33470"/>
    <w:rsid w:val="020424EF"/>
    <w:rsid w:val="028C4E98"/>
    <w:rsid w:val="02A51D6B"/>
    <w:rsid w:val="03B57A94"/>
    <w:rsid w:val="03CE5624"/>
    <w:rsid w:val="05C475BB"/>
    <w:rsid w:val="05D610DF"/>
    <w:rsid w:val="05E41B53"/>
    <w:rsid w:val="09442803"/>
    <w:rsid w:val="09617313"/>
    <w:rsid w:val="09E3201C"/>
    <w:rsid w:val="0AEF054D"/>
    <w:rsid w:val="0B352404"/>
    <w:rsid w:val="0B6A00DF"/>
    <w:rsid w:val="0E83792A"/>
    <w:rsid w:val="11353DEC"/>
    <w:rsid w:val="12147FF2"/>
    <w:rsid w:val="12E024D3"/>
    <w:rsid w:val="130354DD"/>
    <w:rsid w:val="136E6DFB"/>
    <w:rsid w:val="137837D5"/>
    <w:rsid w:val="139F6FB4"/>
    <w:rsid w:val="14FC3F92"/>
    <w:rsid w:val="16E0776A"/>
    <w:rsid w:val="1B010554"/>
    <w:rsid w:val="1B792ED2"/>
    <w:rsid w:val="1BFE4A94"/>
    <w:rsid w:val="1C330BE1"/>
    <w:rsid w:val="1C3B1844"/>
    <w:rsid w:val="1EB63404"/>
    <w:rsid w:val="1F297F38"/>
    <w:rsid w:val="1FC1093D"/>
    <w:rsid w:val="1FF42436"/>
    <w:rsid w:val="20052895"/>
    <w:rsid w:val="21D453EB"/>
    <w:rsid w:val="23AB5501"/>
    <w:rsid w:val="25406AF9"/>
    <w:rsid w:val="25EA5B47"/>
    <w:rsid w:val="25FD009B"/>
    <w:rsid w:val="266D2F42"/>
    <w:rsid w:val="277976C4"/>
    <w:rsid w:val="27C02008"/>
    <w:rsid w:val="28610884"/>
    <w:rsid w:val="28AF1053"/>
    <w:rsid w:val="296A19BB"/>
    <w:rsid w:val="2A8B197C"/>
    <w:rsid w:val="2B9C347F"/>
    <w:rsid w:val="2C526E62"/>
    <w:rsid w:val="2CD23AFF"/>
    <w:rsid w:val="2E267D9F"/>
    <w:rsid w:val="2E352597"/>
    <w:rsid w:val="2EC102CF"/>
    <w:rsid w:val="2EF34775"/>
    <w:rsid w:val="2F0245FB"/>
    <w:rsid w:val="30322666"/>
    <w:rsid w:val="31A0546B"/>
    <w:rsid w:val="34B41D3C"/>
    <w:rsid w:val="35C316C6"/>
    <w:rsid w:val="35E04306"/>
    <w:rsid w:val="366F6862"/>
    <w:rsid w:val="36CE17DB"/>
    <w:rsid w:val="38D17360"/>
    <w:rsid w:val="39A763F4"/>
    <w:rsid w:val="3A0D6176"/>
    <w:rsid w:val="3CF25AF7"/>
    <w:rsid w:val="3DB92907"/>
    <w:rsid w:val="3FFA5064"/>
    <w:rsid w:val="41444849"/>
    <w:rsid w:val="423D7815"/>
    <w:rsid w:val="43F4172E"/>
    <w:rsid w:val="442273CC"/>
    <w:rsid w:val="450E36F0"/>
    <w:rsid w:val="47445C3B"/>
    <w:rsid w:val="47DE1152"/>
    <w:rsid w:val="4838470C"/>
    <w:rsid w:val="487815A6"/>
    <w:rsid w:val="49080B7C"/>
    <w:rsid w:val="49B45057"/>
    <w:rsid w:val="4A600544"/>
    <w:rsid w:val="4C0A1CAF"/>
    <w:rsid w:val="4D673998"/>
    <w:rsid w:val="4EDD03B5"/>
    <w:rsid w:val="4EE01C53"/>
    <w:rsid w:val="4F351F9F"/>
    <w:rsid w:val="4F6B59C1"/>
    <w:rsid w:val="4F7221E4"/>
    <w:rsid w:val="4F905EB9"/>
    <w:rsid w:val="50326B78"/>
    <w:rsid w:val="504340AF"/>
    <w:rsid w:val="51705511"/>
    <w:rsid w:val="51F003FF"/>
    <w:rsid w:val="52285DEB"/>
    <w:rsid w:val="529C2335"/>
    <w:rsid w:val="52BC6CCF"/>
    <w:rsid w:val="52FD220E"/>
    <w:rsid w:val="53470DC3"/>
    <w:rsid w:val="53E2021C"/>
    <w:rsid w:val="5503669C"/>
    <w:rsid w:val="553066B8"/>
    <w:rsid w:val="555E64B9"/>
    <w:rsid w:val="55E41564"/>
    <w:rsid w:val="567D5FDA"/>
    <w:rsid w:val="587C0ED6"/>
    <w:rsid w:val="589B00FC"/>
    <w:rsid w:val="58AD4CD0"/>
    <w:rsid w:val="598633F7"/>
    <w:rsid w:val="5AAE2C06"/>
    <w:rsid w:val="5B3E6680"/>
    <w:rsid w:val="5CE24DE9"/>
    <w:rsid w:val="5DBB3FB7"/>
    <w:rsid w:val="5F3B4FCA"/>
    <w:rsid w:val="6028345A"/>
    <w:rsid w:val="607C7302"/>
    <w:rsid w:val="624D30C1"/>
    <w:rsid w:val="62B53DE9"/>
    <w:rsid w:val="63517912"/>
    <w:rsid w:val="63CA5BA1"/>
    <w:rsid w:val="64230A79"/>
    <w:rsid w:val="64850E7B"/>
    <w:rsid w:val="64B652C9"/>
    <w:rsid w:val="64FB6691"/>
    <w:rsid w:val="6593724D"/>
    <w:rsid w:val="65D908E8"/>
    <w:rsid w:val="66A01F9C"/>
    <w:rsid w:val="681676DB"/>
    <w:rsid w:val="691009A1"/>
    <w:rsid w:val="691C2241"/>
    <w:rsid w:val="69212FFA"/>
    <w:rsid w:val="6A2133F4"/>
    <w:rsid w:val="6A3A5458"/>
    <w:rsid w:val="6AF24D91"/>
    <w:rsid w:val="6AF45BED"/>
    <w:rsid w:val="6B4750DC"/>
    <w:rsid w:val="6BAA44C9"/>
    <w:rsid w:val="6BCB4199"/>
    <w:rsid w:val="6BF25C27"/>
    <w:rsid w:val="6CE16E15"/>
    <w:rsid w:val="6E190508"/>
    <w:rsid w:val="6E9C573F"/>
    <w:rsid w:val="6F235519"/>
    <w:rsid w:val="6F84131D"/>
    <w:rsid w:val="71557E27"/>
    <w:rsid w:val="732C61B0"/>
    <w:rsid w:val="73510AA4"/>
    <w:rsid w:val="73551DE7"/>
    <w:rsid w:val="73773128"/>
    <w:rsid w:val="73B11537"/>
    <w:rsid w:val="744C5512"/>
    <w:rsid w:val="7452064E"/>
    <w:rsid w:val="749E46DD"/>
    <w:rsid w:val="76526E22"/>
    <w:rsid w:val="76CF47F2"/>
    <w:rsid w:val="778E78B5"/>
    <w:rsid w:val="77A06EFD"/>
    <w:rsid w:val="77B417CF"/>
    <w:rsid w:val="794B3FEA"/>
    <w:rsid w:val="799F7E92"/>
    <w:rsid w:val="7A813A3B"/>
    <w:rsid w:val="7DDF73F6"/>
    <w:rsid w:val="7DFB231F"/>
    <w:rsid w:val="7EE03426"/>
    <w:rsid w:val="7EF059D5"/>
    <w:rsid w:val="7F7848B0"/>
    <w:rsid w:val="7F9C04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3648DA"/>
  <w15:docId w15:val="{7D0496BE-B40B-4474-A1D4-F4D643694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440" w:lineRule="exact"/>
      <w:ind w:firstLineChars="200" w:firstLine="420"/>
      <w:jc w:val="both"/>
    </w:pPr>
    <w:rPr>
      <w:kern w:val="2"/>
      <w:sz w:val="24"/>
      <w:szCs w:val="24"/>
    </w:rPr>
  </w:style>
  <w:style w:type="paragraph" w:styleId="1">
    <w:name w:val="heading 1"/>
    <w:basedOn w:val="a"/>
    <w:next w:val="a"/>
    <w:qFormat/>
    <w:pPr>
      <w:keepNext/>
      <w:keepLines/>
      <w:spacing w:before="120" w:after="120" w:line="240" w:lineRule="atLeast"/>
      <w:ind w:firstLineChars="0" w:firstLine="0"/>
      <w:jc w:val="center"/>
      <w:outlineLvl w:val="0"/>
    </w:pPr>
    <w:rPr>
      <w:b/>
      <w:kern w:val="44"/>
      <w:sz w:val="36"/>
    </w:rPr>
  </w:style>
  <w:style w:type="paragraph" w:styleId="2">
    <w:name w:val="heading 2"/>
    <w:basedOn w:val="a"/>
    <w:next w:val="a"/>
    <w:semiHidden/>
    <w:unhideWhenUsed/>
    <w:qFormat/>
    <w:pPr>
      <w:keepNext/>
      <w:keepLines/>
      <w:spacing w:before="120" w:after="120" w:line="240" w:lineRule="atLeast"/>
      <w:ind w:firstLineChars="0" w:firstLine="0"/>
      <w:jc w:val="left"/>
      <w:outlineLvl w:val="1"/>
    </w:pPr>
    <w:rPr>
      <w:b/>
      <w:sz w:val="32"/>
    </w:rPr>
  </w:style>
  <w:style w:type="paragraph" w:styleId="3">
    <w:name w:val="heading 3"/>
    <w:basedOn w:val="a"/>
    <w:next w:val="a"/>
    <w:semiHidden/>
    <w:unhideWhenUsed/>
    <w:qFormat/>
    <w:pPr>
      <w:keepNext/>
      <w:keepLines/>
      <w:spacing w:before="120" w:after="120" w:line="240" w:lineRule="atLeast"/>
      <w:ind w:firstLineChars="0" w:firstLine="0"/>
      <w:jc w:val="left"/>
      <w:outlineLvl w:val="2"/>
    </w:pPr>
    <w:rPr>
      <w:b/>
      <w:sz w:val="30"/>
    </w:rPr>
  </w:style>
  <w:style w:type="paragraph" w:styleId="4">
    <w:name w:val="heading 4"/>
    <w:basedOn w:val="a"/>
    <w:next w:val="a"/>
    <w:semiHidden/>
    <w:unhideWhenUsed/>
    <w:qFormat/>
    <w:pPr>
      <w:keepNext/>
      <w:keepLines/>
      <w:spacing w:before="120" w:after="120" w:line="240" w:lineRule="atLeast"/>
      <w:ind w:firstLineChars="0" w:firstLine="0"/>
      <w:jc w:val="left"/>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spacing w:line="240" w:lineRule="atLeast"/>
      <w:ind w:left="601" w:firstLine="480"/>
    </w:pPr>
    <w:rPr>
      <w:rFonts w:ascii="宋体" w:hAnsi="宋体" w:cs="宋体"/>
      <w:lang w:val="zh-CN" w:bidi="zh-CN"/>
    </w:rPr>
  </w:style>
  <w:style w:type="table" w:styleId="a4">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rPr>
      <w:color w:val="0000FF"/>
      <w:u w:val="single"/>
    </w:rPr>
  </w:style>
  <w:style w:type="paragraph" w:styleId="a6">
    <w:name w:val="List Paragraph"/>
    <w:basedOn w:val="a"/>
    <w:uiPriority w:val="99"/>
    <w:unhideWhenUsed/>
    <w:qFormat/>
  </w:style>
  <w:style w:type="character" w:styleId="a7">
    <w:name w:val="Placeholder Text"/>
    <w:basedOn w:val="a0"/>
    <w:uiPriority w:val="99"/>
    <w:unhideWhenUsed/>
    <w:qFormat/>
    <w:rPr>
      <w:color w:val="666666"/>
    </w:rPr>
  </w:style>
  <w:style w:type="table" w:customStyle="1" w:styleId="11">
    <w:name w:val="网格表 1 浅色1"/>
    <w:basedOn w:val="a1"/>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51">
    <w:name w:val="无格式表格 51"/>
    <w:basedOn w:val="a1"/>
    <w:uiPriority w:val="45"/>
    <w:qFormat/>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10">
    <w:name w:val="网格型1"/>
    <w:basedOn w:val="a1"/>
    <w:uiPriority w:val="99"/>
    <w:qFormat/>
    <w:pPr>
      <w:widowControl w:val="0"/>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rsid w:val="00F27B42"/>
    <w:rPr>
      <w:sz w:val="21"/>
      <w:szCs w:val="21"/>
    </w:rPr>
  </w:style>
  <w:style w:type="paragraph" w:styleId="a9">
    <w:name w:val="annotation text"/>
    <w:basedOn w:val="a"/>
    <w:link w:val="aa"/>
    <w:rsid w:val="00F27B42"/>
    <w:pPr>
      <w:jc w:val="left"/>
    </w:pPr>
  </w:style>
  <w:style w:type="character" w:customStyle="1" w:styleId="aa">
    <w:name w:val="批注文字 字符"/>
    <w:basedOn w:val="a0"/>
    <w:link w:val="a9"/>
    <w:rsid w:val="00F27B42"/>
    <w:rPr>
      <w:kern w:val="2"/>
      <w:sz w:val="24"/>
      <w:szCs w:val="24"/>
    </w:rPr>
  </w:style>
  <w:style w:type="paragraph" w:styleId="ab">
    <w:name w:val="annotation subject"/>
    <w:basedOn w:val="a9"/>
    <w:next w:val="a9"/>
    <w:link w:val="ac"/>
    <w:rsid w:val="00F27B42"/>
    <w:rPr>
      <w:b/>
      <w:bCs/>
    </w:rPr>
  </w:style>
  <w:style w:type="character" w:customStyle="1" w:styleId="ac">
    <w:name w:val="批注主题 字符"/>
    <w:basedOn w:val="aa"/>
    <w:link w:val="ab"/>
    <w:rsid w:val="00F27B42"/>
    <w:rPr>
      <w:b/>
      <w:bCs/>
      <w:kern w:val="2"/>
      <w:sz w:val="24"/>
      <w:szCs w:val="24"/>
    </w:rPr>
  </w:style>
  <w:style w:type="paragraph" w:styleId="ad">
    <w:name w:val="Balloon Text"/>
    <w:basedOn w:val="a"/>
    <w:link w:val="ae"/>
    <w:rsid w:val="00F27B42"/>
    <w:pPr>
      <w:spacing w:line="240" w:lineRule="auto"/>
    </w:pPr>
    <w:rPr>
      <w:sz w:val="18"/>
      <w:szCs w:val="18"/>
    </w:rPr>
  </w:style>
  <w:style w:type="character" w:customStyle="1" w:styleId="ae">
    <w:name w:val="批注框文本 字符"/>
    <w:basedOn w:val="a0"/>
    <w:link w:val="ad"/>
    <w:rsid w:val="00F27B4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package" Target="embeddings/Microsoft_Visio___1.vsdx"/><Relationship Id="rId18" Type="http://schemas.openxmlformats.org/officeDocument/2006/relationships/image" Target="media/image5.emf"/><Relationship Id="rId26" Type="http://schemas.openxmlformats.org/officeDocument/2006/relationships/image" Target="media/image9.emf"/><Relationship Id="rId3" Type="http://schemas.openxmlformats.org/officeDocument/2006/relationships/styles" Target="styles.xml"/><Relationship Id="rId21" Type="http://schemas.openxmlformats.org/officeDocument/2006/relationships/package" Target="embeddings/Microsoft_Visio___5.vsdx"/><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package" Target="embeddings/Microsoft_Visio___3.vsdx"/><Relationship Id="rId25" Type="http://schemas.openxmlformats.org/officeDocument/2006/relationships/package" Target="embeddings/Microsoft_Visio___7.vsdx"/><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vsdx"/><Relationship Id="rId24" Type="http://schemas.openxmlformats.org/officeDocument/2006/relationships/image" Target="media/image8.emf"/><Relationship Id="rId5" Type="http://schemas.openxmlformats.org/officeDocument/2006/relationships/webSettings" Target="webSettings.xml"/><Relationship Id="rId15" Type="http://schemas.openxmlformats.org/officeDocument/2006/relationships/package" Target="embeddings/Microsoft_Visio___2.vsdx"/><Relationship Id="rId23" Type="http://schemas.openxmlformats.org/officeDocument/2006/relationships/package" Target="embeddings/Microsoft_Visio___6.vsdx"/><Relationship Id="rId28" Type="http://schemas.openxmlformats.org/officeDocument/2006/relationships/image" Target="media/image10.jpeg"/><Relationship Id="rId10" Type="http://schemas.openxmlformats.org/officeDocument/2006/relationships/image" Target="media/image1.emf"/><Relationship Id="rId19" Type="http://schemas.openxmlformats.org/officeDocument/2006/relationships/package" Target="embeddings/Microsoft_Visio___4.vsdx"/><Relationship Id="rId31"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package" Target="embeddings/Microsoft_Visio___8.vsdx"/><Relationship Id="rId30" Type="http://schemas.microsoft.com/office/2011/relationships/people" Target="peop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336A7-491A-48B9-94B6-C4B007266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Pages>
  <Words>1890</Words>
  <Characters>10776</Characters>
  <Application>Microsoft Office Word</Application>
  <DocSecurity>0</DocSecurity>
  <Lines>89</Lines>
  <Paragraphs>25</Paragraphs>
  <ScaleCrop>false</ScaleCrop>
  <Company>微软中国</Company>
  <LinksUpToDate>false</LinksUpToDate>
  <CharactersWithSpaces>12641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LuoMan</dc:creator>
  <cp:lastModifiedBy>admin</cp:lastModifiedBy>
  <cp:revision>75</cp:revision>
  <dcterms:created xsi:type="dcterms:W3CDTF">2024-12-30T07:27:00Z</dcterms:created>
  <dcterms:modified xsi:type="dcterms:W3CDTF">2025-10-16T02:16:00Z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EDE329AA3FD142BEB72411C185A7A9D8</vt:lpwstr>
  </property>
</Properties>
</file>