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33BAC" w14:textId="77777777" w:rsidR="00497B08" w:rsidRDefault="007C5ED7">
      <w:pPr>
        <w:pStyle w:val="02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硅基</w:t>
      </w:r>
      <w:r>
        <w:rPr>
          <w:rFonts w:ascii="黑体" w:eastAsia="黑体" w:hAnsi="黑体" w:cs="黑体" w:hint="eastAsia"/>
        </w:rPr>
        <w:t>Sb</w:t>
      </w:r>
      <w:r>
        <w:rPr>
          <w:rFonts w:ascii="黑体" w:eastAsia="黑体" w:hAnsi="黑体" w:cs="黑体" w:hint="eastAsia"/>
        </w:rPr>
        <w:t>₂</w:t>
      </w:r>
      <w:r>
        <w:rPr>
          <w:rFonts w:ascii="黑体" w:eastAsia="黑体" w:hAnsi="黑体" w:cs="黑体" w:hint="eastAsia"/>
        </w:rPr>
        <w:t>Se</w:t>
      </w:r>
      <w:r>
        <w:rPr>
          <w:rFonts w:ascii="黑体" w:eastAsia="黑体" w:hAnsi="黑体" w:cs="黑体" w:hint="eastAsia"/>
        </w:rPr>
        <w:t>₃相变材料非易失性电控光开关</w:t>
      </w:r>
    </w:p>
    <w:p w14:paraId="4F14EC1B" w14:textId="77777777" w:rsidR="00497B08" w:rsidRDefault="007C5ED7">
      <w:pPr>
        <w:jc w:val="center"/>
        <w:rPr>
          <w:rFonts w:ascii="楷体" w:eastAsia="楷体" w:hAnsi="楷体" w:cs="楷体"/>
          <w:sz w:val="24"/>
          <w:vertAlign w:val="superscript"/>
        </w:rPr>
      </w:pPr>
      <w:r>
        <w:rPr>
          <w:rFonts w:ascii="楷体" w:eastAsia="楷体" w:hAnsi="楷体" w:cs="楷体" w:hint="eastAsia"/>
          <w:sz w:val="24"/>
        </w:rPr>
        <w:t>余闰</w:t>
      </w:r>
      <w:r>
        <w:rPr>
          <w:rFonts w:ascii="楷体" w:eastAsia="楷体" w:hAnsi="楷体" w:cs="楷体" w:hint="eastAsia"/>
          <w:sz w:val="24"/>
          <w:vertAlign w:val="superscript"/>
        </w:rPr>
        <w:t>1</w:t>
      </w:r>
      <w:r>
        <w:rPr>
          <w:rFonts w:ascii="楷体" w:eastAsia="楷体" w:hAnsi="楷体" w:cs="楷体" w:hint="eastAsia"/>
          <w:sz w:val="24"/>
        </w:rPr>
        <w:t>，杨岚曌</w:t>
      </w:r>
      <w:r>
        <w:rPr>
          <w:rFonts w:ascii="楷体" w:eastAsia="楷体" w:hAnsi="楷体" w:cs="楷体" w:hint="eastAsia"/>
          <w:sz w:val="24"/>
          <w:vertAlign w:val="superscript"/>
        </w:rPr>
        <w:t>1</w:t>
      </w:r>
      <w:r>
        <w:rPr>
          <w:rFonts w:ascii="楷体" w:eastAsia="楷体" w:hAnsi="楷体" w:cs="楷体" w:hint="eastAsia"/>
          <w:sz w:val="24"/>
        </w:rPr>
        <w:t>，牛磊</w:t>
      </w:r>
      <w:r>
        <w:rPr>
          <w:rFonts w:ascii="楷体" w:eastAsia="楷体" w:hAnsi="楷体" w:cs="楷体" w:hint="eastAsia"/>
          <w:sz w:val="24"/>
          <w:vertAlign w:val="superscript"/>
        </w:rPr>
        <w:t>3</w:t>
      </w:r>
      <w:r>
        <w:rPr>
          <w:rFonts w:ascii="楷体" w:eastAsia="楷体" w:hAnsi="楷体" w:cs="楷体" w:hint="eastAsia"/>
          <w:sz w:val="24"/>
        </w:rPr>
        <w:t>，王荣平</w:t>
      </w:r>
      <w:r>
        <w:rPr>
          <w:rFonts w:ascii="楷体" w:eastAsia="楷体" w:hAnsi="楷体" w:cs="楷体" w:hint="eastAsia"/>
          <w:sz w:val="24"/>
          <w:vertAlign w:val="superscript"/>
        </w:rPr>
        <w:t>3</w:t>
      </w:r>
      <w:r>
        <w:rPr>
          <w:rFonts w:ascii="楷体" w:eastAsia="楷体" w:hAnsi="楷体" w:cs="楷体" w:hint="eastAsia"/>
          <w:sz w:val="24"/>
        </w:rPr>
        <w:t>，吕业刚</w:t>
      </w:r>
      <w:r>
        <w:rPr>
          <w:rFonts w:ascii="楷体" w:eastAsia="楷体" w:hAnsi="楷体" w:cs="楷体" w:hint="eastAsia"/>
          <w:sz w:val="24"/>
          <w:vertAlign w:val="superscript"/>
        </w:rPr>
        <w:t>1</w:t>
      </w:r>
      <w:r>
        <w:rPr>
          <w:rFonts w:ascii="楷体" w:eastAsia="楷体" w:hAnsi="楷体" w:cs="楷体" w:hint="eastAsia"/>
          <w:sz w:val="24"/>
        </w:rPr>
        <w:t>，徐培鹏</w:t>
      </w:r>
      <w:r>
        <w:rPr>
          <w:rFonts w:ascii="楷体" w:eastAsia="楷体" w:hAnsi="楷体" w:cs="楷体" w:hint="eastAsia"/>
          <w:sz w:val="24"/>
          <w:vertAlign w:val="superscript"/>
        </w:rPr>
        <w:t>1,2*</w:t>
      </w:r>
    </w:p>
    <w:p w14:paraId="70B2B19B" w14:textId="77777777" w:rsidR="00497B08" w:rsidRDefault="007C5ED7">
      <w:pPr>
        <w:pStyle w:val="04"/>
        <w:spacing w:after="0" w:line="240" w:lineRule="auto"/>
        <w:rPr>
          <w:sz w:val="15"/>
          <w:szCs w:val="15"/>
        </w:rPr>
      </w:pPr>
      <w:r>
        <w:rPr>
          <w:rFonts w:eastAsia="方正宋三简体" w:hint="eastAsia"/>
          <w:sz w:val="15"/>
          <w:szCs w:val="15"/>
        </w:rPr>
        <w:t>（</w:t>
      </w:r>
      <w:r>
        <w:rPr>
          <w:rFonts w:eastAsia="方正宋三简体" w:hint="eastAsia"/>
          <w:sz w:val="15"/>
          <w:szCs w:val="15"/>
        </w:rPr>
        <w:t>1.</w:t>
      </w:r>
      <w:r>
        <w:rPr>
          <w:rFonts w:hint="eastAsia"/>
          <w:sz w:val="15"/>
          <w:szCs w:val="15"/>
        </w:rPr>
        <w:t>宁波大学</w:t>
      </w:r>
      <w:r>
        <w:rPr>
          <w:rFonts w:hint="eastAsia"/>
          <w:sz w:val="15"/>
          <w:szCs w:val="15"/>
        </w:rPr>
        <w:t xml:space="preserve"> </w:t>
      </w:r>
      <w:r>
        <w:rPr>
          <w:rFonts w:hint="eastAsia"/>
          <w:sz w:val="15"/>
          <w:szCs w:val="15"/>
        </w:rPr>
        <w:t>信息科学与工程学院，浙江</w:t>
      </w:r>
      <w:r>
        <w:rPr>
          <w:rFonts w:hint="eastAsia"/>
          <w:sz w:val="15"/>
          <w:szCs w:val="15"/>
        </w:rPr>
        <w:t xml:space="preserve"> </w:t>
      </w:r>
      <w:r>
        <w:rPr>
          <w:rFonts w:hint="eastAsia"/>
          <w:sz w:val="15"/>
          <w:szCs w:val="15"/>
        </w:rPr>
        <w:t>宁波</w:t>
      </w:r>
      <w:r>
        <w:rPr>
          <w:rFonts w:hint="eastAsia"/>
          <w:sz w:val="15"/>
          <w:szCs w:val="15"/>
        </w:rPr>
        <w:t xml:space="preserve"> 315211</w:t>
      </w:r>
      <w:r>
        <w:rPr>
          <w:rFonts w:hint="eastAsia"/>
          <w:sz w:val="15"/>
          <w:szCs w:val="15"/>
        </w:rPr>
        <w:t>；</w:t>
      </w:r>
    </w:p>
    <w:p w14:paraId="1254736F" w14:textId="77777777" w:rsidR="00497B08" w:rsidRDefault="007C5ED7">
      <w:pPr>
        <w:pStyle w:val="04"/>
        <w:spacing w:after="0" w:line="240" w:lineRule="auto"/>
        <w:rPr>
          <w:sz w:val="15"/>
          <w:szCs w:val="15"/>
        </w:rPr>
      </w:pPr>
      <w:r>
        <w:rPr>
          <w:rFonts w:eastAsia="方正宋三简体"/>
          <w:sz w:val="15"/>
          <w:szCs w:val="15"/>
        </w:rPr>
        <w:t>2.</w:t>
      </w:r>
      <w:r>
        <w:rPr>
          <w:rFonts w:hint="eastAsia"/>
          <w:sz w:val="15"/>
          <w:szCs w:val="15"/>
        </w:rPr>
        <w:t>中国科学院上海微系统与信息技术研究所，上海</w:t>
      </w:r>
      <w:r>
        <w:rPr>
          <w:rFonts w:hint="eastAsia"/>
          <w:sz w:val="15"/>
          <w:szCs w:val="15"/>
        </w:rPr>
        <w:t xml:space="preserve"> 200050</w:t>
      </w:r>
      <w:r>
        <w:rPr>
          <w:rFonts w:hint="eastAsia"/>
          <w:sz w:val="15"/>
          <w:szCs w:val="15"/>
        </w:rPr>
        <w:t>；</w:t>
      </w:r>
      <w:r>
        <w:rPr>
          <w:rFonts w:hint="eastAsia"/>
          <w:sz w:val="15"/>
          <w:szCs w:val="15"/>
        </w:rPr>
        <w:t>3.</w:t>
      </w:r>
      <w:r>
        <w:rPr>
          <w:rFonts w:hint="eastAsia"/>
          <w:sz w:val="15"/>
          <w:szCs w:val="15"/>
        </w:rPr>
        <w:t>宁波大学</w:t>
      </w:r>
      <w:r>
        <w:rPr>
          <w:rFonts w:hint="eastAsia"/>
          <w:sz w:val="15"/>
          <w:szCs w:val="15"/>
        </w:rPr>
        <w:t xml:space="preserve"> </w:t>
      </w:r>
      <w:r>
        <w:rPr>
          <w:rFonts w:hint="eastAsia"/>
          <w:sz w:val="15"/>
          <w:szCs w:val="15"/>
        </w:rPr>
        <w:t>高等技术研究院，浙江</w:t>
      </w:r>
      <w:r>
        <w:rPr>
          <w:rFonts w:hint="eastAsia"/>
          <w:sz w:val="15"/>
          <w:szCs w:val="15"/>
        </w:rPr>
        <w:t xml:space="preserve"> </w:t>
      </w:r>
      <w:r>
        <w:rPr>
          <w:rFonts w:hint="eastAsia"/>
          <w:sz w:val="15"/>
          <w:szCs w:val="15"/>
        </w:rPr>
        <w:t>宁波</w:t>
      </w:r>
      <w:r>
        <w:rPr>
          <w:rFonts w:hint="eastAsia"/>
          <w:sz w:val="15"/>
          <w:szCs w:val="15"/>
        </w:rPr>
        <w:t xml:space="preserve"> 315211</w:t>
      </w:r>
      <w:r>
        <w:rPr>
          <w:rFonts w:hint="eastAsia"/>
          <w:sz w:val="15"/>
          <w:szCs w:val="15"/>
        </w:rPr>
        <w:t>）</w:t>
      </w:r>
    </w:p>
    <w:p w14:paraId="4CDD20FF" w14:textId="77777777" w:rsidR="00497B08" w:rsidRDefault="00497B08">
      <w:pPr>
        <w:pStyle w:val="04"/>
        <w:spacing w:after="0" w:line="240" w:lineRule="auto"/>
        <w:rPr>
          <w:sz w:val="15"/>
          <w:szCs w:val="15"/>
        </w:rPr>
      </w:pPr>
    </w:p>
    <w:p w14:paraId="5A47AEE7" w14:textId="77777777" w:rsidR="00497B08" w:rsidRDefault="007C5ED7">
      <w:pPr>
        <w:pStyle w:val="05"/>
      </w:pPr>
      <w:r>
        <w:rPr>
          <w:rFonts w:ascii="宋体" w:eastAsia="宋体" w:hAnsi="宋体" w:cs="宋体" w:hint="eastAsia"/>
          <w:b/>
          <w:bCs/>
        </w:rPr>
        <w:t>摘要</w:t>
      </w:r>
      <w:r>
        <w:rPr>
          <w:rFonts w:ascii="黑体" w:eastAsia="黑体" w:hAnsi="黑体" w:cs="黑体" w:hint="eastAsia"/>
          <w:b/>
          <w:bCs/>
        </w:rPr>
        <w:t>：</w:t>
      </w:r>
      <w:r>
        <w:rPr>
          <w:rFonts w:hint="eastAsia"/>
        </w:rPr>
        <w:t>为解决硅基可编程光子集成器件能耗高、易失性和尺寸较大的问题，设计了一种</w:t>
      </w:r>
      <w:r>
        <w:rPr>
          <w:rFonts w:hint="eastAsia"/>
          <w:color w:val="FF0000"/>
        </w:rPr>
        <w:t>硅基相变材料集成的非易失性电控光开关</w:t>
      </w:r>
      <w:r>
        <w:rPr>
          <w:rFonts w:hint="eastAsia"/>
        </w:rPr>
        <w:t>。该类型器件利用硅基</w:t>
      </w:r>
      <w:r>
        <w:t>p⁺⁺–i–n⁺⁺</w:t>
      </w:r>
      <w:r>
        <w:rPr>
          <w:rFonts w:hint="eastAsia"/>
        </w:rPr>
        <w:t>（</w:t>
      </w:r>
      <w:r>
        <w:t>PIN</w:t>
      </w:r>
      <w:r>
        <w:rPr>
          <w:rFonts w:hint="eastAsia"/>
        </w:rPr>
        <w:t>）掺杂电控加热器调控相变材料的晶态，实现光的低能耗切换和多级调控。研究中，设计并实现了两种光开关结构：非对称方向耦合器（</w:t>
      </w:r>
      <w:r>
        <w:rPr>
          <w:rFonts w:hint="eastAsia"/>
        </w:rPr>
        <w:t>ADC</w:t>
      </w:r>
      <w:r>
        <w:rPr>
          <w:rFonts w:hint="eastAsia"/>
        </w:rPr>
        <w:t>）光开关在</w:t>
      </w:r>
      <w:r>
        <w:rPr>
          <w:rFonts w:hint="eastAsia"/>
        </w:rPr>
        <w:t>1550 nm</w:t>
      </w:r>
      <w:r>
        <w:rPr>
          <w:rFonts w:hint="eastAsia"/>
        </w:rPr>
        <w:t>波长下呈现非晶态</w:t>
      </w:r>
      <w:r>
        <w:rPr>
          <w:rFonts w:hint="eastAsia"/>
        </w:rPr>
        <w:t>/</w:t>
      </w:r>
      <w:r>
        <w:rPr>
          <w:rFonts w:hint="eastAsia"/>
        </w:rPr>
        <w:t>晶态串扰分别为</w:t>
      </w:r>
      <w:r>
        <w:rPr>
          <w:rFonts w:hint="eastAsia"/>
        </w:rPr>
        <w:t>-11/-22 dB</w:t>
      </w:r>
      <w:r>
        <w:rPr>
          <w:rFonts w:hint="eastAsia"/>
        </w:rPr>
        <w:t>，插入损耗约为</w:t>
      </w:r>
      <w:r>
        <w:rPr>
          <w:rFonts w:hint="eastAsia"/>
        </w:rPr>
        <w:t>0.4/1 dB</w:t>
      </w:r>
      <w:r>
        <w:rPr>
          <w:rFonts w:hint="eastAsia"/>
        </w:rPr>
        <w:t>，耦合长度</w:t>
      </w:r>
      <w:r>
        <w:rPr>
          <w:rFonts w:hint="eastAsia"/>
        </w:rPr>
        <w:t xml:space="preserve">23.7 </w:t>
      </w:r>
      <w:r>
        <w:t>μm</w:t>
      </w:r>
      <w:r>
        <w:rPr>
          <w:rFonts w:hint="eastAsia"/>
        </w:rPr>
        <w:t>；马赫</w:t>
      </w:r>
      <w:r>
        <w:rPr>
          <w:rFonts w:hint="eastAsia"/>
        </w:rPr>
        <w:t>-</w:t>
      </w:r>
      <w:r>
        <w:rPr>
          <w:rFonts w:hint="eastAsia"/>
        </w:rPr>
        <w:t>曾德干涉仪（</w:t>
      </w:r>
      <w:r>
        <w:rPr>
          <w:rFonts w:hint="eastAsia"/>
        </w:rPr>
        <w:t>MZI</w:t>
      </w:r>
      <w:r>
        <w:rPr>
          <w:rFonts w:hint="eastAsia"/>
        </w:rPr>
        <w:t>）光开关实现</w:t>
      </w:r>
      <w:r>
        <w:rPr>
          <w:rFonts w:hint="eastAsia"/>
        </w:rPr>
        <w:t>14 dB</w:t>
      </w:r>
      <w:r>
        <w:rPr>
          <w:rFonts w:hint="eastAsia"/>
        </w:rPr>
        <w:t>消光比，单次调控最大能耗约为</w:t>
      </w:r>
      <w:r>
        <w:rPr>
          <w:rFonts w:hint="eastAsia"/>
        </w:rPr>
        <w:t>0.32 mJ</w:t>
      </w:r>
      <w:r>
        <w:rPr>
          <w:rFonts w:hint="eastAsia"/>
        </w:rPr>
        <w:t>。</w:t>
      </w:r>
    </w:p>
    <w:p w14:paraId="0B0DACB6" w14:textId="77777777" w:rsidR="00497B08" w:rsidRDefault="007C5ED7">
      <w:pPr>
        <w:pStyle w:val="11"/>
        <w:ind w:firstLineChars="0" w:firstLine="0"/>
        <w:rPr>
          <w:rFonts w:ascii="楷体" w:eastAsia="楷体" w:hAnsi="楷体" w:cs="楷体"/>
          <w:sz w:val="18"/>
          <w:szCs w:val="18"/>
        </w:rPr>
      </w:pPr>
      <w:r>
        <w:rPr>
          <w:rFonts w:ascii="宋体" w:hAnsi="宋体" w:cs="宋体" w:hint="eastAsia"/>
          <w:b/>
          <w:bCs/>
          <w:sz w:val="18"/>
          <w:szCs w:val="18"/>
        </w:rPr>
        <w:t>关键词：</w:t>
      </w:r>
      <w:r>
        <w:rPr>
          <w:rFonts w:ascii="楷体" w:eastAsia="楷体" w:hAnsi="楷体" w:cs="楷体" w:hint="eastAsia"/>
          <w:sz w:val="18"/>
          <w:szCs w:val="18"/>
        </w:rPr>
        <w:t>光开关；相变材料；多级操作；方向耦合器；马赫</w:t>
      </w:r>
      <w:r>
        <w:rPr>
          <w:rFonts w:ascii="楷体" w:eastAsia="楷体" w:hAnsi="楷体" w:cs="楷体" w:hint="eastAsia"/>
          <w:sz w:val="18"/>
          <w:szCs w:val="18"/>
        </w:rPr>
        <w:t>-</w:t>
      </w:r>
      <w:r>
        <w:rPr>
          <w:rFonts w:ascii="楷体" w:eastAsia="楷体" w:hAnsi="楷体" w:cs="楷体" w:hint="eastAsia"/>
          <w:sz w:val="18"/>
          <w:szCs w:val="18"/>
        </w:rPr>
        <w:t>曾德干涉仪</w:t>
      </w:r>
    </w:p>
    <w:p w14:paraId="26A77EF6" w14:textId="77777777" w:rsidR="00497B08" w:rsidRDefault="007C5ED7">
      <w:pPr>
        <w:pStyle w:val="11"/>
        <w:ind w:firstLineChars="0" w:firstLine="0"/>
        <w:rPr>
          <w:rFonts w:eastAsia="黑体"/>
          <w:sz w:val="18"/>
          <w:szCs w:val="18"/>
        </w:rPr>
      </w:pPr>
      <w:r>
        <w:rPr>
          <w:rFonts w:ascii="等线" w:eastAsia="等线" w:hAnsi="等线" w:cs="等线" w:hint="eastAsia"/>
          <w:b/>
          <w:sz w:val="18"/>
          <w:szCs w:val="18"/>
        </w:rPr>
        <w:t>中图分类号：</w:t>
      </w:r>
      <w:r>
        <w:rPr>
          <w:rFonts w:eastAsia="黑体"/>
          <w:sz w:val="18"/>
          <w:szCs w:val="18"/>
        </w:rPr>
        <w:t>TN252</w:t>
      </w:r>
    </w:p>
    <w:p w14:paraId="02BE69BB" w14:textId="77777777" w:rsidR="00497B08" w:rsidRDefault="00497B08">
      <w:pPr>
        <w:pStyle w:val="11"/>
        <w:ind w:firstLineChars="0" w:firstLine="0"/>
        <w:rPr>
          <w:rFonts w:eastAsia="黑体"/>
        </w:rPr>
      </w:pPr>
    </w:p>
    <w:p w14:paraId="5DEACD8D" w14:textId="77777777" w:rsidR="00497B08" w:rsidRDefault="007C5ED7">
      <w:pPr>
        <w:pStyle w:val="16"/>
        <w:spacing w:before="0" w:after="0" w:line="240" w:lineRule="auto"/>
        <w:rPr>
          <w:b/>
          <w:bCs w:val="0"/>
          <w:sz w:val="32"/>
          <w:szCs w:val="32"/>
        </w:rPr>
      </w:pPr>
      <w:r>
        <w:rPr>
          <w:b/>
          <w:bCs w:val="0"/>
          <w:sz w:val="32"/>
          <w:szCs w:val="32"/>
        </w:rPr>
        <w:t xml:space="preserve">Silicon-Based </w:t>
      </w:r>
      <w:r>
        <w:rPr>
          <w:rFonts w:hint="eastAsia"/>
          <w:b/>
          <w:bCs w:val="0"/>
          <w:sz w:val="32"/>
          <w:szCs w:val="32"/>
        </w:rPr>
        <w:t>Sb</w:t>
      </w:r>
      <w:r>
        <w:rPr>
          <w:rFonts w:hint="eastAsia"/>
          <w:b/>
          <w:bCs w:val="0"/>
          <w:sz w:val="32"/>
          <w:szCs w:val="32"/>
          <w:vertAlign w:val="subscript"/>
        </w:rPr>
        <w:t>2</w:t>
      </w:r>
      <w:r>
        <w:rPr>
          <w:rFonts w:hint="eastAsia"/>
          <w:b/>
          <w:bCs w:val="0"/>
          <w:sz w:val="32"/>
          <w:szCs w:val="32"/>
        </w:rPr>
        <w:t>S</w:t>
      </w:r>
      <w:r>
        <w:rPr>
          <w:rFonts w:hint="eastAsia"/>
          <w:b/>
          <w:bCs w:val="0"/>
          <w:sz w:val="32"/>
          <w:szCs w:val="32"/>
        </w:rPr>
        <w:t>e</w:t>
      </w:r>
      <w:r>
        <w:rPr>
          <w:rFonts w:hint="eastAsia"/>
          <w:b/>
          <w:bCs w:val="0"/>
          <w:sz w:val="32"/>
          <w:szCs w:val="32"/>
          <w:vertAlign w:val="subscript"/>
        </w:rPr>
        <w:t>3</w:t>
      </w:r>
      <w:r>
        <w:rPr>
          <w:b/>
          <w:bCs w:val="0"/>
          <w:sz w:val="32"/>
          <w:szCs w:val="32"/>
        </w:rPr>
        <w:t xml:space="preserve"> Phase-Change Material for Non-Volatile Electrically Controlled Optical Switches</w:t>
      </w:r>
    </w:p>
    <w:p w14:paraId="13DC70EC" w14:textId="77777777" w:rsidR="00497B08" w:rsidRDefault="007C5ED7">
      <w:pPr>
        <w:pStyle w:val="17"/>
        <w:spacing w:before="0" w:line="240" w:lineRule="auto"/>
        <w:rPr>
          <w:rFonts w:eastAsia="黑体"/>
          <w:vertAlign w:val="superscript"/>
        </w:rPr>
      </w:pPr>
      <w:r>
        <w:rPr>
          <w:rFonts w:eastAsia="黑体"/>
        </w:rPr>
        <w:t>YU Run</w:t>
      </w:r>
      <w:r>
        <w:rPr>
          <w:rFonts w:eastAsia="黑体"/>
          <w:vertAlign w:val="superscript"/>
        </w:rPr>
        <w:t>1</w:t>
      </w:r>
      <w:r>
        <w:rPr>
          <w:rFonts w:eastAsia="黑体"/>
        </w:rPr>
        <w:t>，</w:t>
      </w:r>
      <w:r>
        <w:rPr>
          <w:rFonts w:eastAsia="黑体"/>
        </w:rPr>
        <w:t>YANG Lanzhao</w:t>
      </w:r>
      <w:r>
        <w:rPr>
          <w:rFonts w:eastAsia="黑体"/>
          <w:vertAlign w:val="superscript"/>
        </w:rPr>
        <w:t>1</w:t>
      </w:r>
      <w:r>
        <w:rPr>
          <w:rFonts w:eastAsia="黑体"/>
        </w:rPr>
        <w:t>，</w:t>
      </w:r>
      <w:r>
        <w:rPr>
          <w:rFonts w:eastAsia="黑体"/>
        </w:rPr>
        <w:t>NIU Lei</w:t>
      </w:r>
      <w:r>
        <w:rPr>
          <w:rFonts w:eastAsia="黑体"/>
          <w:vertAlign w:val="superscript"/>
        </w:rPr>
        <w:t>3</w:t>
      </w:r>
      <w:r>
        <w:rPr>
          <w:rFonts w:eastAsia="黑体"/>
        </w:rPr>
        <w:t>，</w:t>
      </w:r>
      <w:r>
        <w:rPr>
          <w:rFonts w:eastAsia="黑体"/>
        </w:rPr>
        <w:t>WANG Rongping</w:t>
      </w:r>
      <w:r>
        <w:rPr>
          <w:rFonts w:eastAsia="黑体"/>
          <w:vertAlign w:val="superscript"/>
        </w:rPr>
        <w:t>3</w:t>
      </w:r>
      <w:r>
        <w:rPr>
          <w:rFonts w:eastAsia="黑体"/>
        </w:rPr>
        <w:t>，</w:t>
      </w:r>
      <w:r>
        <w:rPr>
          <w:rFonts w:eastAsia="黑体"/>
        </w:rPr>
        <w:t>LV Yegang</w:t>
      </w:r>
      <w:r>
        <w:rPr>
          <w:rFonts w:eastAsia="黑体"/>
          <w:vertAlign w:val="superscript"/>
        </w:rPr>
        <w:t>1</w:t>
      </w:r>
      <w:r>
        <w:rPr>
          <w:rFonts w:eastAsia="黑体"/>
        </w:rPr>
        <w:t>，</w:t>
      </w:r>
      <w:r>
        <w:rPr>
          <w:rFonts w:eastAsia="黑体"/>
        </w:rPr>
        <w:t>XU Peipeng</w:t>
      </w:r>
      <w:r>
        <w:rPr>
          <w:rFonts w:eastAsia="黑体"/>
          <w:vertAlign w:val="superscript"/>
        </w:rPr>
        <w:t>1,2</w:t>
      </w:r>
      <w:r>
        <w:rPr>
          <w:rFonts w:eastAsia="黑体"/>
        </w:rPr>
        <w:t>*</w:t>
      </w:r>
    </w:p>
    <w:p w14:paraId="0AE4B7EC" w14:textId="77777777" w:rsidR="00497B08" w:rsidRDefault="007C5ED7">
      <w:pPr>
        <w:pStyle w:val="18"/>
        <w:numPr>
          <w:ilvl w:val="0"/>
          <w:numId w:val="5"/>
        </w:numPr>
        <w:spacing w:after="0" w:line="240" w:lineRule="auto"/>
        <w:rPr>
          <w:b/>
          <w:bCs/>
          <w:sz w:val="15"/>
          <w:szCs w:val="15"/>
          <w:lang w:val="en-US"/>
        </w:rPr>
      </w:pPr>
      <w:r>
        <w:rPr>
          <w:rFonts w:hint="eastAsia"/>
          <w:b/>
          <w:bCs/>
          <w:sz w:val="15"/>
          <w:szCs w:val="15"/>
          <w:lang w:val="en-US"/>
        </w:rPr>
        <w:t xml:space="preserve">Faculty of Electrical Engineering and Computer Science, Ningbo University, Ningbo, Zhejiang 315211, </w:t>
      </w:r>
      <w:r>
        <w:rPr>
          <w:rFonts w:hint="eastAsia"/>
          <w:b/>
          <w:bCs/>
          <w:sz w:val="15"/>
          <w:szCs w:val="15"/>
          <w:lang w:val="en-US"/>
        </w:rPr>
        <w:t>China;</w:t>
      </w:r>
      <w:r>
        <w:rPr>
          <w:rFonts w:hint="eastAsia"/>
          <w:b/>
          <w:bCs/>
          <w:sz w:val="15"/>
          <w:szCs w:val="15"/>
          <w:lang w:val="en-US"/>
        </w:rPr>
        <w:br/>
        <w:t>2. Shanghai Institute of Microsystem and Information Technology, Chinese Academy of Sciences, Shanghai 200050, China; 3.Advanced Technology Research Institute, Ningbo University, Ningbo 315211, China;)</w:t>
      </w:r>
    </w:p>
    <w:p w14:paraId="03709654" w14:textId="77777777" w:rsidR="00497B08" w:rsidRDefault="00497B08">
      <w:pPr>
        <w:pStyle w:val="18"/>
        <w:spacing w:after="0" w:line="240" w:lineRule="auto"/>
        <w:rPr>
          <w:lang w:val="en-US"/>
        </w:rPr>
      </w:pPr>
    </w:p>
    <w:p w14:paraId="1143D3D5" w14:textId="77777777" w:rsidR="00497B08" w:rsidRDefault="007C5ED7">
      <w:pPr>
        <w:pStyle w:val="ab"/>
        <w:widowControl/>
        <w:spacing w:beforeAutospacing="0" w:afterAutospacing="0"/>
        <w:jc w:val="both"/>
        <w:rPr>
          <w:sz w:val="18"/>
          <w:szCs w:val="18"/>
        </w:rPr>
      </w:pPr>
      <w:r>
        <w:rPr>
          <w:rStyle w:val="af0"/>
          <w:sz w:val="18"/>
          <w:szCs w:val="18"/>
        </w:rPr>
        <w:t>Abstract</w:t>
      </w:r>
      <w:r>
        <w:rPr>
          <w:sz w:val="18"/>
          <w:szCs w:val="18"/>
        </w:rPr>
        <w:t>: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To address the high energy consumpti</w:t>
      </w:r>
      <w:r>
        <w:rPr>
          <w:sz w:val="18"/>
          <w:szCs w:val="18"/>
        </w:rPr>
        <w:t xml:space="preserve">on and volatility of silicon-based photonic integrated devices, a silicon-based phase-change material integrated non-volatile electrically controlled optical switch is designed. This type of device uses a silicon-based p⁺⁺–i–n⁺⁺ (PIN) doped electrothermal </w:t>
      </w:r>
      <w:r>
        <w:rPr>
          <w:sz w:val="18"/>
          <w:szCs w:val="18"/>
        </w:rPr>
        <w:t xml:space="preserve">heater to control the crystallinity of the phase-change material, enabling low-energy optical switching and multi-level modulation. In the study, two optical switch structures were designed and implemented: the asymmetric directional coupler (ADC) optical </w:t>
      </w:r>
      <w:r>
        <w:rPr>
          <w:sz w:val="18"/>
          <w:szCs w:val="18"/>
        </w:rPr>
        <w:t xml:space="preserve">switch, which exhibits an amorphous/crystalline </w:t>
      </w:r>
      <w:r>
        <w:rPr>
          <w:rFonts w:hint="eastAsia"/>
          <w:sz w:val="18"/>
          <w:szCs w:val="18"/>
        </w:rPr>
        <w:t>crosstalk</w:t>
      </w:r>
      <w:r>
        <w:rPr>
          <w:sz w:val="18"/>
          <w:szCs w:val="18"/>
        </w:rPr>
        <w:t xml:space="preserve"> of </w:t>
      </w:r>
      <w:r>
        <w:rPr>
          <w:rFonts w:hint="eastAsia"/>
          <w:sz w:val="18"/>
          <w:szCs w:val="18"/>
        </w:rPr>
        <w:t>-</w:t>
      </w:r>
      <w:r>
        <w:rPr>
          <w:sz w:val="18"/>
          <w:szCs w:val="18"/>
        </w:rPr>
        <w:t>11/</w:t>
      </w:r>
      <w:r>
        <w:rPr>
          <w:rFonts w:hint="eastAsia"/>
          <w:sz w:val="18"/>
          <w:szCs w:val="18"/>
        </w:rPr>
        <w:t>-</w:t>
      </w:r>
      <w:r>
        <w:rPr>
          <w:sz w:val="18"/>
          <w:szCs w:val="18"/>
        </w:rPr>
        <w:t>22 dB at a wavelength of 1550 nm, an insertion loss of approximately 0.4/1 dB, and a coupling length of 23.7 μm; and the Mach-Zehnder interferometer (MZI) optical switch, which achieves a 14</w:t>
      </w:r>
      <w:r>
        <w:rPr>
          <w:sz w:val="18"/>
          <w:szCs w:val="18"/>
        </w:rPr>
        <w:t xml:space="preserve"> dB </w:t>
      </w:r>
      <w:r>
        <w:rPr>
          <w:rFonts w:hint="eastAsia"/>
          <w:sz w:val="18"/>
          <w:szCs w:val="18"/>
        </w:rPr>
        <w:t>extinction</w:t>
      </w:r>
      <w:r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ratio </w:t>
      </w:r>
      <w:r>
        <w:rPr>
          <w:sz w:val="18"/>
          <w:szCs w:val="18"/>
        </w:rPr>
        <w:t>and a maximum energy consumption of approximately 0.32 mJ per switching event.</w:t>
      </w:r>
    </w:p>
    <w:p w14:paraId="72225882" w14:textId="77777777" w:rsidR="00497B08" w:rsidRDefault="007C5ED7">
      <w:pPr>
        <w:pStyle w:val="ab"/>
        <w:widowControl/>
        <w:spacing w:beforeAutospacing="0" w:afterAutospacing="0"/>
        <w:jc w:val="both"/>
        <w:rPr>
          <w:sz w:val="18"/>
          <w:szCs w:val="18"/>
        </w:rPr>
      </w:pPr>
      <w:r>
        <w:rPr>
          <w:rStyle w:val="af0"/>
          <w:sz w:val="18"/>
          <w:szCs w:val="18"/>
        </w:rPr>
        <w:t>Keywords</w:t>
      </w:r>
      <w:r>
        <w:rPr>
          <w:sz w:val="18"/>
          <w:szCs w:val="18"/>
        </w:rPr>
        <w:t>: Optical switch</w:t>
      </w:r>
      <w:r>
        <w:rPr>
          <w:rFonts w:hint="eastAsia"/>
          <w:sz w:val="18"/>
          <w:szCs w:val="18"/>
        </w:rPr>
        <w:t xml:space="preserve">; </w:t>
      </w:r>
      <w:r>
        <w:rPr>
          <w:sz w:val="18"/>
          <w:szCs w:val="18"/>
        </w:rPr>
        <w:t>phase-change material</w:t>
      </w:r>
      <w:r>
        <w:rPr>
          <w:rFonts w:hint="eastAsia"/>
          <w:sz w:val="18"/>
          <w:szCs w:val="18"/>
        </w:rPr>
        <w:t>;</w:t>
      </w:r>
      <w:r>
        <w:rPr>
          <w:sz w:val="18"/>
          <w:szCs w:val="18"/>
        </w:rPr>
        <w:t xml:space="preserve"> multi-level operation</w:t>
      </w:r>
      <w:r>
        <w:rPr>
          <w:rFonts w:hint="eastAsia"/>
          <w:sz w:val="18"/>
          <w:szCs w:val="18"/>
        </w:rPr>
        <w:t>; Directional coupler; Mach-Zehnder interferometer.</w:t>
      </w:r>
    </w:p>
    <w:p w14:paraId="2AAA7408" w14:textId="77777777" w:rsidR="00497B08" w:rsidRDefault="00497B08">
      <w:pPr>
        <w:pStyle w:val="11"/>
        <w:ind w:firstLineChars="0" w:firstLine="0"/>
        <w:rPr>
          <w:rFonts w:eastAsia="黑体"/>
          <w:sz w:val="18"/>
          <w:szCs w:val="18"/>
        </w:rPr>
      </w:pPr>
    </w:p>
    <w:p w14:paraId="683213AC" w14:textId="77777777" w:rsidR="00497B08" w:rsidRDefault="007C5ED7">
      <w:pPr>
        <w:pStyle w:val="11"/>
        <w:ind w:firstLineChars="0" w:firstLine="0"/>
        <w:rPr>
          <w:rFonts w:ascii="黑体" w:eastAsia="黑体" w:hAnsi="黑体" w:cs="黑体"/>
          <w:sz w:val="24"/>
        </w:rPr>
      </w:pPr>
      <w:r>
        <w:rPr>
          <w:bCs/>
          <w:sz w:val="24"/>
        </w:rPr>
        <w:t>0</w:t>
      </w:r>
      <w:r>
        <w:rPr>
          <w:rFonts w:ascii="宋体" w:hAnsi="宋体" w:cs="宋体" w:hint="eastAsia"/>
          <w:b/>
          <w:sz w:val="24"/>
        </w:rPr>
        <w:t>引言</w:t>
      </w:r>
    </w:p>
    <w:p w14:paraId="6429933C" w14:textId="77777777" w:rsidR="00497B08" w:rsidRDefault="007C5ED7">
      <w:pPr>
        <w:pStyle w:val="11"/>
        <w:ind w:firstLineChars="0" w:firstLine="420"/>
      </w:pPr>
      <w:r>
        <w:rPr>
          <w:rFonts w:hint="eastAsia"/>
        </w:rPr>
        <w:t>硅基</w:t>
      </w:r>
      <w:r>
        <w:t>光子集成</w:t>
      </w:r>
      <w:r>
        <w:rPr>
          <w:rFonts w:hint="eastAsia"/>
        </w:rPr>
        <w:t>电</w:t>
      </w:r>
      <w:r>
        <w:t>路（</w:t>
      </w:r>
      <w:r>
        <w:t>PICs</w:t>
      </w:r>
      <w:r>
        <w:t>）通常由可调分束器和</w:t>
      </w:r>
      <w:r>
        <w:rPr>
          <w:rFonts w:hint="eastAsia"/>
        </w:rPr>
        <w:t>移相</w:t>
      </w:r>
      <w:r>
        <w:t>器阵列构</w:t>
      </w:r>
      <w:r>
        <w:t>成</w:t>
      </w:r>
      <w:r>
        <w:fldChar w:fldCharType="begin"/>
      </w:r>
      <w:r>
        <w:rPr>
          <w:rFonts w:hint="eastAsia"/>
        </w:rPr>
        <w:instrText xml:space="preserve"> ADDIN EN.CITE &lt;EndNote&gt;&lt;Cite&gt;&lt;Author&gt;Chen&lt;/Author&gt;&lt;Year&gt;2023&lt;/Year&gt;&lt;RecNum&gt;12&lt;/RecNum&gt;&lt;DisplayText&gt;&lt;style face="superscript"&gt;[1]&lt;/style&gt;&lt;/DisplayText&gt;&lt;record&gt;&lt;rec-number&gt;12&lt;/rec-number&gt;&lt;foreign-keys&gt;&lt;key app="EN" db-id="e50s0x59aw9ewee0a2s50ddcapsa25df55</w:instrText>
      </w:r>
      <w:r>
        <w:rPr>
          <w:rFonts w:hint="eastAsia"/>
        </w:rPr>
        <w:instrText>z5" timestamp="1741869363"&gt;12&lt;/key&gt;&lt;/foreign-keys&gt;&lt;ref-type name="Journal Article"&gt;17&lt;/ref-type&gt;&lt;contributors&gt;&lt;authors&gt;&lt;author&gt;Chen, Rui&lt;/author&gt;&lt;author&gt;Fang, Zhuoran&lt;/author&gt;&lt;author&gt;Perez, Christopher&lt;/author&gt;&lt;author&gt;Miller, Forrest&lt;/author&gt;&lt;author&gt;Kumari</w:instrText>
      </w:r>
      <w:r>
        <w:rPr>
          <w:rFonts w:hint="eastAsia"/>
        </w:rPr>
        <w:instrText>, Khushboo&lt;/author&gt;&lt;author&gt;Saxena, Abhi&lt;/author&gt;&lt;author&gt;Zheng, Jiajiu&lt;/author&gt;&lt;author&gt;Geiger, Sarah J&lt;/author&gt;&lt;author&gt;Goodson, Kenneth E&lt;/author&gt;&lt;author&gt;Majumdar, Arka %J Nature Communications&lt;/author&gt;&lt;/authors&gt;&lt;/contributors&gt;&lt;titles&gt;&lt;title&gt;Non-volatile el</w:instrText>
      </w:r>
      <w:r>
        <w:rPr>
          <w:rFonts w:hint="eastAsia"/>
        </w:rPr>
        <w:instrText>ectrically programmable integrated photonics with a 5-bit operation&lt;/title&gt;&lt;/titles&gt;&lt;pages&gt;3465&lt;/pages&gt;&lt;volume&gt;14&lt;/volume&gt;&lt;number&gt;1&lt;/number&gt;&lt;dates&gt;&lt;year&gt;2023&lt;/year&gt;&lt;/dates&gt;&lt;isbn&gt;2041-1723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[1]</w:t>
      </w:r>
      <w:r>
        <w:fldChar w:fldCharType="end"/>
      </w:r>
      <w:r>
        <w:rPr>
          <w:rFonts w:hint="eastAsia"/>
        </w:rPr>
        <w:t>，其</w:t>
      </w:r>
      <w:r>
        <w:t>应用</w:t>
      </w:r>
      <w:r>
        <w:rPr>
          <w:rFonts w:hint="eastAsia"/>
        </w:rPr>
        <w:t>已</w:t>
      </w:r>
      <w:r>
        <w:t>从光互连扩展到光学计算</w:t>
      </w:r>
      <w:r>
        <w:fldChar w:fldCharType="begin"/>
      </w:r>
      <w:r>
        <w:rPr>
          <w:rFonts w:hint="eastAsia"/>
        </w:rPr>
        <w:instrText xml:space="preserve"> ADDIN EN.CITE &lt;EndNote&gt;&lt;Cite&gt;&lt;Author&gt;Shen&lt;/Author&gt;&lt;Year&gt;2017&lt;/Year&gt;&lt;RecNum&gt;13&lt;/RecNum&gt;&lt;DisplayText&gt;&lt;style face="superscript"&gt;[2]&lt;/style&gt;&lt;/DisplayText&gt;&lt;record&gt;&lt;rec-number&gt;13&lt;/rec-number&gt;&lt;foreign-keys&gt;&lt;key app="EN" db-id="e50s0x59aw9ewee0a2s50ddcapsa25df55z</w:instrText>
      </w:r>
      <w:r>
        <w:rPr>
          <w:rFonts w:hint="eastAsia"/>
        </w:rPr>
        <w:instrText>5" timestamp="1741869386"&gt;13&lt;/key&gt;&lt;/foreign-keys&gt;&lt;ref-type name="Journal Article"&gt;17&lt;/ref-type&gt;&lt;contributors&gt;&lt;authors&gt;&lt;author&gt;Shen, Yichen&lt;/author&gt;&lt;author&gt;Harris, Nicholas C&lt;/author&gt;&lt;author&gt;Skirlo, Scott&lt;/author&gt;&lt;author&gt;Prabhu, Mihika&lt;/author&gt;&lt;author&gt;Baehr</w:instrText>
      </w:r>
      <w:r>
        <w:rPr>
          <w:rFonts w:hint="eastAsia"/>
        </w:rPr>
        <w:instrText>-Jones, Tom&lt;/author&gt;&lt;author&gt;Hochberg, Michael&lt;/author&gt;&lt;author&gt;Sun, Xin&lt;/author&gt;&lt;author&gt;Zhao, Shijie&lt;/author&gt;&lt;author&gt;Larochelle, Hugo&lt;/author&gt;&lt;author&gt;Englund, Dirk %J Nature photonics&lt;/author&gt;&lt;/authors&gt;&lt;/contributors&gt;&lt;titles&gt;&lt;title&gt;Deep learning with cohere</w:instrText>
      </w:r>
      <w:r>
        <w:rPr>
          <w:rFonts w:hint="eastAsia"/>
        </w:rPr>
        <w:instrText>nt nanophotonic circuits&lt;/title&gt;&lt;/titles&gt;&lt;pages&gt;441-446&lt;/pages&gt;&lt;volume&gt;11&lt;/volume&gt;&lt;number&gt;7&lt;/number&gt;&lt;dates&gt;&lt;year&gt;2017&lt;/year&gt;&lt;/dates&gt;&lt;isbn&gt;1749-4893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[2]</w:t>
      </w:r>
      <w:r>
        <w:fldChar w:fldCharType="end"/>
      </w:r>
      <w:r>
        <w:t>、可编程光学阵列</w:t>
      </w:r>
      <w:r>
        <w:fldChar w:fldCharType="begin"/>
      </w:r>
      <w:r>
        <w:rPr>
          <w:rFonts w:hint="eastAsia"/>
        </w:rPr>
        <w:instrText xml:space="preserve"> ADDIN EN.CITE &lt;EndNote&gt;&lt;Cite&gt;&lt;Author&gt;Capmany&lt;/Au</w:instrText>
      </w:r>
      <w:r>
        <w:rPr>
          <w:rFonts w:hint="eastAsia"/>
        </w:rPr>
        <w:instrText>thor&gt;&lt;Year&gt;2016&lt;/Year&gt;&lt;RecNum&gt;14&lt;/RecNum&gt;&lt;DisplayText&gt;&lt;style face="superscript"&gt;[3]&lt;/style&gt;&lt;/DisplayText&gt;&lt;record&gt;&lt;rec-number&gt;14&lt;/rec-number&gt;&lt;foreign-keys&gt;&lt;key app="EN" db-id="e50s0x59aw9ewee0a2s50ddcapsa25df55z5" timestamp="1741869443"&gt;14&lt;/key&gt;&lt;/foreign-ke</w:instrText>
      </w:r>
      <w:r>
        <w:rPr>
          <w:rFonts w:hint="eastAsia"/>
        </w:rPr>
        <w:instrText>ys&gt;&lt;ref-type name="Journal Article"&gt;17&lt;/ref-type&gt;&lt;contributors&gt;&lt;authors&gt;&lt;author&gt;Capmany, Jos</w:instrText>
      </w:r>
      <w:r>
        <w:rPr>
          <w:rFonts w:hint="eastAsia"/>
        </w:rPr>
        <w:instrText>é</w:instrText>
      </w:r>
      <w:r>
        <w:rPr>
          <w:rFonts w:hint="eastAsia"/>
        </w:rPr>
        <w:instrText>&lt;/author&gt;&lt;author&gt;Gasulla, Ivana&lt;/author&gt;&lt;author&gt;P</w:instrText>
      </w:r>
      <w:r>
        <w:rPr>
          <w:rFonts w:hint="eastAsia"/>
        </w:rPr>
        <w:instrText>é</w:instrText>
      </w:r>
      <w:r>
        <w:rPr>
          <w:rFonts w:hint="eastAsia"/>
        </w:rPr>
        <w:instrText>rez, Daniel %J Nature Photonics&lt;/author&gt;&lt;/authors&gt;&lt;/contributors&gt;&lt;titles&gt;&lt;title&gt;The programmable processor&lt;/title</w:instrText>
      </w:r>
      <w:r>
        <w:rPr>
          <w:rFonts w:hint="eastAsia"/>
        </w:rPr>
        <w:instrText>&gt;&lt;/titles&gt;&lt;pages&gt;6-8&lt;/pages&gt;&lt;volume&gt;10&lt;/volume&gt;&lt;number&gt;1&lt;/number&gt;&lt;dates&gt;&lt;year&gt;2016&lt;/year&gt;&lt;/dates&gt;&lt;isbn&gt;1749-4885&lt;/isbn&gt;&lt;urls&gt;&lt;/urls&gt;&lt;/record&gt;&lt;/Cite&gt;&lt;/EndNote&gt;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[3]</w:t>
      </w:r>
      <w:r>
        <w:fldChar w:fldCharType="end"/>
      </w:r>
      <w:r>
        <w:t>以及量子信息处理</w:t>
      </w:r>
      <w:r>
        <w:fldChar w:fldCharType="begin"/>
      </w:r>
      <w:r>
        <w:rPr>
          <w:rFonts w:hint="eastAsia"/>
        </w:rPr>
        <w:instrText xml:space="preserve"> ADDIN EN.CITE &lt;EndNote&gt;&lt;Cite&gt;&lt;Author&gt;Harris&lt;/Author&gt;&lt;Year&gt;2017&lt;/Year&gt;&lt;RecNum&gt;15&lt;/Re</w:instrText>
      </w:r>
      <w:r>
        <w:rPr>
          <w:rFonts w:hint="eastAsia"/>
        </w:rPr>
        <w:instrText>cNum&gt;&lt;DisplayText&gt;&lt;style face="superscript"&gt;[4]&lt;/style&gt;&lt;/DisplayText&gt;&lt;record&gt;&lt;rec-number&gt;15&lt;/rec-number&gt;&lt;foreign-keys&gt;&lt;key app="EN" db-id="e50s0x59aw9ewee0a2s50ddcapsa25df55z5" timestamp="1741869473"&gt;15&lt;/key&gt;&lt;/foreign-keys&gt;&lt;ref-type name="Journal Article"&gt;</w:instrText>
      </w:r>
      <w:r>
        <w:rPr>
          <w:rFonts w:hint="eastAsia"/>
        </w:rPr>
        <w:instrText>17&lt;/ref-type&gt;&lt;contributors&gt;&lt;authors&gt;&lt;author&gt;Harris, Nicholas C&lt;/author&gt;&lt;author&gt;Steinbrecher, Gregory R&lt;/author&gt;&lt;author&gt;Prabhu, Mihika&lt;/author&gt;&lt;author&gt;Lahini, Yoav&lt;/author&gt;&lt;author&gt;Mower, Jacob&lt;/author&gt;&lt;author&gt;Bunandar, Darius&lt;/author&gt;&lt;author&gt;Chen, Changchen</w:instrText>
      </w:r>
      <w:r>
        <w:rPr>
          <w:rFonts w:hint="eastAsia"/>
        </w:rPr>
        <w:instrText>&lt;/author&gt;&lt;author&gt;Wong, Franco NC&lt;/author&gt;&lt;author&gt;Baehr-Jones, Tom&lt;/author&gt;&lt;author&gt;Hochberg, Michael %J Nature Photonics&lt;/author&gt;&lt;/authors&gt;&lt;/contributors&gt;&lt;titles&gt;&lt;title&gt;Quantum transport simulations in a programmable nanophotonic processor&lt;/title&gt;&lt;/titles&gt;&lt;</w:instrText>
      </w:r>
      <w:r>
        <w:rPr>
          <w:rFonts w:hint="eastAsia"/>
        </w:rPr>
        <w:instrText>pages&gt;447-452&lt;/pages&gt;&lt;volume&gt;11&lt;/volume&gt;&lt;number&gt;7&lt;/number&gt;&lt;dates&gt;&lt;year&gt;2017&lt;/year&gt;&lt;/dates&gt;&lt;isbn&gt;1749-4885&lt;/isbn&gt;&lt;urls&gt;&lt;/urls&gt;&lt;/record&gt;&lt;/Cite&gt;&lt;/EndNote&gt;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[4]</w:t>
      </w:r>
      <w:r>
        <w:fldChar w:fldCharType="end"/>
      </w:r>
      <w:r>
        <w:rPr>
          <w:rFonts w:hint="eastAsia"/>
        </w:rPr>
        <w:t>等</w:t>
      </w:r>
      <w:r>
        <w:t>领域。为实现大规模集成，器件需兼具多功能性、微型化与低功耗特性。目前，</w:t>
      </w:r>
      <w:r>
        <w:t>PICs</w:t>
      </w:r>
      <w:r>
        <w:t>的调控主要依赖热光效应</w:t>
      </w:r>
      <w:r>
        <w:fldChar w:fldCharType="begin"/>
      </w:r>
      <w:r>
        <w:rPr>
          <w:rFonts w:hint="eastAsia"/>
        </w:rPr>
        <w:instrText xml:space="preserve"> ADDIN EN.CITE &lt;EndNote&gt;&lt;Cite&gt;&lt;Author&gt;Zhang&lt;/Aut</w:instrText>
      </w:r>
      <w:r>
        <w:rPr>
          <w:rFonts w:hint="eastAsia"/>
        </w:rPr>
        <w:instrText>hor&gt;&lt;Year&gt;2020&lt;/Year&gt;&lt;RecNum&gt;16&lt;/RecNum&gt;&lt;DisplayText&gt;&lt;style face="superscript"&gt;[5]&lt;/style&gt;&lt;/DisplayText&gt;&lt;record&gt;&lt;rec-number&gt;16&lt;/rec-number&gt;&lt;foreign-keys&gt;&lt;key app="EN" db-id="e50s0x59aw9ewee0a2s50ddcapsa25df55z5" timestamp="1741869499"&gt;16&lt;/key&gt;&lt;/foreign-key</w:instrText>
      </w:r>
      <w:r>
        <w:rPr>
          <w:rFonts w:hint="eastAsia"/>
        </w:rPr>
        <w:instrText>s&gt;&lt;ref-type name="Journal Article"&gt;17&lt;/ref-type&gt;&lt;contributors&gt;&lt;authors&gt;&lt;author&gt;Zhang, Weifeng&lt;/author&gt;&lt;author&gt;Yao, Jianping %J Nature communications&lt;/author&gt;&lt;/authors&gt;&lt;/contributors&gt;&lt;titles&gt;&lt;title&gt;Photonic integrated field-programmable disk array signal pr</w:instrText>
      </w:r>
      <w:r>
        <w:rPr>
          <w:rFonts w:hint="eastAsia"/>
        </w:rPr>
        <w:instrText>ocessor&lt;/title&gt;&lt;/titles&gt;&lt;pages&gt;406&lt;/pages&gt;&lt;volume&gt;11&lt;/volume&gt;&lt;number&gt;1&lt;/number&gt;&lt;dates&gt;&lt;year&gt;2020&lt;/year&gt;&lt;/dates&gt;&lt;isbn&gt;2041-1723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[5]</w:t>
      </w:r>
      <w:r>
        <w:fldChar w:fldCharType="end"/>
      </w:r>
      <w:r>
        <w:t>和自由载流子效应</w:t>
      </w:r>
      <w:r>
        <w:fldChar w:fldCharType="begin"/>
      </w:r>
      <w:r>
        <w:rPr>
          <w:rFonts w:hint="eastAsia"/>
        </w:rPr>
        <w:instrText xml:space="preserve"> ADDIN EN.CITE &lt;EndNote&gt;&lt;Cite&gt;&lt;Author&gt;Wang&lt;/Author&gt;&lt;Year&gt;2018&lt;/Year&gt;&lt;R</w:instrText>
      </w:r>
      <w:r>
        <w:rPr>
          <w:rFonts w:hint="eastAsia"/>
        </w:rPr>
        <w:instrText>ecNum&gt;17&lt;/RecNum&gt;&lt;DisplayText&gt;&lt;style face="superscript"&gt;[6]&lt;/style&gt;&lt;/DisplayText&gt;&lt;record&gt;&lt;rec-number&gt;17&lt;/rec-number&gt;&lt;foreign-keys&gt;&lt;key app="EN" db-id="e50s0x59aw9ewee0a2s50ddcapsa25df55z5" timestamp="1741869524"&gt;17&lt;/key&gt;&lt;/foreign-keys&gt;&lt;ref-type name="Journ</w:instrText>
      </w:r>
      <w:r>
        <w:rPr>
          <w:rFonts w:hint="eastAsia"/>
        </w:rPr>
        <w:instrText>al Article"&gt;17&lt;/ref-type&gt;&lt;contributors&gt;&lt;authors&gt;&lt;author&gt;Wang, Cheng&lt;/author&gt;&lt;author&gt;Zhang, Mian&lt;/author&gt;&lt;author&gt;Chen, Xi&lt;/author&gt;&lt;author&gt;Bertrand, Maxime&lt;/author&gt;&lt;author&gt;Shams-Ansari, Amirhassan&lt;/author&gt;&lt;author&gt;Chandrasekhar, Sethumadhavan&lt;/author&gt;&lt;author&gt;</w:instrText>
      </w:r>
      <w:r>
        <w:rPr>
          <w:rFonts w:hint="eastAsia"/>
        </w:rPr>
        <w:instrText>Winzer, Peter&lt;/author&gt;&lt;author&gt;Lon</w:instrText>
      </w:r>
      <w:r>
        <w:rPr>
          <w:rFonts w:ascii="Cambria" w:hAnsi="Cambria" w:cs="Cambria"/>
        </w:rPr>
        <w:instrText>č</w:instrText>
      </w:r>
      <w:r>
        <w:rPr>
          <w:rFonts w:hint="eastAsia"/>
        </w:rPr>
        <w:instrText>ar, Marko %J Nature&lt;/author&gt;&lt;/authors&gt;&lt;/contributors&gt;&lt;titles&gt;&lt;title&gt;Integrated lithium niobate electro-optic modulators operating at CMOS-compatible voltages&lt;/title&gt;&lt;/titles&gt;&lt;pages&gt;101-104&lt;/pages&gt;&lt;volume&gt;562&lt;/volume&gt;&lt;numbe</w:instrText>
      </w:r>
      <w:r>
        <w:rPr>
          <w:rFonts w:hint="eastAsia"/>
        </w:rPr>
        <w:instrText>r&gt;7725&lt;/number&gt;&lt;dates&gt;&lt;year&gt;2018&lt;/year&gt;&lt;/dates&gt;&lt;isbn&gt;0028-0836&lt;/isbn&gt;&lt;urls&gt;&lt;/urls&gt;&lt;/record&gt;&lt;/Cite&gt;&lt;/EndNote&gt;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[6]</w:t>
      </w:r>
      <w:r>
        <w:fldChar w:fldCharType="end"/>
      </w:r>
      <w:r>
        <w:t>等弱调谐机制，这些机制的折射率变化较小（</w:t>
      </w:r>
      <w:r>
        <w:t>Δn &lt; 0.01</w:t>
      </w:r>
      <w:r>
        <w:t>），导致器件尺寸较大且</w:t>
      </w:r>
      <w:r>
        <w:lastRenderedPageBreak/>
        <w:t>需持续供电以维持状态，从而产生较高的静态能耗，严重制约了</w:t>
      </w:r>
      <w:r>
        <w:t>PICs</w:t>
      </w:r>
      <w:r>
        <w:t>发展</w:t>
      </w:r>
      <w:r>
        <w:fldChar w:fldCharType="begin">
          <w:fldData xml:space="preserve">PEVuZE5vdGU+PENpdGU+PEF1dGhvcj5Qw6lyZXo8L0F1dGhvcj48WWVhcj4yMDE3PC9ZZWFyPjxS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</w:fldData>
        </w:fldChar>
      </w:r>
      <w:r>
        <w:rPr>
          <w:rFonts w:hint="eastAsia"/>
        </w:rPr>
        <w:instrText xml:space="preserve"> ADDIN EN.CITE </w:instrText>
      </w:r>
      <w:r>
        <w:rPr>
          <w:rFonts w:hint="eastAsia"/>
        </w:rPr>
        <w:fldChar w:fldCharType="begin">
          <w:fldData xml:space="preserve">PEVuZE5vdGU+PENpdGU+PEF1dGhvcj5Qw6lyZXo8L0F1dGhvcj48WWVhcj4yMDE3PC9ZZWFyPjxS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</w:fldData>
        </w:fldChar>
      </w:r>
      <w:r>
        <w:rPr>
          <w:rFonts w:hint="eastAsia"/>
        </w:rPr>
        <w:instrText xml:space="preserve"> ADDIN EN.CITE.DATA </w:instrText>
      </w:r>
      <w:r>
        <w:rPr>
          <w:rFonts w:hint="eastAsia"/>
        </w:rPr>
      </w:r>
      <w:r>
        <w:rPr>
          <w:rFonts w:hint="eastAsia"/>
        </w:rPr>
        <w:fldChar w:fldCharType="end"/>
      </w:r>
      <w:r>
        <w:fldChar w:fldCharType="separate"/>
      </w:r>
      <w:r>
        <w:rPr>
          <w:rFonts w:hint="eastAsia"/>
          <w:vertAlign w:val="superscript"/>
        </w:rPr>
        <w:t>[7-9]</w:t>
      </w:r>
      <w:r>
        <w:fldChar w:fldCharType="end"/>
      </w:r>
      <w:r>
        <w:t>。硫系非易失性相变材料（</w:t>
      </w:r>
      <w:r>
        <w:t>PCM</w:t>
      </w:r>
      <w:r>
        <w:t>）通过晶态</w:t>
      </w:r>
      <w:r>
        <w:t>-</w:t>
      </w:r>
      <w:r>
        <w:t>非晶态双稳态相变实现显著的折射率变化（</w:t>
      </w:r>
      <w:r>
        <w:t>Δn ~1</w:t>
      </w:r>
      <w:r>
        <w:t>），其调谐能力较传统热光</w:t>
      </w:r>
      <w:r>
        <w:t>/</w:t>
      </w:r>
      <w:r>
        <w:t>载流子效应（</w:t>
      </w:r>
      <w:r>
        <w:t>Δn &lt;0.01</w:t>
      </w:r>
      <w:r>
        <w:t>）提升</w:t>
      </w:r>
      <w:r>
        <w:rPr>
          <w:rFonts w:hint="eastAsia"/>
        </w:rPr>
        <w:t>2</w:t>
      </w:r>
      <w:r>
        <w:t>个数量级，使可重构光子器件尺寸得以显著缩小</w:t>
      </w:r>
      <w:r>
        <w:fldChar w:fldCharType="begin"/>
      </w:r>
      <w:r>
        <w:rPr>
          <w:rFonts w:hint="eastAsia"/>
        </w:rPr>
        <w:instrText xml:space="preserve"> ADDIN EN.CITE &lt;EndNote&gt;&lt;Cite&gt;&lt;Author&gt;Chen&lt;/Author&gt;&lt;Year&gt;2022&lt;/Year&gt;&lt;RecNum&gt;21&lt;/RecNum&gt;&lt;DisplayText&gt;&lt;style face="superscript"&gt;[10, 11]&lt;/style&gt;&lt;/DisplayText&gt;&lt;record&gt;&lt;rec-numbe</w:instrText>
      </w:r>
      <w:r>
        <w:rPr>
          <w:rFonts w:hint="eastAsia"/>
        </w:rPr>
        <w:instrText>r&gt;21&lt;/rec-number&gt;&lt;foreign-keys&gt;&lt;key app="EN" db-id="e50s0x59aw9ewee0a2s50ddcapsa25df55z5" timestamp="1741869746"&gt;21&lt;/key&gt;&lt;/foreign-keys&gt;&lt;ref-type name="Journal Article"&gt;17&lt;/ref-type&gt;&lt;contributors&gt;&lt;authors&gt;&lt;author&gt;Chen, Rui&lt;/author&gt;&lt;author&gt;Fang, Zhuoran&lt;/au</w:instrText>
      </w:r>
      <w:r>
        <w:rPr>
          <w:rFonts w:hint="eastAsia"/>
        </w:rPr>
        <w:instrText>thor&gt;&lt;author&gt;Miller, Forrest&lt;/author&gt;&lt;author&gt;Rarick, Hannah&lt;/author&gt;&lt;author&gt;Froch, Johannes E&lt;/author&gt;&lt;author&gt;Majumdar, Arka %J ACS Photonics&lt;/author&gt;&lt;/authors&gt;&lt;/contributors&gt;&lt;titles&gt;&lt;title&gt;Opportunities and challenges for large-scale phase-change material</w:instrText>
      </w:r>
      <w:r>
        <w:rPr>
          <w:rFonts w:hint="eastAsia"/>
        </w:rPr>
        <w:instrText xml:space="preserve"> integrated electro-photonics&lt;/title&gt;&lt;/titles&gt;&lt;pages&gt;3181-3195&lt;/pages&gt;&lt;volume&gt;9&lt;/volume&gt;&lt;number&gt;10&lt;/number&gt;&lt;dates&gt;&lt;year&gt;2022&lt;/year&gt;&lt;/dates&gt;&lt;isbn&gt;2330-4022&lt;/isbn&gt;&lt;urls&gt;&lt;/urls&gt;&lt;/record&gt;&lt;/Cite&gt;&lt;Cite&gt;&lt;Author&gt;Yang&lt;/Author&gt;&lt;Year&gt;2021&lt;/Year&gt;&lt;RecNum&gt;22&lt;/RecNum&gt;&lt;re</w:instrText>
      </w:r>
      <w:r>
        <w:rPr>
          <w:rFonts w:hint="eastAsia"/>
        </w:rPr>
        <w:instrText>cord&gt;&lt;rec-number&gt;22&lt;/rec-number&gt;&lt;foreign-keys&gt;&lt;key app="EN" db-id="e50s0x59aw9ewee0a2s50ddcapsa25df55z5" timestamp="1741869768"&gt;22&lt;/key&gt;&lt;/foreign-keys&gt;&lt;ref-type name="Journal Article"&gt;17&lt;/ref-type&gt;&lt;contributors&gt;&lt;authors&gt;&lt;author&gt;Yang, Xing&lt;/author&gt;&lt;author&gt;N</w:instrText>
      </w:r>
      <w:r>
        <w:rPr>
          <w:rFonts w:hint="eastAsia"/>
        </w:rPr>
        <w:instrText>isar, Muhammad Shemyal&lt;/author&gt;&lt;author&gt;Yuan, Wei&lt;/author&gt;&lt;author&gt;Zheng, Fengang&lt;/author&gt;&lt;author&gt;Lu, Liangjun&lt;/author&gt;&lt;author&gt;Chen, Jianping&lt;/author&gt;&lt;author&gt;Zhou, Linjie %J Optics Letters&lt;/author&gt;&lt;/authors&gt;&lt;/contributors&gt;&lt;titles&gt;&lt;title&gt;Phase change material</w:instrText>
      </w:r>
      <w:r>
        <w:rPr>
          <w:rFonts w:hint="eastAsia"/>
        </w:rPr>
        <w:instrText xml:space="preserve"> enabled 2</w:instrText>
      </w:r>
      <w:r>
        <w:rPr>
          <w:rFonts w:hint="eastAsia"/>
        </w:rPr>
        <w:instrText>×</w:instrText>
      </w:r>
      <w:r>
        <w:rPr>
          <w:rFonts w:hint="eastAsia"/>
        </w:rPr>
        <w:instrText xml:space="preserve"> 2 silicon nonvolatile optical switch&lt;/title&gt;&lt;/titles&gt;&lt;pages&gt;4224-4227&lt;/pages&gt;&lt;volume&gt;46&lt;/volume&gt;&lt;number&gt;17&lt;/number&gt;&lt;dates&gt;&lt;year&gt;2021&lt;/year&gt;&lt;/dates&gt;&lt;isbn&gt;0146-9592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[10, 11]</w:t>
      </w:r>
      <w:r>
        <w:fldChar w:fldCharType="end"/>
      </w:r>
      <w:r>
        <w:t>。其非易失特性支持零静态功耗运行</w:t>
      </w:r>
      <w:r>
        <w:fldChar w:fldCharType="begin"/>
      </w:r>
      <w:r>
        <w:rPr>
          <w:rFonts w:hint="eastAsia"/>
        </w:rPr>
        <w:instrText xml:space="preserve"> ADDIN EN</w:instrText>
      </w:r>
      <w:r>
        <w:rPr>
          <w:rFonts w:hint="eastAsia"/>
        </w:rPr>
        <w:instrText>.CITE &lt;EndNote&gt;&lt;Cite&gt;&lt;Author&gt;Chen&lt;/Author&gt;&lt;Year&gt;2022&lt;/Year&gt;&lt;RecNum&gt;23&lt;/RecNum&gt;&lt;DisplayText&gt;&lt;style face="superscript"&gt;[12, 13]&lt;/style&gt;&lt;/DisplayText&gt;&lt;record&gt;&lt;rec-number&gt;23&lt;/rec-number&gt;&lt;foreign-keys&gt;&lt;key app="EN" db-id="e50s0x59aw9ewee0a2s50ddcapsa25df55z5" t</w:instrText>
      </w:r>
      <w:r>
        <w:rPr>
          <w:rFonts w:hint="eastAsia"/>
        </w:rPr>
        <w:instrText>imestamp="1741869797"&gt;23&lt;/key&gt;&lt;/foreign-keys&gt;&lt;ref-type name="Journal Article"&gt;17&lt;/ref-type&gt;&lt;contributors&gt;&lt;authors&gt;&lt;author&gt;Chen, Rui&lt;/author&gt;&lt;author&gt;Fang, Zhuoran&lt;/author&gt;&lt;author&gt;Froch, Johannes E&lt;/author&gt;&lt;author&gt;Xu, Peipeng&lt;/author&gt;&lt;author&gt;Zheng, Jiajiu&lt;/a</w:instrText>
      </w:r>
      <w:r>
        <w:rPr>
          <w:rFonts w:hint="eastAsia"/>
        </w:rPr>
        <w:instrText>uthor&gt;&lt;author&gt;Majumdar, Arka %J ACS Photonics&lt;/author&gt;&lt;/authors&gt;&lt;/contributors&gt;&lt;titles&gt;&lt;title&gt;Broadband nonvolatile electrically controlled programmable units in silicon photonics&lt;/title&gt;&lt;/titles&gt;&lt;pages&gt;2142-2150&lt;/pages&gt;&lt;volume&gt;9&lt;/volume&gt;&lt;number&gt;6&lt;/number&gt;</w:instrText>
      </w:r>
      <w:r>
        <w:rPr>
          <w:rFonts w:hint="eastAsia"/>
        </w:rPr>
        <w:instrText>&lt;dates&gt;&lt;year&gt;2022&lt;/year&gt;&lt;/dates&gt;&lt;isbn&gt;2330-4022&lt;/isbn&gt;&lt;urls&gt;&lt;/urls&gt;&lt;/record&gt;&lt;/Cite&gt;&lt;Cite&gt;&lt;Author&gt;Fang&lt;/Author&gt;&lt;Year&gt;2022&lt;/Year&gt;&lt;RecNum&gt;24&lt;/RecNum&gt;&lt;record&gt;&lt;rec-number&gt;24&lt;/rec-number&gt;&lt;foreign-keys&gt;&lt;key app="EN" db-id="e50s0x59aw9ewee0a2s50ddcapsa25df55z5" ti</w:instrText>
      </w:r>
      <w:r>
        <w:rPr>
          <w:rFonts w:hint="eastAsia"/>
        </w:rPr>
        <w:instrText>mestamp="1741869827"&gt;24&lt;/key&gt;&lt;/foreign-keys&gt;&lt;ref-type name="Journal Article"&gt;17&lt;/ref-type&gt;&lt;contributors&gt;&lt;authors&gt;&lt;author&gt;Fang, Zhuoran&lt;/author&gt;&lt;author&gt;Chen, Rui&lt;/author&gt;&lt;author&gt;Zheng, Jiajiu&lt;/author&gt;&lt;author&gt;Khan, Asir Intisar&lt;/author&gt;&lt;author&gt;Neilson, Kathr</w:instrText>
      </w:r>
      <w:r>
        <w:rPr>
          <w:rFonts w:hint="eastAsia"/>
        </w:rPr>
        <w:instrText>yn M&lt;/author&gt;&lt;author&gt;Geiger, Sarah J&lt;/author&gt;&lt;author&gt;Callahan, Dennis M&lt;/author&gt;&lt;author&gt;Moebius, Michael G&lt;/author&gt;&lt;author&gt;Saxena, Abhi&lt;/author&gt;&lt;author&gt;Chen, Michelle E %J Nature Nanotechnology&lt;/author&gt;&lt;/authors&gt;&lt;/contributors&gt;&lt;titles&gt;&lt;title&gt;Ultra-low-ener</w:instrText>
      </w:r>
      <w:r>
        <w:rPr>
          <w:rFonts w:hint="eastAsia"/>
        </w:rPr>
        <w:instrText>gy programmable non-volatile silicon photonics based on phase-change materials with graphene heaters&lt;/title&gt;&lt;/titles&gt;&lt;pages&gt;842-848&lt;/pages&gt;&lt;volume&gt;17&lt;/volume&gt;&lt;number&gt;8&lt;/number&gt;&lt;dates&gt;&lt;year&gt;2022&lt;/year&gt;&lt;/dates&gt;&lt;isbn&gt;1748-3387&lt;/isbn&gt;&lt;urls&gt;&lt;/urls&gt;&lt;/record&gt;&lt;/Ci</w:instrText>
      </w:r>
      <w:r>
        <w:rPr>
          <w:rFonts w:hint="eastAsia"/>
        </w:rPr>
        <w:instrText>te&gt;&lt;/EndNote&gt;</w:instrText>
      </w:r>
      <w:r>
        <w:fldChar w:fldCharType="separate"/>
      </w:r>
      <w:r>
        <w:rPr>
          <w:rFonts w:hint="eastAsia"/>
          <w:vertAlign w:val="superscript"/>
        </w:rPr>
        <w:t>[12, 13]</w:t>
      </w:r>
      <w:r>
        <w:fldChar w:fldCharType="end"/>
      </w:r>
      <w:r>
        <w:t>，且与硅基</w:t>
      </w:r>
      <w:r>
        <w:t>/</w:t>
      </w:r>
      <w:r>
        <w:t>氮化硅平台兼容，可通过溅射</w:t>
      </w:r>
      <w:r>
        <w:t>/</w:t>
      </w:r>
      <w:r>
        <w:t>热蒸发实现</w:t>
      </w:r>
      <w:r>
        <w:t>CMOS</w:t>
      </w:r>
      <w:r>
        <w:t>集成</w:t>
      </w:r>
      <w:r>
        <w:fldChar w:fldCharType="begin"/>
      </w:r>
      <w:r>
        <w:rPr>
          <w:rFonts w:hint="eastAsia"/>
        </w:rPr>
        <w:instrText xml:space="preserve"> ADDIN EN.CITE &lt;EndNote&gt;&lt;Cite&gt;&lt;Author&gt;R</w:instrText>
      </w:r>
      <w:r>
        <w:rPr>
          <w:rFonts w:hint="eastAsia"/>
        </w:rPr>
        <w:instrText>í</w:instrText>
      </w:r>
      <w:r>
        <w:rPr>
          <w:rFonts w:hint="eastAsia"/>
        </w:rPr>
        <w:instrText>os&lt;/Author&gt;&lt;Year&gt;2022&lt;/Year&gt;&lt;RecNum&gt;25&lt;/RecNum&gt;&lt;DisplayText&gt;&lt;style face="superscript"&gt;[14]&lt;/style&gt;&lt;/DisplayText&gt;&lt;record&gt;&lt;rec-number&gt;25&lt;/rec-number&gt;&lt;foreign-keys&gt;</w:instrText>
      </w:r>
      <w:r>
        <w:rPr>
          <w:rFonts w:hint="eastAsia"/>
        </w:rPr>
        <w:instrText>&lt;key app="EN" db-id="e50s0x59aw9ewee0a2s50ddcapsa25df55z5" timestamp="1741869853"&gt;25&lt;/key&gt;&lt;/foreign-keys&gt;&lt;ref-type name="Journal Article"&gt;17&lt;/ref-type&gt;&lt;contributors&gt;&lt;authors&gt;&lt;author&gt;R</w:instrText>
      </w:r>
      <w:r>
        <w:rPr>
          <w:rFonts w:hint="eastAsia"/>
        </w:rPr>
        <w:instrText>í</w:instrText>
      </w:r>
      <w:r>
        <w:rPr>
          <w:rFonts w:hint="eastAsia"/>
        </w:rPr>
        <w:instrText>os, Carlos&lt;/author&gt;&lt;author&gt;Du, Qingyang&lt;/author&gt;&lt;author&gt;Zhang, Yifei&lt;/au</w:instrText>
      </w:r>
      <w:r>
        <w:rPr>
          <w:rFonts w:hint="eastAsia"/>
        </w:rPr>
        <w:instrText>thor&gt;&lt;author&gt;Popescu, Cosmin-Constantin&lt;/author&gt;&lt;author&gt;Shalaginov, Mikhail Y&lt;/author&gt;&lt;author&gt;Miller, Paul&lt;/author&gt;&lt;author&gt;Roberts, Christopher&lt;/author&gt;&lt;author&gt;Kang, Myungkoo&lt;/author&gt;&lt;author&gt;Richardson, Kathleen A&lt;/author&gt;&lt;author&gt;Gu, Tian %J PhotoniX&lt;/auth</w:instrText>
      </w:r>
      <w:r>
        <w:rPr>
          <w:rFonts w:hint="eastAsia"/>
        </w:rPr>
        <w:instrText>or&gt;&lt;/authors&gt;&lt;/contributors&gt;&lt;titles&gt;&lt;title&gt;Ultra-compact nonvolatile phase shifter based on electrically reprogrammable transparent phase change materials&lt;/title&gt;&lt;/titles&gt;&lt;pages&gt;26&lt;/pages&gt;&lt;volume&gt;3&lt;/volume&gt;&lt;number&gt;1&lt;/number&gt;&lt;dates&gt;&lt;year&gt;2022&lt;/year&gt;&lt;/dates&gt;</w:instrText>
      </w:r>
      <w:r>
        <w:rPr>
          <w:rFonts w:hint="eastAsia"/>
        </w:rPr>
        <w:instrText>&lt;isbn&gt;2662-1991&lt;/isbn&gt;&lt;urls&gt;&lt;/urls&gt;&lt;/record&gt;&lt;/Cite&gt;&lt;/EndNote&gt;</w:instrText>
      </w:r>
      <w:r>
        <w:fldChar w:fldCharType="separate"/>
      </w:r>
      <w:r>
        <w:rPr>
          <w:rFonts w:hint="eastAsia"/>
          <w:vertAlign w:val="superscript"/>
        </w:rPr>
        <w:t>[14]</w:t>
      </w:r>
      <w:r>
        <w:fldChar w:fldCharType="end"/>
      </w:r>
      <w:r>
        <w:t>。</w:t>
      </w:r>
      <w:r>
        <w:rPr>
          <w:rFonts w:hint="eastAsia"/>
        </w:rPr>
        <w:t>然而，传统硫系材料锗锑碲（</w:t>
      </w:r>
      <w:r>
        <w:t>Ge₂Sb₂Te₅, GST</w:t>
      </w:r>
      <w:r>
        <w:rPr>
          <w:rFonts w:hint="eastAsia"/>
        </w:rPr>
        <w:t>）和锗化碲（</w:t>
      </w:r>
      <w:r>
        <w:t>GeTe</w:t>
      </w:r>
      <w:r>
        <w:rPr>
          <w:rFonts w:hint="eastAsia"/>
        </w:rPr>
        <w:t>）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EN.CITE &lt;EndNote&gt;&lt;Cite&gt;&lt;Author&gt;</w:instrText>
      </w:r>
      <w:r>
        <w:rPr>
          <w:rFonts w:hint="eastAsia"/>
        </w:rPr>
        <w:instrText>朱炳达</w:instrText>
      </w:r>
      <w:r>
        <w:rPr>
          <w:rFonts w:hint="eastAsia"/>
        </w:rPr>
        <w:instrText>&lt;/Author&gt;&lt;Year&gt;2024&lt;/Year&gt;&lt;RecNum&gt;34&lt;/RecNum&gt;&lt;DisplayText&gt;&lt;style face="superscript"&gt;[15]&lt;/style&gt;&lt;/DisplayTex</w:instrText>
      </w:r>
      <w:r>
        <w:rPr>
          <w:rFonts w:hint="eastAsia"/>
        </w:rPr>
        <w:instrText>t&gt;&lt;record&gt;&lt;rec-number&gt;34&lt;/rec-number&gt;&lt;foreign-keys&gt;&lt;key app="EN" db-id="e50s0x59aw9ewee0a2s50ddcapsa25df55z5" timestamp="1741870189"&gt;34&lt;/key&gt;&lt;/foreign-keys&gt;&lt;ref-type name="Journal Article"&gt;17&lt;/ref-type&gt;&lt;contributors&gt;&lt;authors&gt;&lt;author&gt;&lt;style face="normal" fo</w:instrText>
      </w:r>
      <w:r>
        <w:rPr>
          <w:rFonts w:hint="eastAsia"/>
        </w:rPr>
        <w:instrText>nt="default" charset="134" size="100%"&gt;</w:instrText>
      </w:r>
      <w:r>
        <w:rPr>
          <w:rFonts w:hint="eastAsia"/>
        </w:rPr>
        <w:instrText>朱炳达</w:instrText>
      </w:r>
      <w:r>
        <w:rPr>
          <w:rFonts w:hint="eastAsia"/>
        </w:rPr>
        <w:instrText>&lt;/style&gt;&lt;/author&gt;&lt;author&gt;&lt;style face="normal" font="default" charset="134" size="100%"&gt;</w:instrText>
      </w:r>
      <w:r>
        <w:rPr>
          <w:rFonts w:hint="eastAsia"/>
        </w:rPr>
        <w:instrText>郭丽君</w:instrText>
      </w:r>
      <w:r>
        <w:rPr>
          <w:rFonts w:hint="eastAsia"/>
        </w:rPr>
        <w:instrText>&lt;/style&gt;&lt;/author&gt;&lt;author&gt;&lt;style face="normal" font="default" charset="134" size="100%"&gt;</w:instrText>
      </w:r>
      <w:r>
        <w:rPr>
          <w:rFonts w:hint="eastAsia"/>
        </w:rPr>
        <w:instrText>朱葳</w:instrText>
      </w:r>
      <w:r>
        <w:rPr>
          <w:rFonts w:hint="eastAsia"/>
        </w:rPr>
        <w:instrText>&lt;/style&gt;&lt;/author&gt;&lt;author&gt;&lt;style fac</w:instrText>
      </w:r>
      <w:r>
        <w:rPr>
          <w:rFonts w:hint="eastAsia"/>
        </w:rPr>
        <w:instrText>e="normal" font="default" charset="134" size="100%"&gt;</w:instrText>
      </w:r>
      <w:r>
        <w:rPr>
          <w:rFonts w:hint="eastAsia"/>
        </w:rPr>
        <w:instrText>耿玮辰</w:instrText>
      </w:r>
      <w:r>
        <w:rPr>
          <w:rFonts w:hint="eastAsia"/>
        </w:rPr>
        <w:instrText>&lt;/style&gt;&lt;/author&gt;&lt;author&gt;&lt;style face="normal" font="default" charset="134" size="100%"&gt;</w:instrText>
      </w:r>
      <w:r>
        <w:rPr>
          <w:rFonts w:hint="eastAsia"/>
        </w:rPr>
        <w:instrText>孙浩恩</w:instrText>
      </w:r>
      <w:r>
        <w:rPr>
          <w:rFonts w:hint="eastAsia"/>
        </w:rPr>
        <w:instrText>&lt;/style&gt;&lt;/author&gt;&lt;/authors&gt;&lt;/contributors&gt;&lt;auth-address&gt;&lt;style face="normal" font="default" charset="134" size=</w:instrText>
      </w:r>
      <w:r>
        <w:rPr>
          <w:rFonts w:hint="eastAsia"/>
        </w:rPr>
        <w:instrText>"100%"&gt;</w:instrText>
      </w:r>
      <w:r>
        <w:rPr>
          <w:rFonts w:hint="eastAsia"/>
        </w:rPr>
        <w:instrText>长春理工大学物理学院</w:instrText>
      </w:r>
      <w:r>
        <w:rPr>
          <w:rFonts w:hint="eastAsia"/>
        </w:rPr>
        <w:instrText>&lt;/style&gt;&lt;style face="normal" font="default" size="100%"&gt;;&lt;/style&gt;&lt;/auth-address&gt;&lt;titles&gt;&lt;title&gt;&lt;style face="normal" font="default" charset="134" size="100%"&gt;</w:instrText>
      </w:r>
      <w:r>
        <w:rPr>
          <w:rFonts w:hint="eastAsia"/>
        </w:rPr>
        <w:instrText>基于相变材料锗锑碲的非易失性光开关设计与仿真</w:instrText>
      </w:r>
      <w:r>
        <w:rPr>
          <w:rFonts w:hint="eastAsia"/>
        </w:rPr>
        <w:instrText>&lt;/style&gt;&lt;style face="normal" font="default" size="100%"&gt; &lt;/s</w:instrText>
      </w:r>
      <w:r>
        <w:rPr>
          <w:rFonts w:hint="eastAsia"/>
        </w:rPr>
        <w:instrText>tyle&gt;&lt;/title&gt;&lt;secondary-title&gt;&lt;style face="normal" font="default" charset="134" size="100%"&gt;</w:instrText>
      </w:r>
      <w:r>
        <w:rPr>
          <w:rFonts w:hint="eastAsia"/>
        </w:rPr>
        <w:instrText>功能材料与器件学报</w:instrText>
      </w:r>
      <w:r>
        <w:rPr>
          <w:rFonts w:hint="eastAsia"/>
        </w:rPr>
        <w:instrText>&lt;/style&gt;&lt;/secondary-title&gt;&lt;/titles&gt;&lt;periodical&gt;&lt;full-title&gt;</w:instrText>
      </w:r>
      <w:r>
        <w:rPr>
          <w:rFonts w:hint="eastAsia"/>
        </w:rPr>
        <w:instrText>功能材料与器件学报</w:instrText>
      </w:r>
      <w:r>
        <w:rPr>
          <w:rFonts w:hint="eastAsia"/>
        </w:rPr>
        <w:instrText>&lt;/full-title&gt;&lt;/periodical&gt;&lt;pages&gt;318-322&lt;/pages&gt;&lt;volume&gt;30&lt;/volume&gt;&lt;number&gt;06&lt;/number&gt;&lt;</w:instrText>
      </w:r>
      <w:r>
        <w:rPr>
          <w:rFonts w:hint="eastAsia"/>
        </w:rPr>
        <w:instrText>keywords&gt;&lt;keyword&gt;</w:instrText>
      </w:r>
      <w:r>
        <w:rPr>
          <w:rFonts w:hint="eastAsia"/>
        </w:rPr>
        <w:instrText>光开关</w:instrText>
      </w:r>
      <w:r>
        <w:rPr>
          <w:rFonts w:hint="eastAsia"/>
        </w:rPr>
        <w:instrText>&lt;/keyword&gt;&lt;keyword&gt;</w:instrText>
      </w:r>
      <w:r>
        <w:rPr>
          <w:rFonts w:hint="eastAsia"/>
        </w:rPr>
        <w:instrText>相变材料</w:instrText>
      </w:r>
      <w:r>
        <w:rPr>
          <w:rFonts w:hint="eastAsia"/>
        </w:rPr>
        <w:instrText>&lt;/keyword&gt;&lt;keyword&gt;</w:instrText>
      </w:r>
      <w:r>
        <w:rPr>
          <w:rFonts w:hint="eastAsia"/>
        </w:rPr>
        <w:instrText>非易失性</w:instrText>
      </w:r>
      <w:r>
        <w:rPr>
          <w:rFonts w:hint="eastAsia"/>
        </w:rPr>
        <w:instrText>&lt;/keyword&gt;&lt;/keywords&gt;&lt;dates&gt;&lt;year&gt;2024&lt;/year&gt;&lt;/dates&gt;&lt;isbn&gt;1007-4252&lt;/isbn&gt;&lt;call-num&gt;31-1708/TB&lt;/call-num&gt;&lt;urls&gt;&lt;related-urls&gt;&lt;url&gt;https://link.cnki.net/doi/10.20027/j.gncq.2024.0045&lt;/url&gt;&lt;</w:instrText>
      </w:r>
      <w:r>
        <w:rPr>
          <w:rFonts w:hint="eastAsia"/>
        </w:rPr>
        <w:instrText>/related-urls&gt;&lt;/urls&gt;&lt;electronic-resource-num&gt;10.20027/j.gncq.2024.0045&lt;/electronic-resource-num&gt;&lt;remote-database-provider&gt;Cnki&lt;/remote-database-provider&gt;&lt;/record&gt;&lt;/Cite&gt;&lt;/EndNote&gt;</w:instrText>
      </w:r>
      <w:r>
        <w:rPr>
          <w:rFonts w:hint="eastAsia"/>
        </w:rPr>
        <w:fldChar w:fldCharType="separate"/>
      </w:r>
      <w:r>
        <w:rPr>
          <w:rFonts w:hint="eastAsia"/>
          <w:vertAlign w:val="superscript"/>
        </w:rPr>
        <w:t>[15]</w:t>
      </w:r>
      <w:r>
        <w:rPr>
          <w:rFonts w:hint="eastAsia"/>
        </w:rPr>
        <w:fldChar w:fldCharType="end"/>
      </w:r>
      <w:r>
        <w:rPr>
          <w:rFonts w:hint="eastAsia"/>
        </w:rPr>
        <w:t>在近红外通信波段（</w:t>
      </w:r>
      <w:r>
        <w:t>~1550 nm</w:t>
      </w:r>
      <w:r>
        <w:rPr>
          <w:rFonts w:hint="eastAsia"/>
        </w:rPr>
        <w:t>）表现出较高的吸收损耗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EN.CITE &lt;EndNote&gt;&lt;Cite&gt;&lt;Author&gt;Che</w:instrText>
      </w:r>
      <w:r>
        <w:rPr>
          <w:rFonts w:hint="eastAsia"/>
        </w:rPr>
        <w:instrText>n&lt;/Author&gt;&lt;Year&gt;2024&lt;/Year&gt;&lt;RecNum&gt;26&lt;/RecNum&gt;&lt;DisplayText&gt;&lt;style face="superscript"&gt;[16]&lt;/style&gt;&lt;/DisplayText&gt;&lt;record&gt;&lt;rec-number&gt;26&lt;/rec-number&gt;&lt;foreign-keys&gt;&lt;key app="EN" db-id="e50s0x59aw9ewee0a2s50ddcapsa25df55z5" timestamp="1741869884"&gt;26&lt;/key&gt;&lt;/fore</w:instrText>
      </w:r>
      <w:r>
        <w:rPr>
          <w:rFonts w:hint="eastAsia"/>
        </w:rPr>
        <w:instrText>ign-keys&gt;&lt;ref-type name="Journal Article"&gt;17&lt;/ref-type&gt;&lt;contributors&gt;&lt;authors&gt;&lt;author&gt;Chen, Rui&lt;/author&gt;&lt;author&gt;Tara, Virat&lt;/author&gt;&lt;author&gt;Dutta, Jayita&lt;/author&gt;&lt;author&gt;Fang, Zhuoran&lt;/author&gt;&lt;author&gt;Zheng, Jiajiu&lt;/author&gt;&lt;author&gt;Majumdar, Arka %J arXiv pr</w:instrText>
      </w:r>
      <w:r>
        <w:rPr>
          <w:rFonts w:hint="eastAsia"/>
        </w:rPr>
        <w:instrText>eprint arXiv:.08803&lt;/author&gt;&lt;/authors&gt;&lt;/contributors&gt;&lt;titles&gt;&lt;title&gt;Low-loss multilevel operation using lossy PCM-integrated silicon photonics&lt;/title&gt;&lt;/titles&gt;&lt;dates&gt;&lt;year&gt;2024&lt;/year&gt;&lt;/dates&gt;&lt;urls&gt;&lt;/urls&gt;&lt;/record&gt;&lt;/Cite&gt;&lt;/EndNote&gt;</w:instrText>
      </w:r>
      <w:r>
        <w:rPr>
          <w:rFonts w:hint="eastAsia"/>
        </w:rPr>
        <w:fldChar w:fldCharType="separate"/>
      </w:r>
      <w:r>
        <w:rPr>
          <w:rFonts w:hint="eastAsia"/>
          <w:vertAlign w:val="superscript"/>
        </w:rPr>
        <w:t>[16]</w:t>
      </w:r>
      <w:r>
        <w:rPr>
          <w:rFonts w:hint="eastAsia"/>
        </w:rPr>
        <w:fldChar w:fldCharType="end"/>
      </w:r>
      <w:r>
        <w:rPr>
          <w:rFonts w:hint="eastAsia"/>
        </w:rPr>
        <w:t>，限制了其在可重构非易失光子器件中的应</w:t>
      </w:r>
      <w:r>
        <w:rPr>
          <w:rFonts w:hint="eastAsia"/>
        </w:rPr>
        <w:t>用。为此，新型宽带隙硫系材料</w:t>
      </w:r>
      <w:r>
        <w:rPr>
          <w:rFonts w:ascii="微软雅黑" w:eastAsia="微软雅黑" w:hAnsi="微软雅黑" w:cs="微软雅黑" w:hint="eastAsia"/>
          <w:sz w:val="22"/>
          <w:szCs w:val="22"/>
          <w:shd w:val="clear" w:color="auto" w:fill="FFFFFF"/>
        </w:rPr>
        <w:t>（如</w:t>
      </w:r>
      <w:r>
        <w:rPr>
          <w:rFonts w:eastAsia="Segoe UI"/>
          <w:sz w:val="22"/>
          <w:szCs w:val="22"/>
          <w:shd w:val="clear" w:color="auto" w:fill="FFFFFF"/>
        </w:rPr>
        <w:t>Sb₂Se₃</w:t>
      </w:r>
      <w:r>
        <w:rPr>
          <w:rFonts w:ascii="微软雅黑" w:eastAsia="微软雅黑" w:hAnsi="微软雅黑" w:cs="微软雅黑" w:hint="eastAsia"/>
          <w:sz w:val="22"/>
          <w:szCs w:val="22"/>
          <w:shd w:val="clear" w:color="auto" w:fill="FFFFFF"/>
        </w:rPr>
        <w:t>，</w:t>
      </w:r>
      <w:r>
        <w:rPr>
          <w:rFonts w:eastAsia="Segoe UI"/>
          <w:sz w:val="22"/>
          <w:szCs w:val="22"/>
          <w:shd w:val="clear" w:color="auto" w:fill="FFFFFF"/>
        </w:rPr>
        <w:t>Sb₂S₃</w:t>
      </w:r>
      <w:r>
        <w:rPr>
          <w:rFonts w:ascii="微软雅黑" w:eastAsia="微软雅黑" w:hAnsi="微软雅黑" w:cs="微软雅黑" w:hint="eastAsia"/>
          <w:sz w:val="22"/>
          <w:szCs w:val="22"/>
          <w:shd w:val="clear" w:color="auto" w:fill="FFFFFF"/>
        </w:rPr>
        <w:t>）</w:t>
      </w:r>
      <w:r>
        <w:rPr>
          <w:rFonts w:hint="eastAsia"/>
        </w:rPr>
        <w:t>因兼具低损耗、高折射率变化成为研究焦点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EN.CITE &lt;EndNote&gt;&lt;Cite&gt;&lt;Author&gt;Delaney&lt;/Author&gt;&lt;Year&gt;2020&lt;/Year&gt;&lt;RecNum&gt;36&lt;/RecNum&gt;&lt;DisplayText&gt;&lt;style face="superscript"&gt;[17]&lt;/style&gt;&lt;/DisplayText&gt;&lt;record&gt;&lt;rec-number&gt;36&lt;/rec-number&gt;&lt;foreign-keys&gt;&lt;key</w:instrText>
      </w:r>
      <w:r>
        <w:rPr>
          <w:rFonts w:hint="eastAsia"/>
        </w:rPr>
        <w:instrText xml:space="preserve"> app="EN" db-id="e50s0x59aw9ewee0a2s50ddcapsa25df55z5" timestamp="1742277683"&gt;36&lt;/key&gt;&lt;/foreign-keys&gt;&lt;ref-type name="Journal Article"&gt;17&lt;/ref-type&gt;&lt;contributors&gt;&lt;authors&gt;&lt;author&gt;Delaney, Matthew&lt;/author&gt;&lt;author&gt;Zeimpekis, Ioannis&lt;/author&gt;&lt;author&gt;Lawson, Da</w:instrText>
      </w:r>
      <w:r>
        <w:rPr>
          <w:rFonts w:hint="eastAsia"/>
        </w:rPr>
        <w:instrText>niel&lt;/author&gt;&lt;author&gt;Hewak, Daniel W&lt;/author&gt;&lt;author&gt;Muskens, Otto L %J Advanced functional materials&lt;/author&gt;&lt;/authors&gt;&lt;/contributors&gt;&lt;titles&gt;&lt;title&gt;A new family of ultralow loss reversible phase</w:instrText>
      </w:r>
      <w:r>
        <w:rPr>
          <w:rFonts w:hint="eastAsia"/>
        </w:rPr>
        <w:instrText>‐</w:instrText>
      </w:r>
      <w:r>
        <w:rPr>
          <w:rFonts w:hint="eastAsia"/>
        </w:rPr>
        <w:instrText>change materials for photonic integrated circuits: Sb2S3 an</w:instrText>
      </w:r>
      <w:r>
        <w:rPr>
          <w:rFonts w:hint="eastAsia"/>
        </w:rPr>
        <w:instrText>d Sb2Se3&lt;/title&gt;&lt;/titles&gt;&lt;pages&gt;2002447&lt;/pages&gt;&lt;volume&gt;30&lt;/volume&gt;&lt;number&gt;36&lt;/number&gt;&lt;dates&gt;&lt;year&gt;2020&lt;/year&gt;&lt;/dates&gt;&lt;isbn&gt;1616-301X&lt;/isbn&gt;&lt;urls&gt;&lt;/urls&gt;&lt;/record&gt;&lt;/Cite&gt;&lt;/EndNote&gt;</w:instrText>
      </w:r>
      <w:r>
        <w:rPr>
          <w:rFonts w:hint="eastAsia"/>
        </w:rPr>
        <w:fldChar w:fldCharType="separate"/>
      </w:r>
      <w:r>
        <w:rPr>
          <w:rFonts w:hint="eastAsia"/>
          <w:vertAlign w:val="superscript"/>
        </w:rPr>
        <w:t>[17]</w:t>
      </w:r>
      <w:r>
        <w:rPr>
          <w:rFonts w:hint="eastAsia"/>
        </w:rPr>
        <w:fldChar w:fldCharType="end"/>
      </w:r>
      <w:r>
        <w:rPr>
          <w:rFonts w:ascii="Segoe UI" w:hAnsi="Segoe UI" w:cs="Segoe UI" w:hint="eastAsia"/>
          <w:sz w:val="22"/>
          <w:szCs w:val="22"/>
          <w:shd w:val="clear" w:color="auto" w:fill="FFFFFF"/>
        </w:rPr>
        <w:t>。</w:t>
      </w:r>
      <w:r>
        <w:t>Sb₂Se₃</w:t>
      </w:r>
      <w:r>
        <w:rPr>
          <w:rFonts w:hint="eastAsia"/>
        </w:rPr>
        <w:t>因其低吸收损耗在近红外波段表现出优异的光学性能，为开发紧凑、低功耗的可编程光子器件提供了新路径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EN.CITE &lt;EndNote&gt;&lt;Cite&gt;&lt;Author&gt;Wu&lt;/Author&gt;&lt;Year&gt;2024&lt;/Year&gt;&lt;RecNum&gt;28&lt;/RecNum&gt;&lt;DisplayText&gt;&lt;style face="superscript"&gt;[18]&lt;/style&gt;&lt;/DisplayText&gt;&lt;record&gt;&lt;rec-number&gt;28&lt;/rec-number&gt;&lt;foreign-keys&gt;&lt;key app="EN" db-id="e50s0x59aw9ewee0a2s50ddcapsa25df55z5</w:instrText>
      </w:r>
      <w:r>
        <w:rPr>
          <w:rFonts w:hint="eastAsia"/>
        </w:rPr>
        <w:instrText>" timestamp="1741869941"&gt;28&lt;/key&gt;&lt;/foreign-keys&gt;&lt;ref-type name="Journal Article"&gt;17&lt;/ref-type&gt;&lt;contributors&gt;&lt;authors&gt;&lt;author&gt;Wu, Changming&lt;/author&gt;&lt;author&gt;Deng, Haoqin&lt;/author&gt;&lt;author&gt;Huang, Yi-Siou&lt;/author&gt;&lt;author&gt;Yu, Heshan&lt;/author&gt;&lt;author&gt;Takeuchi, Ichi</w:instrText>
      </w:r>
      <w:r>
        <w:rPr>
          <w:rFonts w:hint="eastAsia"/>
        </w:rPr>
        <w:instrText>ro&lt;/author&gt;&lt;author&gt;R</w:instrText>
      </w:r>
      <w:r>
        <w:rPr>
          <w:rFonts w:hint="eastAsia"/>
        </w:rPr>
        <w:instrText>í</w:instrText>
      </w:r>
      <w:r>
        <w:rPr>
          <w:rFonts w:hint="eastAsia"/>
        </w:rPr>
        <w:instrText>os Ocampo, Carlos A&lt;/author&gt;&lt;author&gt;Li, Mo %J Science Advances&lt;/author&gt;&lt;/authors&gt;&lt;/contributors&gt;&lt;titles&gt;&lt;title&gt;Freeform direct-write and rewritable photonic integrated circuits in phase-change thin films&lt;/title&gt;&lt;/titles&gt;&lt;pages&gt;eadk1361</w:instrText>
      </w:r>
      <w:r>
        <w:rPr>
          <w:rFonts w:hint="eastAsia"/>
        </w:rPr>
        <w:instrText>&lt;/pages&gt;&lt;volume&gt;10&lt;/volume&gt;&lt;number&gt;1&lt;/number&gt;&lt;dates&gt;&lt;year&gt;2024&lt;/year&gt;&lt;/dates&gt;&lt;isbn&gt;2375-2548&lt;/isbn&gt;&lt;urls&gt;&lt;/urls&gt;&lt;/record&gt;&lt;/Cite&gt;&lt;/EndNote&gt;</w:instrText>
      </w:r>
      <w:r>
        <w:rPr>
          <w:rFonts w:hint="eastAsia"/>
        </w:rPr>
        <w:fldChar w:fldCharType="separate"/>
      </w:r>
      <w:r>
        <w:rPr>
          <w:rFonts w:hint="eastAsia"/>
          <w:vertAlign w:val="superscript"/>
        </w:rPr>
        <w:t>[18]</w:t>
      </w:r>
      <w:r>
        <w:rPr>
          <w:rFonts w:hint="eastAsia"/>
        </w:rPr>
        <w:fldChar w:fldCharType="end"/>
      </w:r>
      <w:r>
        <w:rPr>
          <w:rFonts w:hint="eastAsia"/>
        </w:rPr>
        <w:t>。</w:t>
      </w:r>
      <w:r>
        <w:rPr>
          <w:rFonts w:hint="eastAsia"/>
        </w:rPr>
        <w:t>2024</w:t>
      </w:r>
      <w:r>
        <w:rPr>
          <w:rFonts w:hint="eastAsia"/>
        </w:rPr>
        <w:t>年，</w:t>
      </w:r>
      <w:r>
        <w:rPr>
          <w:rFonts w:hint="eastAsia"/>
        </w:rPr>
        <w:t>F</w:t>
      </w:r>
      <w:r>
        <w:t>ANG Z</w:t>
      </w:r>
      <w:r>
        <w:rPr>
          <w:rFonts w:hint="eastAsia"/>
        </w:rPr>
        <w:t>等人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EN.CITE &lt;EndNote&gt;&lt;Cite&gt;&lt;Author&gt;Fang&lt;/Author&gt;&lt;Year&gt;2023&lt;/Year&gt;&lt;RecNum&gt;35&lt;/RecNum&gt;&lt;DisplayT</w:instrText>
      </w:r>
      <w:r>
        <w:rPr>
          <w:rFonts w:hint="eastAsia"/>
        </w:rPr>
        <w:instrText>ext&gt;&lt;style face="superscript"&gt;[19]&lt;/style&gt;&lt;/DisplayText&gt;&lt;record&gt;&lt;rec-number&gt;35&lt;/rec-number&gt;&lt;foreign-keys&gt;&lt;key app="EN" db-id="e50s0x59aw9ewee0a2s50ddcapsa25df55z5" timestamp="1741870926"&gt;35&lt;/key&gt;&lt;/foreign-keys&gt;&lt;ref-type name="Journal Article"&gt;17&lt;/ref-type&gt;</w:instrText>
      </w:r>
      <w:r>
        <w:rPr>
          <w:rFonts w:hint="eastAsia"/>
        </w:rPr>
        <w:instrText>&lt;contributors&gt;&lt;authors&gt;&lt;author&gt;Fang, Zhuoran&lt;/author&gt;&lt;author&gt;Mills, Brian&lt;/author&gt;&lt;author&gt;Chen, Rui&lt;/author&gt;&lt;author&gt;Zhang, Jieying&lt;/author&gt;&lt;author&gt;Xu, Peipeng&lt;/author&gt;&lt;author&gt;Hu, Juejun&lt;/author&gt;&lt;author&gt;Majumdar, Arka %J Nano Letters&lt;/author&gt;&lt;/authors&gt;&lt;/con</w:instrText>
      </w:r>
      <w:r>
        <w:rPr>
          <w:rFonts w:hint="eastAsia"/>
        </w:rPr>
        <w:instrText>tributors&gt;&lt;titles&gt;&lt;title&gt;Arbitrary programming of racetrack resonators using low-loss phase-change material Sb2Se3&lt;/title&gt;&lt;/titles&gt;&lt;pages&gt;97-103&lt;/pages&gt;&lt;volume&gt;24&lt;/volume&gt;&lt;number&gt;1&lt;/number&gt;&lt;dates&gt;&lt;year&gt;2023&lt;/year&gt;&lt;/dates&gt;&lt;isbn&gt;1530-6984&lt;/isbn&gt;&lt;urls&gt;&lt;/urls&gt;</w:instrText>
      </w:r>
      <w:r>
        <w:rPr>
          <w:rFonts w:hint="eastAsia"/>
        </w:rPr>
        <w:instrText>&lt;/record&gt;&lt;/Cite&gt;&lt;/EndNote&gt;</w:instrText>
      </w:r>
      <w:r>
        <w:rPr>
          <w:rFonts w:hint="eastAsia"/>
        </w:rPr>
        <w:fldChar w:fldCharType="separate"/>
      </w:r>
      <w:r>
        <w:rPr>
          <w:rFonts w:hint="eastAsia"/>
          <w:vertAlign w:val="superscript"/>
        </w:rPr>
        <w:t>[19]</w:t>
      </w:r>
      <w:r>
        <w:rPr>
          <w:rFonts w:hint="eastAsia"/>
        </w:rPr>
        <w:fldChar w:fldCharType="end"/>
      </w:r>
      <w:r>
        <w:rPr>
          <w:rFonts w:hint="eastAsia"/>
        </w:rPr>
        <w:t>制作了基于</w:t>
      </w:r>
      <w:r>
        <w:t>Sb₂Se₃</w:t>
      </w:r>
      <w:r>
        <w:rPr>
          <w:rFonts w:hint="eastAsia"/>
        </w:rPr>
        <w:t>的硅基方向耦合器开关。该光开关的插入损耗约</w:t>
      </w:r>
      <w:r>
        <w:rPr>
          <w:rFonts w:hint="eastAsia"/>
        </w:rPr>
        <w:t>0.36 dB</w:t>
      </w:r>
      <w:r>
        <w:rPr>
          <w:rFonts w:hint="eastAsia"/>
        </w:rPr>
        <w:t>，晶态与非晶态下的消光比分别为</w:t>
      </w:r>
      <w:r>
        <w:rPr>
          <w:rFonts w:hint="eastAsia"/>
        </w:rPr>
        <w:t>15 dB</w:t>
      </w:r>
      <w:r>
        <w:rPr>
          <w:rFonts w:hint="eastAsia"/>
        </w:rPr>
        <w:t>和</w:t>
      </w:r>
      <w:r>
        <w:rPr>
          <w:rFonts w:hint="eastAsia"/>
        </w:rPr>
        <w:t>8 dB</w:t>
      </w:r>
      <w:r>
        <w:rPr>
          <w:rFonts w:hint="eastAsia"/>
        </w:rPr>
        <w:t>，器件耦合长度为</w:t>
      </w:r>
      <w:r>
        <w:rPr>
          <w:rFonts w:hint="eastAsia"/>
        </w:rPr>
        <w:t>33</w:t>
      </w:r>
      <w:r>
        <w:t xml:space="preserve"> μm</w:t>
      </w:r>
      <w:r>
        <w:rPr>
          <w:rFonts w:hint="eastAsia"/>
        </w:rPr>
        <w:t>，并成功实现了多级操作功能，但该器件结构较大。</w:t>
      </w:r>
      <w:r>
        <w:rPr>
          <w:rFonts w:hint="eastAsia"/>
        </w:rPr>
        <w:t>2024</w:t>
      </w:r>
      <w:r>
        <w:rPr>
          <w:rFonts w:hint="eastAsia"/>
        </w:rPr>
        <w:t>年，</w:t>
      </w:r>
      <w:r>
        <w:rPr>
          <w:rFonts w:hint="eastAsia"/>
        </w:rPr>
        <w:t>S</w:t>
      </w:r>
      <w:r>
        <w:t>HANG K</w:t>
      </w:r>
      <w:r>
        <w:rPr>
          <w:rFonts w:hint="eastAsia"/>
        </w:rPr>
        <w:t>等人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ADDIN EN.CITE &lt;EndNote&gt;&lt;Cite&gt;&lt;Author&gt;Shang&lt;/Author&gt;&lt;Year&gt;2024&lt;/Year&gt;&lt;RecNum&gt;30&lt;/RecNum&gt;&lt;DisplayText&gt;&lt;style </w:instrText>
      </w:r>
      <w:r>
        <w:rPr>
          <w:rFonts w:hint="eastAsia"/>
        </w:rPr>
        <w:instrText>face="superscript"&gt;[20]&lt;/style&gt;&lt;/DisplayText&gt;&lt;record&gt;&lt;rec-number&gt;30&lt;/rec-number&gt;&lt;foreign-keys&gt;&lt;key app="EN" db-id="e50s0x59aw9ewee0a2s50ddcapsa25df55z5" timestamp="1741870030"&gt;30&lt;/key&gt;&lt;/foreign-keys&gt;&lt;ref-type name="Journal Article"&gt;17&lt;/ref-type&gt;&lt;contributo</w:instrText>
      </w:r>
      <w:r>
        <w:rPr>
          <w:rFonts w:hint="eastAsia"/>
        </w:rPr>
        <w:instrText>rs&gt;&lt;authors&gt;&lt;author&gt;Shang, Kun&lt;/author&gt;&lt;author&gt;Niu, Lei&lt;/author&gt;&lt;author&gt;Jin, Huimin&lt;/author&gt;&lt;author&gt;Wang, Haoxian&lt;/author&gt;&lt;author&gt;Zhang, Wei&lt;/author&gt;&lt;author&gt;Gan, Fuwan&lt;/author&gt;&lt;author&gt;Xu, Peipeng %J Optics Letters&lt;/author&gt;&lt;/authors&gt;&lt;/contributors&gt;&lt;titles&gt;&lt;</w:instrText>
      </w:r>
      <w:r>
        <w:rPr>
          <w:rFonts w:hint="eastAsia"/>
        </w:rPr>
        <w:instrText>title&gt;Non-volatile 2</w:instrText>
      </w:r>
      <w:r>
        <w:rPr>
          <w:rFonts w:hint="eastAsia"/>
        </w:rPr>
        <w:instrText>×</w:instrText>
      </w:r>
      <w:r>
        <w:rPr>
          <w:rFonts w:hint="eastAsia"/>
        </w:rPr>
        <w:instrText xml:space="preserve"> 2 optical switch using multimode interference in an Sb2Se3-loaded waveguide&lt;/title&gt;&lt;/titles&gt;&lt;pages&gt;722-725&lt;/pages&gt;&lt;volume&gt;49&lt;/volume&gt;&lt;number&gt;3&lt;/number&gt;&lt;dates&gt;&lt;year&gt;2024&lt;/year&gt;&lt;/dates&gt;&lt;isbn&gt;0146-9592&lt;/isbn&gt;&lt;urls&gt;&lt;/urls&gt;&lt;/record&gt;&lt;/Cite&gt;</w:instrText>
      </w:r>
      <w:r>
        <w:rPr>
          <w:rFonts w:hint="eastAsia"/>
        </w:rPr>
        <w:instrText>&lt;/EndNote&gt;</w:instrText>
      </w:r>
      <w:r>
        <w:rPr>
          <w:rFonts w:hint="eastAsia"/>
        </w:rPr>
        <w:fldChar w:fldCharType="separate"/>
      </w:r>
      <w:r>
        <w:rPr>
          <w:rFonts w:hint="eastAsia"/>
          <w:vertAlign w:val="superscript"/>
        </w:rPr>
        <w:t>[20]</w:t>
      </w:r>
      <w:r>
        <w:rPr>
          <w:rFonts w:hint="eastAsia"/>
        </w:rPr>
        <w:fldChar w:fldCharType="end"/>
      </w:r>
      <w:r>
        <w:rPr>
          <w:rFonts w:hint="eastAsia"/>
        </w:rPr>
        <w:t>设计了基于</w:t>
      </w:r>
      <w:r>
        <w:t>Sb₂Se₃</w:t>
      </w:r>
      <w:r>
        <w:rPr>
          <w:rFonts w:hint="eastAsia"/>
        </w:rPr>
        <w:t>材料的多模干涉耦合器（</w:t>
      </w:r>
      <w:r>
        <w:t>MMI</w:t>
      </w:r>
      <w:r>
        <w:rPr>
          <w:rFonts w:hint="eastAsia"/>
        </w:rPr>
        <w:t>）。该器件在</w:t>
      </w:r>
      <w:r>
        <w:rPr>
          <w:rFonts w:hint="eastAsia"/>
        </w:rPr>
        <w:t>35 nm</w:t>
      </w:r>
      <w:r>
        <w:rPr>
          <w:rFonts w:hint="eastAsia"/>
        </w:rPr>
        <w:t>带宽范围内插入损耗仅约为</w:t>
      </w:r>
      <w:r>
        <w:rPr>
          <w:rFonts w:hint="eastAsia"/>
        </w:rPr>
        <w:t>1 dB</w:t>
      </w:r>
      <w:r>
        <w:rPr>
          <w:rFonts w:hint="eastAsia"/>
        </w:rPr>
        <w:t>，串扰为</w:t>
      </w:r>
      <w:r>
        <w:rPr>
          <w:rFonts w:hint="eastAsia"/>
        </w:rPr>
        <w:t>-15 dB</w:t>
      </w:r>
      <w:r>
        <w:rPr>
          <w:rFonts w:hint="eastAsia"/>
        </w:rPr>
        <w:t>，但仅展示了晶态和非晶态的切换，并没有实现多级操控。</w:t>
      </w:r>
    </w:p>
    <w:p w14:paraId="2A025843" w14:textId="77777777" w:rsidR="00497B08" w:rsidRDefault="007C5ED7">
      <w:pPr>
        <w:pStyle w:val="11"/>
        <w:ind w:firstLine="420"/>
      </w:pPr>
      <w:r>
        <w:rPr>
          <w:rFonts w:hint="eastAsia"/>
        </w:rPr>
        <w:t>本文</w:t>
      </w:r>
      <w:r>
        <w:rPr>
          <w:rFonts w:hint="eastAsia"/>
          <w:color w:val="FF0000"/>
        </w:rPr>
        <w:t>设计基于非对称方向耦合器（</w:t>
      </w:r>
      <w:r>
        <w:rPr>
          <w:rFonts w:hint="eastAsia"/>
          <w:color w:val="FF0000"/>
        </w:rPr>
        <w:t>ADC</w:t>
      </w:r>
      <w:r>
        <w:rPr>
          <w:rFonts w:hint="eastAsia"/>
          <w:color w:val="FF0000"/>
        </w:rPr>
        <w:t>）和马赫</w:t>
      </w:r>
      <w:r>
        <w:rPr>
          <w:rFonts w:hint="eastAsia"/>
          <w:color w:val="FF0000"/>
        </w:rPr>
        <w:t>-</w:t>
      </w:r>
      <w:r>
        <w:rPr>
          <w:rFonts w:hint="eastAsia"/>
          <w:color w:val="FF0000"/>
        </w:rPr>
        <w:t>曾德尔干涉仪（</w:t>
      </w:r>
      <w:r>
        <w:rPr>
          <w:rFonts w:hint="eastAsia"/>
          <w:color w:val="FF0000"/>
        </w:rPr>
        <w:t>MZI</w:t>
      </w:r>
      <w:r>
        <w:rPr>
          <w:rFonts w:hint="eastAsia"/>
          <w:color w:val="FF0000"/>
        </w:rPr>
        <w:t>）两种结构的硅基</w:t>
      </w:r>
      <w:r>
        <w:rPr>
          <w:color w:val="FF0000"/>
        </w:rPr>
        <w:t>Sb₂Se₃</w:t>
      </w:r>
      <w:r>
        <w:rPr>
          <w:rFonts w:hint="eastAsia"/>
          <w:color w:val="FF0000"/>
        </w:rPr>
        <w:t>相变材料非易失性光开关</w:t>
      </w:r>
      <w:r>
        <w:rPr>
          <w:rFonts w:hint="eastAsia"/>
        </w:rPr>
        <w:t>。</w:t>
      </w:r>
    </w:p>
    <w:p w14:paraId="3700D8A8" w14:textId="77777777" w:rsidR="00497B08" w:rsidRDefault="00497B08">
      <w:pPr>
        <w:pStyle w:val="11"/>
        <w:ind w:firstLineChars="0" w:firstLine="0"/>
      </w:pPr>
    </w:p>
    <w:p w14:paraId="01E741F9" w14:textId="77777777" w:rsidR="00497B08" w:rsidRDefault="007C5ED7">
      <w:pPr>
        <w:pStyle w:val="08"/>
      </w:pPr>
      <w:r>
        <w:rPr>
          <w:rFonts w:hint="eastAsia"/>
        </w:rPr>
        <w:t>器件</w:t>
      </w:r>
      <w:r>
        <w:t>设计与</w:t>
      </w:r>
      <w:r>
        <w:rPr>
          <w:rFonts w:hint="eastAsia"/>
        </w:rPr>
        <w:t>理论分析</w:t>
      </w:r>
    </w:p>
    <w:p w14:paraId="76855C96" w14:textId="77777777" w:rsidR="00497B08" w:rsidRDefault="007C5ED7">
      <w:pPr>
        <w:pStyle w:val="08"/>
        <w:numPr>
          <w:ilvl w:val="0"/>
          <w:numId w:val="0"/>
        </w:numPr>
        <w:rPr>
          <w:b w:val="0"/>
          <w:sz w:val="21"/>
        </w:rPr>
      </w:pPr>
      <w:r>
        <w:rPr>
          <w:b w:val="0"/>
          <w:sz w:val="21"/>
        </w:rPr>
        <w:tab/>
      </w:r>
      <w:r>
        <w:rPr>
          <w:b w:val="0"/>
          <w:sz w:val="21"/>
        </w:rPr>
        <w:t>本文基于硅基</w:t>
      </w:r>
      <w:r>
        <w:rPr>
          <w:b w:val="0"/>
          <w:sz w:val="21"/>
        </w:rPr>
        <w:t>Sb₂Se₃</w:t>
      </w:r>
      <w:r>
        <w:rPr>
          <w:b w:val="0"/>
          <w:sz w:val="21"/>
        </w:rPr>
        <w:t>相变材料混合波导，设计</w:t>
      </w:r>
      <w:r>
        <w:rPr>
          <w:b w:val="0"/>
          <w:sz w:val="21"/>
        </w:rPr>
        <w:t>2</w:t>
      </w:r>
      <w:r>
        <w:rPr>
          <w:b w:val="0"/>
          <w:sz w:val="21"/>
        </w:rPr>
        <w:t>种非易失性电控光开关结构：非对称方向耦合器（</w:t>
      </w:r>
      <w:r>
        <w:rPr>
          <w:b w:val="0"/>
          <w:sz w:val="21"/>
        </w:rPr>
        <w:t>ADC</w:t>
      </w:r>
      <w:r>
        <w:rPr>
          <w:b w:val="0"/>
          <w:sz w:val="21"/>
        </w:rPr>
        <w:t>）光开关和马赫</w:t>
      </w:r>
      <w:r>
        <w:rPr>
          <w:b w:val="0"/>
          <w:sz w:val="21"/>
        </w:rPr>
        <w:t>-</w:t>
      </w:r>
      <w:r>
        <w:rPr>
          <w:b w:val="0"/>
          <w:sz w:val="21"/>
        </w:rPr>
        <w:t>曾德干涉仪（</w:t>
      </w:r>
      <w:r>
        <w:rPr>
          <w:b w:val="0"/>
          <w:sz w:val="21"/>
        </w:rPr>
        <w:t>MZI</w:t>
      </w:r>
      <w:r>
        <w:rPr>
          <w:b w:val="0"/>
          <w:sz w:val="21"/>
        </w:rPr>
        <w:t>）光开关。这</w:t>
      </w:r>
      <w:r>
        <w:rPr>
          <w:rFonts w:hint="eastAsia"/>
          <w:b w:val="0"/>
          <w:sz w:val="21"/>
        </w:rPr>
        <w:t>2</w:t>
      </w:r>
      <w:r>
        <w:rPr>
          <w:b w:val="0"/>
          <w:sz w:val="21"/>
        </w:rPr>
        <w:t>种结构分别基于不同的光学原理，但都利用相变材料的晶态调控实现光路的非易失性切换。下面将首先详细介绍</w:t>
      </w:r>
      <w:r>
        <w:rPr>
          <w:b w:val="0"/>
          <w:sz w:val="21"/>
        </w:rPr>
        <w:t>ADC</w:t>
      </w:r>
      <w:r>
        <w:rPr>
          <w:b w:val="0"/>
          <w:sz w:val="21"/>
        </w:rPr>
        <w:t>光开关的设计原理与理论分析</w:t>
      </w:r>
      <w:r>
        <w:rPr>
          <w:rFonts w:hint="eastAsia"/>
          <w:b w:val="0"/>
          <w:sz w:val="21"/>
        </w:rPr>
        <w:t>。</w:t>
      </w:r>
    </w:p>
    <w:p w14:paraId="36848876" w14:textId="77777777" w:rsidR="00497B08" w:rsidRDefault="007C5ED7">
      <w:pPr>
        <w:pStyle w:val="08"/>
        <w:numPr>
          <w:ilvl w:val="1"/>
          <w:numId w:val="6"/>
        </w:numPr>
      </w:pPr>
      <w:r>
        <w:rPr>
          <w:rFonts w:hint="eastAsia"/>
        </w:rPr>
        <w:t>A</w:t>
      </w:r>
      <w:r>
        <w:t>DC</w:t>
      </w:r>
      <w:r>
        <w:rPr>
          <w:rFonts w:hint="eastAsia"/>
        </w:rPr>
        <w:t>光开关设计</w:t>
      </w:r>
    </w:p>
    <w:p w14:paraId="6A0CE49F" w14:textId="77777777" w:rsidR="00497B08" w:rsidRDefault="007C5ED7">
      <w:pPr>
        <w:pStyle w:val="08"/>
        <w:numPr>
          <w:ilvl w:val="0"/>
          <w:numId w:val="0"/>
        </w:numPr>
        <w:rPr>
          <w:sz w:val="21"/>
        </w:rPr>
      </w:pPr>
      <w:r>
        <w:rPr>
          <w:rFonts w:hint="eastAsia"/>
          <w:sz w:val="21"/>
        </w:rPr>
        <w:t xml:space="preserve">1.1.1 </w:t>
      </w:r>
      <w:r>
        <w:rPr>
          <w:sz w:val="21"/>
        </w:rPr>
        <w:t>工作原理</w:t>
      </w:r>
      <w:r>
        <w:rPr>
          <w:rFonts w:hint="eastAsia"/>
          <w:sz w:val="21"/>
        </w:rPr>
        <w:t>及</w:t>
      </w:r>
      <w:r>
        <w:rPr>
          <w:sz w:val="21"/>
        </w:rPr>
        <w:t>结构</w:t>
      </w:r>
    </w:p>
    <w:p w14:paraId="1C1CBEF9" w14:textId="77777777" w:rsidR="00497B08" w:rsidRDefault="007C5ED7">
      <w:pPr>
        <w:widowControl/>
        <w:ind w:firstLine="420"/>
        <w:jc w:val="left"/>
        <w:rPr>
          <w:rStyle w:val="11Char"/>
          <w:bCs/>
        </w:rPr>
      </w:pPr>
      <w:r>
        <w:rPr>
          <w:rFonts w:ascii="Segoe UI" w:hAnsi="Segoe UI" w:cs="Segoe UI"/>
          <w:color w:val="000000"/>
          <w:spacing w:val="-2"/>
          <w:shd w:val="clear" w:color="auto" w:fill="FFFFFF"/>
        </w:rPr>
        <w:t>根据耦合模理论，在相位匹配的条件下，两根相互靠近的平行波导在足够的耦合长度下，会发生光能量的交换，即光从一根波导耦合到另一根波导；而在相位失配的情况下，只有部分耦合。基于此，提出了纯硅波导与基于相变材料的硅基混合波导的组合方案，该方案通过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PIN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加热器调控相变材料的晶态，以实现光开关的功能。</w:t>
      </w:r>
      <w:r>
        <w:rPr>
          <w:rFonts w:hint="eastAsia"/>
        </w:rPr>
        <w:t>图</w:t>
      </w:r>
      <w:r>
        <w:rPr>
          <w:rFonts w:hint="eastAsia"/>
        </w:rPr>
        <w:t>1</w:t>
      </w:r>
      <w:r>
        <w:rPr>
          <w:rFonts w:hint="eastAsia"/>
        </w:rPr>
        <w:t>为集成相变材料的硅基非对称方向耦合器（</w:t>
      </w:r>
      <w:r>
        <w:t>ADC</w:t>
      </w:r>
      <w:r>
        <w:rPr>
          <w:rFonts w:hint="eastAsia"/>
        </w:rPr>
        <w:t>）的三维结构图与横截面图，器件基于绝缘体上硅（</w:t>
      </w:r>
      <w:r>
        <w:t>SOI</w:t>
      </w:r>
      <w:r>
        <w:rPr>
          <w:rFonts w:hint="eastAsia"/>
        </w:rPr>
        <w:t>）平台设计。</w:t>
      </w:r>
      <w:r>
        <w:t>ADC</w:t>
      </w:r>
      <w:r>
        <w:rPr>
          <w:rFonts w:hint="eastAsia"/>
        </w:rPr>
        <w:t>结构采用非对称设计，由平板厚为</w:t>
      </w:r>
      <w:r>
        <w:rPr>
          <w:rFonts w:hint="eastAsia"/>
        </w:rPr>
        <w:t>90</w:t>
      </w:r>
      <w:r>
        <w:t xml:space="preserve"> nm</w:t>
      </w:r>
      <w:r>
        <w:rPr>
          <w:rFonts w:hint="eastAsia"/>
        </w:rPr>
        <w:t>、脊高为</w:t>
      </w:r>
      <w:r>
        <w:rPr>
          <w:rFonts w:hint="eastAsia"/>
        </w:rPr>
        <w:t>130 nm</w:t>
      </w:r>
      <w:r>
        <w:rPr>
          <w:rFonts w:hint="eastAsia"/>
        </w:rPr>
        <w:t>的脊形硅波导组成，混合波导顶部集成</w:t>
      </w:r>
      <w:r>
        <w:t>30 nm</w:t>
      </w:r>
      <w:r>
        <w:rPr>
          <w:rFonts w:hint="eastAsia"/>
        </w:rPr>
        <w:t>厚的</w:t>
      </w:r>
      <w:r>
        <w:t>Sb₂Se₃</w:t>
      </w:r>
      <w:r>
        <w:rPr>
          <w:rFonts w:hint="eastAsia"/>
        </w:rPr>
        <w:t>相变材料。考虑到工艺容差，混合波导中相变材料的宽度比硅基部分小</w:t>
      </w:r>
      <w:r>
        <w:rPr>
          <w:rFonts w:hint="eastAsia"/>
        </w:rPr>
        <w:t>100 nm</w:t>
      </w:r>
      <w:r>
        <w:rPr>
          <w:rFonts w:hint="eastAsia"/>
        </w:rPr>
        <w:t>。两平行波导由</w:t>
      </w:r>
      <w:r>
        <w:rPr>
          <w:rFonts w:hint="eastAsia"/>
        </w:rPr>
        <w:t>4</w:t>
      </w:r>
      <w:r>
        <w:rPr>
          <w:rFonts w:hint="eastAsia"/>
        </w:rPr>
        <w:t>根倾斜的波导引出（斜率为</w:t>
      </w:r>
      <w:r>
        <w:rPr>
          <w:rFonts w:hint="eastAsia"/>
        </w:rPr>
        <w:t>1/16</w:t>
      </w:r>
      <w:r>
        <w:rPr>
          <w:rFonts w:hint="eastAsia"/>
        </w:rPr>
        <w:t>），并在器件表面覆盖一层</w:t>
      </w:r>
      <w:r>
        <w:t>40 nm</w:t>
      </w:r>
      <w:r>
        <w:rPr>
          <w:rFonts w:hint="eastAsia"/>
        </w:rPr>
        <w:t>厚的</w:t>
      </w:r>
      <w:r>
        <w:t>Al₂O₃</w:t>
      </w:r>
      <w:r>
        <w:rPr>
          <w:rFonts w:hint="eastAsia"/>
        </w:rPr>
        <w:t>保护层，以防止相变材料在加热过程中被氧化。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这种结构设计不仅保证了良好的光学性能，还兼顾了工艺可行性和稳定性。</w:t>
      </w:r>
      <w:r>
        <w:rPr>
          <w:rFonts w:hint="eastAsia"/>
        </w:rPr>
        <w:t>器件工作时，</w:t>
      </w:r>
      <w:r>
        <w:t>TE</w:t>
      </w:r>
      <w:r>
        <w:rPr>
          <w:rFonts w:hint="eastAsia"/>
        </w:rPr>
        <w:t>偏振光从硅波导的</w:t>
      </w:r>
      <w:r>
        <w:rPr>
          <w:rFonts w:hint="eastAsia"/>
        </w:rPr>
        <w:t>input</w:t>
      </w:r>
      <w:r>
        <w:rPr>
          <w:rFonts w:hint="eastAsia"/>
        </w:rPr>
        <w:t>端口输入。当相变材料</w:t>
      </w:r>
      <w:r>
        <w:rPr>
          <w:rStyle w:val="11Char"/>
          <w:rFonts w:hint="eastAsia"/>
          <w:bCs/>
        </w:rPr>
        <w:t>处于非晶态时，混合硅波导与纯硅波导之间满足相位匹配条件，光在耦合区域内高效转移至混合波导，并从</w:t>
      </w:r>
      <w:r>
        <w:rPr>
          <w:rStyle w:val="11Char"/>
          <w:bCs/>
        </w:rPr>
        <w:t>cross</w:t>
      </w:r>
      <w:r>
        <w:rPr>
          <w:rStyle w:val="11Char"/>
          <w:rFonts w:hint="eastAsia"/>
          <w:bCs/>
        </w:rPr>
        <w:t>端口输出。相反，处于晶态时，其较高的折射率显著改变混合波导的模式分布，破坏与纯硅波导之间的相位匹配条件，导致耦合效率大幅降低。输入光主要保持在纯硅波导中，并从</w:t>
      </w:r>
      <w:r>
        <w:rPr>
          <w:rStyle w:val="11Char"/>
          <w:bCs/>
        </w:rPr>
        <w:t>bar</w:t>
      </w:r>
      <w:r>
        <w:rPr>
          <w:rStyle w:val="11Char"/>
          <w:rFonts w:hint="eastAsia"/>
          <w:bCs/>
        </w:rPr>
        <w:t>端口输出。通过切换相变材料状态，光开关可实现灵活的光路控制。</w:t>
      </w:r>
    </w:p>
    <w:p w14:paraId="23356AF2" w14:textId="77777777" w:rsidR="00497B08" w:rsidRDefault="007C5ED7">
      <w:pPr>
        <w:widowControl/>
        <w:jc w:val="left"/>
        <w:rPr>
          <w:rStyle w:val="11Char"/>
          <w:b/>
          <w:bCs/>
        </w:rPr>
      </w:pPr>
      <w:r>
        <w:rPr>
          <w:rStyle w:val="11Char"/>
          <w:b/>
          <w:bCs/>
        </w:rPr>
        <w:t>1.1.2</w:t>
      </w:r>
      <w:r>
        <w:rPr>
          <w:rStyle w:val="11Char"/>
          <w:rFonts w:hint="eastAsia"/>
          <w:b/>
          <w:bCs/>
        </w:rPr>
        <w:t xml:space="preserve"> </w:t>
      </w:r>
      <w:r>
        <w:rPr>
          <w:rStyle w:val="11Char"/>
          <w:rFonts w:hint="eastAsia"/>
          <w:b/>
          <w:bCs/>
        </w:rPr>
        <w:t>关键</w:t>
      </w:r>
      <w:r>
        <w:rPr>
          <w:rStyle w:val="11Char"/>
          <w:b/>
          <w:bCs/>
        </w:rPr>
        <w:t>参数</w:t>
      </w:r>
      <w:r>
        <w:rPr>
          <w:rStyle w:val="11Char"/>
          <w:rFonts w:hint="eastAsia"/>
          <w:b/>
          <w:bCs/>
        </w:rPr>
        <w:t>优化</w:t>
      </w:r>
      <w:r>
        <w:rPr>
          <w:rStyle w:val="11Char"/>
          <w:b/>
          <w:bCs/>
        </w:rPr>
        <w:t>设计</w:t>
      </w:r>
    </w:p>
    <w:p w14:paraId="00B01A49" w14:textId="77777777" w:rsidR="00497B08" w:rsidRDefault="007C5ED7">
      <w:pPr>
        <w:pStyle w:val="11"/>
        <w:spacing w:line="320" w:lineRule="exact"/>
        <w:ind w:firstLine="420"/>
        <w:rPr>
          <w:rStyle w:val="af0"/>
          <w:rFonts w:ascii="Segoe UI" w:hAnsi="Segoe UI" w:cs="Segoe UI"/>
          <w:b w:val="0"/>
          <w:color w:val="0F1115"/>
          <w:shd w:val="clear" w:color="auto" w:fill="FFFFFF"/>
        </w:rPr>
      </w:pP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基于耦合模理论，</w:t>
      </w:r>
      <w:r>
        <w:rPr>
          <w:rStyle w:val="af0"/>
          <w:rFonts w:ascii="Segoe UI" w:hAnsi="Segoe UI" w:cs="Segoe UI" w:hint="eastAsia"/>
          <w:b w:val="0"/>
          <w:color w:val="0F1115"/>
          <w:shd w:val="clear" w:color="auto" w:fill="FFFFFF"/>
        </w:rPr>
        <w:t>本文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通过三维有限差分法仿真优化波导参数。为实现非晶态下的相位匹配，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通过系统仿真优化，确定了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纯硅波导宽度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455nm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与混合波导硅宽度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413nm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的最佳组合，确保在非晶态下两波导有效折射率精确匹配（</w:t>
      </w:r>
      <w:r>
        <w:rPr>
          <w:rFonts w:hint="eastAsia"/>
          <w:i/>
          <w:iCs/>
        </w:rPr>
        <w:t>n</w:t>
      </w:r>
      <w:r>
        <w:rPr>
          <w:rFonts w:hint="eastAsia"/>
          <w:vertAlign w:val="subscript"/>
        </w:rPr>
        <w:t xml:space="preserve">eff 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=2.34</w:t>
      </w:r>
      <w:r>
        <w:rPr>
          <w:rFonts w:ascii="Segoe UI" w:hAnsi="Segoe UI" w:cs="Segoe UI"/>
          <w:color w:val="000000"/>
          <w:spacing w:val="-2"/>
          <w:shd w:val="clear" w:color="auto" w:fill="FFFFFF"/>
        </w:rPr>
        <w:t>）。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为满足非晶态与晶态耦合长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lastRenderedPageBreak/>
        <w:t>度比值为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2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的设计条件</w:t>
      </w:r>
      <w:r>
        <w:rPr>
          <w:rFonts w:hint="eastAsia"/>
          <w:b/>
        </w:rPr>
        <w:fldChar w:fldCharType="begin"/>
      </w:r>
      <w:r>
        <w:rPr>
          <w:rFonts w:hint="eastAsia"/>
          <w:b/>
        </w:rPr>
        <w:instrText xml:space="preserve"> ADDIN EN.CITE &lt;EndNote&gt;&lt;Cite&gt;&lt;Author&gt;Teo&lt;/Author&gt;&lt;Year&gt;2022&lt;/Year&gt;&lt;RecNum&gt;31&lt;/RecNum&gt;&lt;DisplayText&gt;&lt;style face="superscript"&gt;[21]&lt;/style&gt;&lt;/DisplayText&gt;&lt;record&gt;&lt;rec-number&gt;3</w:instrText>
      </w:r>
      <w:r>
        <w:rPr>
          <w:rFonts w:hint="eastAsia"/>
          <w:b/>
        </w:rPr>
        <w:instrText>1&lt;/rec-number&gt;&lt;foreign-keys&gt;&lt;key app="EN" db-id="e50s0x59aw9ewee0a2s50ddcapsa25df55z5" timestamp="1741870047"&gt;31&lt;/key&gt;&lt;/foreign-keys&gt;&lt;ref-type name="Journal Article"&gt;17&lt;/ref-type&gt;&lt;contributors&gt;&lt;authors&gt;&lt;author&gt;Teo, Ting Yu&lt;/author&gt;&lt;author&gt;Krbal, Milos&lt;/aut</w:instrText>
      </w:r>
      <w:r>
        <w:rPr>
          <w:rFonts w:hint="eastAsia"/>
          <w:b/>
        </w:rPr>
        <w:instrText>hor&gt;&lt;author&gt;Mistrik, Jan&lt;/author&gt;&lt;author&gt;Prikryl, Jan&lt;/author&gt;&lt;author&gt;Lu, Li&lt;/author&gt;&lt;author&gt;Simpson, Robert Edward %J Optical Materials Express&lt;/author&gt;&lt;/authors&gt;&lt;/contributors&gt;&lt;titles&gt;&lt;title&gt;Comparison and analysis of phase change materials-based reconfi</w:instrText>
      </w:r>
      <w:r>
        <w:rPr>
          <w:rFonts w:hint="eastAsia"/>
          <w:b/>
        </w:rPr>
        <w:instrText>gurable silicon photonic directional couplers&lt;/title&gt;&lt;/titles&gt;&lt;pages&gt;606-621&lt;/pages&gt;&lt;volume&gt;12&lt;/volume&gt;&lt;number&gt;2&lt;/number&gt;&lt;dates&gt;&lt;year&gt;2022&lt;/year&gt;&lt;/dates&gt;&lt;isbn&gt;2159-3930&lt;/isbn&gt;&lt;urls&gt;&lt;/urls&gt;&lt;/record&gt;&lt;/Cite&gt;&lt;/EndNote&gt;</w:instrText>
      </w:r>
      <w:r>
        <w:rPr>
          <w:rFonts w:hint="eastAsia"/>
          <w:b/>
        </w:rPr>
        <w:fldChar w:fldCharType="separate"/>
      </w:r>
      <w:r>
        <w:rPr>
          <w:rFonts w:hint="eastAsia"/>
          <w:b/>
          <w:vertAlign w:val="superscript"/>
        </w:rPr>
        <w:t>[21]</w:t>
      </w:r>
      <w:r>
        <w:rPr>
          <w:rFonts w:hint="eastAsia"/>
          <w:b/>
        </w:rPr>
        <w:fldChar w:fldCharType="end"/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，进一步确定两波导间距为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320 nm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，对应的耦合长度分别为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28 μm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（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非晶态）和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14 μm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（晶态）。此参数组合为初始设计依据，后续通过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3D-FDTD</w:t>
      </w:r>
      <w:r>
        <w:rPr>
          <w:rStyle w:val="af0"/>
          <w:rFonts w:ascii="Segoe UI" w:hAnsi="Segoe UI" w:cs="Segoe UI"/>
          <w:b w:val="0"/>
          <w:color w:val="0F1115"/>
          <w:shd w:val="clear" w:color="auto" w:fill="FFFFFF"/>
        </w:rPr>
        <w:t>方法进行了最终优化。</w:t>
      </w:r>
    </w:p>
    <w:p w14:paraId="75574AFC" w14:textId="77777777" w:rsidR="00497B08" w:rsidRDefault="007C5ED7">
      <w:pPr>
        <w:pStyle w:val="11"/>
        <w:ind w:firstLine="420"/>
        <w:rPr>
          <w:rStyle w:val="11Char"/>
          <w:bCs/>
        </w:rPr>
      </w:pPr>
      <w:r>
        <w:rPr>
          <w:rFonts w:ascii="宋体" w:hAnsi="宋体" w:cs="宋体"/>
          <w:szCs w:val="21"/>
        </w:rPr>
        <w:t>在此基础上，</w:t>
      </w:r>
      <w:r>
        <w:rPr>
          <w:rFonts w:ascii="宋体" w:hAnsi="宋体" w:cs="宋体" w:hint="eastAsia"/>
          <w:szCs w:val="21"/>
        </w:rPr>
        <w:t>本</w:t>
      </w:r>
      <w:r>
        <w:rPr>
          <w:rFonts w:ascii="宋体" w:hAnsi="宋体" w:cs="宋体"/>
          <w:szCs w:val="21"/>
        </w:rPr>
        <w:t>文</w:t>
      </w:r>
      <w:r>
        <w:rPr>
          <w:rStyle w:val="11Char"/>
          <w:rFonts w:hint="eastAsia"/>
          <w:bCs/>
        </w:rPr>
        <w:t>利用</w:t>
      </w:r>
      <w:r>
        <w:rPr>
          <w:rStyle w:val="11Char"/>
          <w:bCs/>
        </w:rPr>
        <w:t>三维有限差分时域法（</w:t>
      </w:r>
      <w:r>
        <w:rPr>
          <w:rStyle w:val="11Char"/>
          <w:bCs/>
        </w:rPr>
        <w:t>3D-FDTD</w:t>
      </w:r>
      <w:r>
        <w:rPr>
          <w:rStyle w:val="11Char"/>
          <w:bCs/>
        </w:rPr>
        <w:t>）对光开关进行优化，发现倾斜引出波导（斜率</w:t>
      </w:r>
      <w:r>
        <w:rPr>
          <w:rStyle w:val="11Char"/>
          <w:bCs/>
        </w:rPr>
        <w:t>1/16</w:t>
      </w:r>
      <w:r>
        <w:rPr>
          <w:rStyle w:val="11Char"/>
          <w:bCs/>
        </w:rPr>
        <w:t>）的耦合效应</w:t>
      </w:r>
      <w:r>
        <w:rPr>
          <w:rStyle w:val="11Char"/>
          <w:rFonts w:hint="eastAsia"/>
          <w:bCs/>
        </w:rPr>
        <w:t>可</w:t>
      </w:r>
      <w:r>
        <w:rPr>
          <w:rStyle w:val="11Char"/>
          <w:bCs/>
        </w:rPr>
        <w:t>显著缩短耦合长度</w:t>
      </w:r>
      <w:r>
        <w:rPr>
          <w:rStyle w:val="11Char"/>
          <w:bCs/>
        </w:rPr>
        <w:fldChar w:fldCharType="begin">
          <w:fldData xml:space="preserve">PEVuZE5vdGU+PENpdGU+PEF1dGhvcj7luoTnkZ48L0F1dGhvcj48WWVhcj4yMDIxPC9ZZWFyPjxS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</w:fldData>
        </w:fldChar>
      </w:r>
      <w:r>
        <w:rPr>
          <w:rStyle w:val="11Char"/>
          <w:rFonts w:hint="eastAsia"/>
          <w:bCs/>
        </w:rPr>
        <w:instrText xml:space="preserve"> ADDIN EN.CITE </w:instrText>
      </w:r>
      <w:r>
        <w:rPr>
          <w:rStyle w:val="11Char"/>
          <w:rFonts w:hint="eastAsia"/>
          <w:bCs/>
        </w:rPr>
        <w:fldChar w:fldCharType="begin">
          <w:fldData xml:space="preserve">PEVuZE5vdGU+PENpdGU+PEF1dGhvcj7luoTnkZ48L0F1dGhvcj48WWVhcj4yMDIxPC9ZZWFyPjxS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</w:fldData>
        </w:fldChar>
      </w:r>
      <w:r>
        <w:rPr>
          <w:rStyle w:val="11Char"/>
          <w:rFonts w:hint="eastAsia"/>
          <w:bCs/>
        </w:rPr>
        <w:instrText xml:space="preserve"> ADDIN EN.CITE.DATA </w:instrText>
      </w:r>
      <w:r>
        <w:rPr>
          <w:rStyle w:val="11Char"/>
          <w:rFonts w:hint="eastAsia"/>
          <w:bCs/>
        </w:rPr>
      </w:r>
      <w:r>
        <w:rPr>
          <w:rStyle w:val="11Char"/>
          <w:rFonts w:hint="eastAsia"/>
          <w:bCs/>
        </w:rPr>
        <w:fldChar w:fldCharType="end"/>
      </w:r>
      <w:r>
        <w:rPr>
          <w:rStyle w:val="11Char"/>
          <w:bCs/>
        </w:rPr>
      </w:r>
      <w:r>
        <w:rPr>
          <w:rStyle w:val="11Char"/>
          <w:bCs/>
        </w:rPr>
        <w:fldChar w:fldCharType="separate"/>
      </w:r>
      <w:r>
        <w:rPr>
          <w:rFonts w:hint="eastAsia"/>
          <w:bCs/>
          <w:vertAlign w:val="superscript"/>
        </w:rPr>
        <w:t>[22]</w:t>
      </w:r>
      <w:r>
        <w:rPr>
          <w:rStyle w:val="11Char"/>
          <w:bCs/>
        </w:rPr>
        <w:fldChar w:fldCharType="end"/>
      </w:r>
      <w:r>
        <w:rPr>
          <w:rStyle w:val="11Char"/>
          <w:bCs/>
        </w:rPr>
        <w:t>。优化后参数为：纯硅波导宽度</w:t>
      </w:r>
      <w:r>
        <w:rPr>
          <w:rStyle w:val="11Char"/>
          <w:bCs/>
        </w:rPr>
        <w:t>455 nm</w:t>
      </w:r>
      <w:r>
        <w:rPr>
          <w:rStyle w:val="11Char"/>
          <w:bCs/>
        </w:rPr>
        <w:t>、混合波导中硅的宽度</w:t>
      </w:r>
      <w:r>
        <w:rPr>
          <w:rStyle w:val="11Char"/>
          <w:bCs/>
        </w:rPr>
        <w:t>4</w:t>
      </w:r>
      <w:r>
        <w:rPr>
          <w:rStyle w:val="11Char"/>
          <w:bCs/>
        </w:rPr>
        <w:t>17 nm</w:t>
      </w:r>
      <w:r>
        <w:rPr>
          <w:rStyle w:val="11Char"/>
          <w:bCs/>
        </w:rPr>
        <w:t>、相变材料宽度</w:t>
      </w:r>
      <w:r>
        <w:rPr>
          <w:rStyle w:val="11Char"/>
          <w:bCs/>
        </w:rPr>
        <w:t>317 nm</w:t>
      </w:r>
      <w:r>
        <w:rPr>
          <w:rStyle w:val="11Char"/>
          <w:bCs/>
        </w:rPr>
        <w:t>、波导间距</w:t>
      </w:r>
      <w:r>
        <w:rPr>
          <w:rStyle w:val="11Char"/>
          <w:bCs/>
        </w:rPr>
        <w:t>364 nm</w:t>
      </w:r>
      <w:r>
        <w:rPr>
          <w:rStyle w:val="11Char"/>
          <w:bCs/>
        </w:rPr>
        <w:t>，耦合长度</w:t>
      </w:r>
      <w:r>
        <w:rPr>
          <w:rStyle w:val="11Char"/>
          <w:bCs/>
        </w:rPr>
        <w:t>23.65 μm</w:t>
      </w:r>
      <w:r>
        <w:rPr>
          <w:rStyle w:val="11Char"/>
          <w:bCs/>
        </w:rPr>
        <w:t>。相变材料在非晶态和晶态下的光场分布</w:t>
      </w:r>
      <w:r>
        <w:rPr>
          <w:rStyle w:val="11Char"/>
          <w:rFonts w:hint="eastAsia"/>
          <w:bCs/>
        </w:rPr>
        <w:t>情况如</w:t>
      </w:r>
      <w:r>
        <w:rPr>
          <w:rStyle w:val="11Char"/>
          <w:bCs/>
        </w:rPr>
        <w:t>图</w:t>
      </w:r>
      <w:r>
        <w:rPr>
          <w:rStyle w:val="11Char"/>
          <w:rFonts w:hint="eastAsia"/>
          <w:bCs/>
        </w:rPr>
        <w:t>2</w:t>
      </w:r>
      <w:r>
        <w:rPr>
          <w:rStyle w:val="11Char"/>
          <w:rFonts w:hint="eastAsia"/>
          <w:bCs/>
        </w:rPr>
        <w:t>所</w:t>
      </w:r>
      <w:r>
        <w:rPr>
          <w:rStyle w:val="11Char"/>
          <w:bCs/>
        </w:rPr>
        <w:t>示，</w:t>
      </w:r>
      <w:r>
        <w:rPr>
          <w:rStyle w:val="11Char"/>
          <w:rFonts w:hint="eastAsia"/>
          <w:bCs/>
        </w:rPr>
        <w:t>显示器件具有</w:t>
      </w:r>
      <w:r>
        <w:rPr>
          <w:rStyle w:val="11Char"/>
          <w:bCs/>
        </w:rPr>
        <w:t>良好的光路切换特性</w:t>
      </w:r>
      <w:r>
        <w:rPr>
          <w:rStyle w:val="11Char"/>
          <w:rFonts w:hint="eastAsia"/>
          <w:bCs/>
        </w:rPr>
        <w:t>。其</w:t>
      </w:r>
      <w:r>
        <w:rPr>
          <w:rStyle w:val="11Char"/>
          <w:bCs/>
        </w:rPr>
        <w:t>仿真结果</w:t>
      </w:r>
      <w:r>
        <w:rPr>
          <w:rStyle w:val="11Char"/>
          <w:rFonts w:hint="eastAsia"/>
          <w:bCs/>
        </w:rPr>
        <w:t>如</w:t>
      </w:r>
      <w:r>
        <w:rPr>
          <w:rStyle w:val="11Char"/>
          <w:bCs/>
        </w:rPr>
        <w:t>图</w:t>
      </w:r>
      <w:r>
        <w:rPr>
          <w:rStyle w:val="11Char"/>
          <w:rFonts w:hint="eastAsia"/>
          <w:bCs/>
        </w:rPr>
        <w:t>3</w:t>
      </w:r>
      <w:r>
        <w:rPr>
          <w:rStyle w:val="11Char"/>
          <w:rFonts w:hint="eastAsia"/>
          <w:bCs/>
        </w:rPr>
        <w:t>所</w:t>
      </w:r>
      <w:r>
        <w:rPr>
          <w:rStyle w:val="11Char"/>
          <w:bCs/>
        </w:rPr>
        <w:t>示</w:t>
      </w:r>
      <w:r>
        <w:rPr>
          <w:rStyle w:val="11Char"/>
          <w:rFonts w:hint="eastAsia"/>
          <w:bCs/>
        </w:rPr>
        <w:t>。可</w:t>
      </w:r>
      <w:r>
        <w:rPr>
          <w:rStyle w:val="11Char"/>
          <w:bCs/>
        </w:rPr>
        <w:t>以看出，在非晶态下，两端口的</w:t>
      </w:r>
      <w:r>
        <w:rPr>
          <w:rStyle w:val="11Char"/>
          <w:rFonts w:hint="eastAsia"/>
          <w:bCs/>
        </w:rPr>
        <w:t>串扰低于</w:t>
      </w:r>
      <w:r>
        <w:rPr>
          <w:rStyle w:val="11Char"/>
          <w:rFonts w:hint="eastAsia"/>
          <w:bCs/>
        </w:rPr>
        <w:t>-</w:t>
      </w:r>
      <w:r>
        <w:rPr>
          <w:rStyle w:val="11Char"/>
          <w:bCs/>
        </w:rPr>
        <w:t>18 dB</w:t>
      </w:r>
      <w:r>
        <w:rPr>
          <w:rStyle w:val="11Char"/>
          <w:bCs/>
        </w:rPr>
        <w:t>；</w:t>
      </w:r>
      <w:r>
        <w:rPr>
          <w:rStyle w:val="11Char"/>
          <w:rFonts w:hint="eastAsia"/>
          <w:bCs/>
        </w:rPr>
        <w:t>在</w:t>
      </w:r>
      <w:r>
        <w:rPr>
          <w:rStyle w:val="11Char"/>
          <w:bCs/>
        </w:rPr>
        <w:t>晶态</w:t>
      </w:r>
      <w:r>
        <w:rPr>
          <w:rStyle w:val="11Char"/>
          <w:rFonts w:hint="eastAsia"/>
          <w:bCs/>
        </w:rPr>
        <w:t>情况下</w:t>
      </w:r>
      <w:r>
        <w:rPr>
          <w:rStyle w:val="11Char"/>
          <w:bCs/>
        </w:rPr>
        <w:t>，</w:t>
      </w:r>
      <w:r>
        <w:rPr>
          <w:rStyle w:val="11Char"/>
          <w:rFonts w:hint="eastAsia"/>
          <w:bCs/>
        </w:rPr>
        <w:t>串扰低于</w:t>
      </w:r>
      <w:r>
        <w:rPr>
          <w:rStyle w:val="11Char"/>
          <w:rFonts w:hint="eastAsia"/>
          <w:bCs/>
        </w:rPr>
        <w:t>-</w:t>
      </w:r>
      <w:r>
        <w:rPr>
          <w:rStyle w:val="11Char"/>
          <w:bCs/>
        </w:rPr>
        <w:t>25 dB</w:t>
      </w:r>
      <w:r>
        <w:rPr>
          <w:rStyle w:val="11Char"/>
          <w:bCs/>
        </w:rPr>
        <w:t>。此外，</w:t>
      </w:r>
      <w:r>
        <w:rPr>
          <w:rStyle w:val="11Char"/>
          <w:rFonts w:hint="eastAsia"/>
          <w:bCs/>
        </w:rPr>
        <w:t>利用</w:t>
      </w:r>
      <w:r>
        <w:rPr>
          <w:rStyle w:val="11Char"/>
          <w:rFonts w:hint="eastAsia"/>
          <w:bCs/>
        </w:rPr>
        <w:t>comsol</w:t>
      </w:r>
      <w:r>
        <w:rPr>
          <w:rStyle w:val="11Char"/>
          <w:rFonts w:hint="eastAsia"/>
          <w:bCs/>
        </w:rPr>
        <w:t>多物理场仿真</w:t>
      </w:r>
      <w:r>
        <w:rPr>
          <w:rStyle w:val="11Char"/>
          <w:bCs/>
        </w:rPr>
        <w:t>优化</w:t>
      </w:r>
      <w:r>
        <w:rPr>
          <w:rStyle w:val="11Char"/>
          <w:bCs/>
        </w:rPr>
        <w:t>PIN</w:t>
      </w:r>
      <w:r>
        <w:rPr>
          <w:rStyle w:val="11Char"/>
          <w:bCs/>
        </w:rPr>
        <w:t>加热器的</w:t>
      </w:r>
      <w:r>
        <w:rPr>
          <w:rStyle w:val="11Char"/>
          <w:rFonts w:hint="eastAsia"/>
          <w:bCs/>
        </w:rPr>
        <w:t>结构</w:t>
      </w:r>
      <w:r>
        <w:rPr>
          <w:rStyle w:val="11Char"/>
          <w:bCs/>
        </w:rPr>
        <w:t>，得出掺杂区与波导的距离为</w:t>
      </w:r>
      <w:r>
        <w:rPr>
          <w:rStyle w:val="11Char"/>
          <w:bCs/>
        </w:rPr>
        <w:t>0.3 μm</w:t>
      </w:r>
      <w:r>
        <w:rPr>
          <w:rStyle w:val="11Char"/>
          <w:rFonts w:hint="eastAsia"/>
          <w:bCs/>
        </w:rPr>
        <w:t>能</w:t>
      </w:r>
      <w:r>
        <w:rPr>
          <w:rStyle w:val="11Char"/>
          <w:bCs/>
        </w:rPr>
        <w:t>有效降低自由载流子吸收损耗至</w:t>
      </w:r>
      <w:r>
        <w:rPr>
          <w:rStyle w:val="11Char"/>
          <w:rFonts w:hint="eastAsia"/>
          <w:bCs/>
        </w:rPr>
        <w:t>~7</w:t>
      </w:r>
      <w:r>
        <w:rPr>
          <w:rStyle w:val="11Char"/>
          <w:bCs/>
        </w:rPr>
        <w:t>0 dB/cm</w:t>
      </w:r>
      <w:r>
        <w:rPr>
          <w:rStyle w:val="11Char"/>
          <w:bCs/>
        </w:rPr>
        <w:t>，使器件在</w:t>
      </w:r>
      <w:r>
        <w:rPr>
          <w:rStyle w:val="11Char"/>
          <w:rFonts w:hint="eastAsia"/>
          <w:bCs/>
        </w:rPr>
        <w:t>电</w:t>
      </w:r>
      <w:r>
        <w:rPr>
          <w:rStyle w:val="11Char"/>
          <w:bCs/>
        </w:rPr>
        <w:t>功耗与</w:t>
      </w:r>
      <w:r>
        <w:rPr>
          <w:rStyle w:val="11Char"/>
          <w:rFonts w:hint="eastAsia"/>
          <w:bCs/>
        </w:rPr>
        <w:t>光</w:t>
      </w:r>
      <w:r>
        <w:rPr>
          <w:rStyle w:val="11Char"/>
          <w:bCs/>
        </w:rPr>
        <w:t>损耗之间实现良好平衡。</w:t>
      </w:r>
    </w:p>
    <w:p w14:paraId="30E4A17B" w14:textId="77777777" w:rsidR="00497B08" w:rsidRDefault="007C5ED7">
      <w:pPr>
        <w:pStyle w:val="11"/>
        <w:ind w:firstLine="360"/>
        <w:jc w:val="center"/>
      </w:pPr>
      <w:r>
        <w:rPr>
          <w:rFonts w:eastAsia="黑体" w:hint="eastAsia"/>
          <w:sz w:val="18"/>
          <w:szCs w:val="18"/>
        </w:rPr>
        <w:object w:dxaOrig="8502" w:dyaOrig="4493" w14:anchorId="464831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pt;height:224.6pt" o:ole="">
            <v:imagedata r:id="rId5" o:title=""/>
            <o:lock v:ext="edit" aspectratio="f"/>
          </v:shape>
          <o:OLEObject Type="Embed" ProgID="Visio.Drawing.15" ShapeID="_x0000_i1025" DrawAspect="Content" ObjectID="_1825242007" r:id="rId6"/>
        </w:object>
      </w:r>
      <w:r>
        <w:rPr>
          <w:rFonts w:eastAsia="黑体" w:hint="eastAsia"/>
          <w:sz w:val="18"/>
          <w:szCs w:val="18"/>
        </w:rPr>
        <w:t>图</w:t>
      </w:r>
      <w:r>
        <w:rPr>
          <w:rFonts w:eastAsia="黑体" w:hint="eastAsia"/>
          <w:sz w:val="18"/>
          <w:szCs w:val="18"/>
        </w:rPr>
        <w:t xml:space="preserve">1 </w:t>
      </w:r>
      <w:r>
        <w:rPr>
          <w:rFonts w:eastAsia="黑体" w:hint="eastAsia"/>
          <w:sz w:val="18"/>
          <w:szCs w:val="18"/>
        </w:rPr>
        <w:t>非对称方向耦合器</w:t>
      </w:r>
      <w:r>
        <w:rPr>
          <w:rFonts w:eastAsia="黑体" w:hint="eastAsia"/>
          <w:sz w:val="18"/>
          <w:szCs w:val="18"/>
        </w:rPr>
        <w:t>3D</w:t>
      </w:r>
      <w:r>
        <w:rPr>
          <w:rFonts w:eastAsia="黑体" w:hint="eastAsia"/>
          <w:sz w:val="18"/>
          <w:szCs w:val="18"/>
        </w:rPr>
        <w:t>图与截面图</w:t>
      </w:r>
    </w:p>
    <w:p w14:paraId="29F17093" w14:textId="77777777" w:rsidR="00497B08" w:rsidRDefault="007C5ED7">
      <w:pPr>
        <w:pStyle w:val="11"/>
        <w:ind w:firstLine="420"/>
        <w:jc w:val="center"/>
        <w:rPr>
          <w:rStyle w:val="13Char"/>
        </w:rPr>
      </w:pPr>
      <w:r>
        <w:rPr>
          <w:rStyle w:val="11Char"/>
          <w:rFonts w:hint="eastAsia"/>
          <w:bCs/>
        </w:rPr>
        <w:t xml:space="preserve">  </w:t>
      </w:r>
      <w:r>
        <w:rPr>
          <w:rStyle w:val="11Char"/>
          <w:rFonts w:hint="eastAsia"/>
          <w:bCs/>
        </w:rPr>
        <w:object w:dxaOrig="4251" w:dyaOrig="2765" w14:anchorId="13B175DA">
          <v:shape id="_x0000_i1026" type="#_x0000_t75" alt="" style="width:212.8pt;height:138.1pt" o:ole="">
            <v:imagedata r:id="rId7" o:title=""/>
            <o:lock v:ext="edit" aspectratio="f"/>
          </v:shape>
          <o:OLEObject Type="Embed" ProgID="Visio.Drawing.15" ShapeID="_x0000_i1026" DrawAspect="Content" ObjectID="_1825242008" r:id="rId8"/>
        </w:object>
      </w:r>
      <w:r>
        <w:rPr>
          <w:rStyle w:val="11Char"/>
          <w:rFonts w:hint="eastAsia"/>
          <w:bCs/>
        </w:rPr>
        <w:t xml:space="preserve">   </w:t>
      </w:r>
      <w:r>
        <w:rPr>
          <w:rStyle w:val="13Char"/>
          <w:rFonts w:hint="eastAsia"/>
        </w:rPr>
        <w:t xml:space="preserve"> </w:t>
      </w:r>
    </w:p>
    <w:p w14:paraId="2E788CD2" w14:textId="77777777" w:rsidR="00497B08" w:rsidRDefault="007C5ED7">
      <w:pPr>
        <w:pStyle w:val="13"/>
      </w:pPr>
      <w:commentRangeStart w:id="0"/>
      <w:commentRangeStart w:id="1"/>
      <w:r>
        <w:rPr>
          <w:rFonts w:hint="eastAsia"/>
        </w:rPr>
        <w:t>图</w:t>
      </w:r>
      <w:r>
        <w:t>2</w:t>
      </w:r>
      <w:commentRangeEnd w:id="0"/>
      <w:r>
        <w:rPr>
          <w:rStyle w:val="af5"/>
          <w:rFonts w:eastAsia="宋体"/>
        </w:rPr>
        <w:commentReference w:id="0"/>
      </w:r>
      <w:commentRangeEnd w:id="1"/>
      <w:r>
        <w:commentReference w:id="1"/>
      </w:r>
      <w:r>
        <w:rPr>
          <w:rFonts w:hint="eastAsia"/>
        </w:rPr>
        <w:t xml:space="preserve"> </w:t>
      </w:r>
      <w:r>
        <w:rPr>
          <w:rFonts w:hint="eastAsia"/>
        </w:rPr>
        <w:t>光场仿真图</w:t>
      </w:r>
    </w:p>
    <w:p w14:paraId="61BF30D3" w14:textId="77777777" w:rsidR="00497B08" w:rsidRDefault="007C5ED7">
      <w:pPr>
        <w:jc w:val="center"/>
        <w:rPr>
          <w:rStyle w:val="11Char"/>
          <w:bCs/>
        </w:rPr>
      </w:pPr>
      <w:r>
        <w:object w:dxaOrig="3686" w:dyaOrig="2719" w14:anchorId="1593C781">
          <v:shape id="_x0000_i1027" type="#_x0000_t75" style="width:184.3pt;height:135.95pt" o:ole="">
            <v:imagedata r:id="rId11" o:title="" cropbottom="3627f"/>
            <o:lock v:ext="edit" aspectratio="f"/>
          </v:shape>
          <o:OLEObject Type="Embed" ProgID="Visio.Drawing.15" ShapeID="_x0000_i1027" DrawAspect="Content" ObjectID="_1825242009" r:id="rId12"/>
        </w:object>
      </w:r>
      <w:r>
        <w:object w:dxaOrig="3686" w:dyaOrig="2719" w14:anchorId="111DCEBC">
          <v:shape id="_x0000_i1028" type="#_x0000_t75" style="width:184.3pt;height:135.95pt" o:ole="">
            <v:imagedata r:id="rId13" o:title="" croptop="1247f" cropbottom="3378f"/>
            <o:lock v:ext="edit" aspectratio="f"/>
          </v:shape>
          <o:OLEObject Type="Embed" ProgID="Visio.Drawing.15" ShapeID="_x0000_i1028" DrawAspect="Content" ObjectID="_1825242010" r:id="rId14"/>
        </w:object>
      </w:r>
    </w:p>
    <w:p w14:paraId="7EC0F500" w14:textId="77777777" w:rsidR="00497B08" w:rsidRDefault="007C5ED7">
      <w:pPr>
        <w:pStyle w:val="13"/>
        <w:numPr>
          <w:ilvl w:val="0"/>
          <w:numId w:val="7"/>
        </w:numPr>
        <w:jc w:val="both"/>
      </w:pPr>
      <w:r>
        <w:rPr>
          <w:rFonts w:ascii="宋体" w:eastAsia="宋体" w:hAnsi="宋体" w:cs="宋体" w:hint="eastAsia"/>
          <w:sz w:val="15"/>
          <w:szCs w:val="15"/>
        </w:rPr>
        <w:t>非晶态</w:t>
      </w:r>
      <w:r>
        <w:rPr>
          <w:rFonts w:hint="eastAsia"/>
        </w:rPr>
        <w:t xml:space="preserve">                                 </w:t>
      </w:r>
      <w:r>
        <w:rPr>
          <w:rFonts w:eastAsia="宋体"/>
          <w:sz w:val="15"/>
          <w:szCs w:val="15"/>
        </w:rPr>
        <w:t>(b)</w:t>
      </w:r>
      <w:r>
        <w:rPr>
          <w:rFonts w:ascii="宋体" w:eastAsia="宋体" w:hAnsi="宋体" w:cs="宋体" w:hint="eastAsia"/>
          <w:sz w:val="15"/>
          <w:szCs w:val="15"/>
        </w:rPr>
        <w:t xml:space="preserve"> </w:t>
      </w:r>
      <w:r>
        <w:rPr>
          <w:rFonts w:ascii="宋体" w:eastAsia="宋体" w:hAnsi="宋体" w:cs="宋体" w:hint="eastAsia"/>
          <w:sz w:val="15"/>
          <w:szCs w:val="15"/>
        </w:rPr>
        <w:t>晶态</w:t>
      </w:r>
    </w:p>
    <w:p w14:paraId="4B8405D9" w14:textId="77777777" w:rsidR="00497B08" w:rsidRDefault="007C5ED7">
      <w:pPr>
        <w:pStyle w:val="13"/>
      </w:pPr>
      <w:r>
        <w:rPr>
          <w:rFonts w:hint="eastAsia"/>
        </w:rPr>
        <w:t>图</w:t>
      </w:r>
      <w:r>
        <w:t>3</w:t>
      </w:r>
      <w:r>
        <w:rPr>
          <w:rFonts w:hint="eastAsia"/>
        </w:rPr>
        <w:t xml:space="preserve"> </w:t>
      </w:r>
      <w:r>
        <w:rPr>
          <w:rFonts w:hint="eastAsia"/>
        </w:rPr>
        <w:t>非晶态与晶态相变材料的光仿真损耗图</w:t>
      </w:r>
    </w:p>
    <w:p w14:paraId="6036DFAF" w14:textId="77777777" w:rsidR="00497B08" w:rsidRDefault="00497B08">
      <w:pPr>
        <w:pStyle w:val="13"/>
      </w:pPr>
    </w:p>
    <w:p w14:paraId="6086589D" w14:textId="77777777" w:rsidR="00497B08" w:rsidRDefault="007C5ED7">
      <w:pPr>
        <w:pStyle w:val="08"/>
        <w:numPr>
          <w:ilvl w:val="1"/>
          <w:numId w:val="6"/>
        </w:numPr>
      </w:pPr>
      <w:r>
        <w:t>MZI</w:t>
      </w:r>
      <w:r>
        <w:rPr>
          <w:rFonts w:hint="eastAsia"/>
        </w:rPr>
        <w:t>光开关工</w:t>
      </w:r>
      <w:r>
        <w:t>作</w:t>
      </w:r>
    </w:p>
    <w:p w14:paraId="5211479A" w14:textId="77777777" w:rsidR="00497B08" w:rsidRDefault="007C5ED7">
      <w:pPr>
        <w:pStyle w:val="11"/>
        <w:ind w:firstLine="412"/>
      </w:pPr>
      <w:r>
        <w:rPr>
          <w:color w:val="000000"/>
          <w:spacing w:val="-2"/>
          <w:shd w:val="clear" w:color="auto" w:fill="FFFFFF"/>
        </w:rPr>
        <w:t>MZI</w:t>
      </w:r>
      <w:r>
        <w:rPr>
          <w:color w:val="000000"/>
          <w:spacing w:val="-2"/>
          <w:shd w:val="clear" w:color="auto" w:fill="FFFFFF"/>
        </w:rPr>
        <w:t>光开关基于经典的双光束干涉原理，结构图如图</w:t>
      </w:r>
      <w:r>
        <w:rPr>
          <w:color w:val="000000"/>
          <w:spacing w:val="-2"/>
          <w:shd w:val="clear" w:color="auto" w:fill="FFFFFF"/>
        </w:rPr>
        <w:t>4</w:t>
      </w:r>
      <w:r>
        <w:rPr>
          <w:color w:val="000000"/>
          <w:spacing w:val="-2"/>
          <w:shd w:val="clear" w:color="auto" w:fill="FFFFFF"/>
        </w:rPr>
        <w:t>所示。整个器件尺寸为</w:t>
      </w:r>
      <w:r>
        <w:rPr>
          <w:color w:val="000000"/>
          <w:spacing w:val="-2"/>
          <w:shd w:val="clear" w:color="auto" w:fill="FFFFFF"/>
        </w:rPr>
        <w:t>0.48mm×0.33mm</w:t>
      </w:r>
      <w:r>
        <w:rPr>
          <w:color w:val="000000"/>
          <w:spacing w:val="-2"/>
          <w:shd w:val="clear" w:color="auto" w:fill="FFFFFF"/>
        </w:rPr>
        <w:t>，由</w:t>
      </w:r>
      <w:r>
        <w:rPr>
          <w:color w:val="000000"/>
          <w:spacing w:val="-2"/>
          <w:shd w:val="clear" w:color="auto" w:fill="FFFFFF"/>
        </w:rPr>
        <w:t>2</w:t>
      </w:r>
      <w:r>
        <w:rPr>
          <w:color w:val="000000"/>
          <w:spacing w:val="-2"/>
          <w:shd w:val="clear" w:color="auto" w:fill="FFFFFF"/>
        </w:rPr>
        <w:t>个相同的多模干涉耦合器（</w:t>
      </w:r>
      <w:r>
        <w:rPr>
          <w:color w:val="000000"/>
          <w:spacing w:val="-2"/>
          <w:shd w:val="clear" w:color="auto" w:fill="FFFFFF"/>
        </w:rPr>
        <w:t>MMI</w:t>
      </w:r>
      <w:r>
        <w:rPr>
          <w:color w:val="000000"/>
          <w:spacing w:val="-2"/>
          <w:shd w:val="clear" w:color="auto" w:fill="FFFFFF"/>
        </w:rPr>
        <w:t>）构成：左侧</w:t>
      </w:r>
      <w:r>
        <w:rPr>
          <w:color w:val="000000"/>
          <w:spacing w:val="-2"/>
          <w:shd w:val="clear" w:color="auto" w:fill="FFFFFF"/>
        </w:rPr>
        <w:t>MMI</w:t>
      </w:r>
      <w:r>
        <w:rPr>
          <w:color w:val="000000"/>
          <w:spacing w:val="-2"/>
          <w:shd w:val="clear" w:color="auto" w:fill="FFFFFF"/>
        </w:rPr>
        <w:t>将输入光信号均分为两部分，分别沿上臂和下臂传输；右侧</w:t>
      </w:r>
      <w:r>
        <w:rPr>
          <w:color w:val="000000"/>
          <w:spacing w:val="-2"/>
          <w:shd w:val="clear" w:color="auto" w:fill="FFFFFF"/>
        </w:rPr>
        <w:t>MMI</w:t>
      </w:r>
      <w:r>
        <w:rPr>
          <w:color w:val="000000"/>
          <w:spacing w:val="-2"/>
          <w:shd w:val="clear" w:color="auto" w:fill="FFFFFF"/>
        </w:rPr>
        <w:t>将两束光信号重新合并，利用相位差调节实现干涉控制。每条干涉臂集成一段</w:t>
      </w:r>
      <w:r>
        <w:rPr>
          <w:color w:val="000000"/>
          <w:spacing w:val="-2"/>
          <w:shd w:val="clear" w:color="auto" w:fill="FFFFFF"/>
        </w:rPr>
        <w:t>12μm</w:t>
      </w:r>
      <w:r>
        <w:rPr>
          <w:color w:val="000000"/>
          <w:spacing w:val="-2"/>
          <w:shd w:val="clear" w:color="auto" w:fill="FFFFFF"/>
        </w:rPr>
        <w:t>长、</w:t>
      </w:r>
      <w:r>
        <w:rPr>
          <w:color w:val="000000"/>
          <w:spacing w:val="-2"/>
          <w:shd w:val="clear" w:color="auto" w:fill="FFFFFF"/>
        </w:rPr>
        <w:t>30nm</w:t>
      </w:r>
      <w:r>
        <w:rPr>
          <w:color w:val="000000"/>
          <w:spacing w:val="-2"/>
          <w:shd w:val="clear" w:color="auto" w:fill="FFFFFF"/>
        </w:rPr>
        <w:t>厚的</w:t>
      </w:r>
      <w:r>
        <w:rPr>
          <w:color w:val="000000"/>
          <w:spacing w:val="-2"/>
          <w:shd w:val="clear" w:color="auto" w:fill="FFFFFF"/>
        </w:rPr>
        <w:t>Sb₂Se₃</w:t>
      </w:r>
      <w:r>
        <w:rPr>
          <w:color w:val="000000"/>
          <w:spacing w:val="-2"/>
          <w:shd w:val="clear" w:color="auto" w:fill="FFFFFF"/>
        </w:rPr>
        <w:t>相变材料以及两个</w:t>
      </w:r>
      <w:r>
        <w:rPr>
          <w:color w:val="000000"/>
          <w:spacing w:val="-2"/>
          <w:shd w:val="clear" w:color="auto" w:fill="FFFFFF"/>
        </w:rPr>
        <w:t>PIN</w:t>
      </w:r>
      <w:r>
        <w:rPr>
          <w:color w:val="000000"/>
          <w:spacing w:val="-2"/>
          <w:shd w:val="clear" w:color="auto" w:fill="FFFFFF"/>
        </w:rPr>
        <w:t>加热器。当两束光在输出端</w:t>
      </w:r>
      <w:r>
        <w:rPr>
          <w:color w:val="000000"/>
          <w:spacing w:val="-2"/>
          <w:shd w:val="clear" w:color="auto" w:fill="FFFFFF"/>
        </w:rPr>
        <w:t>MMI</w:t>
      </w:r>
      <w:r>
        <w:rPr>
          <w:color w:val="000000"/>
          <w:spacing w:val="-2"/>
          <w:shd w:val="clear" w:color="auto" w:fill="FFFFFF"/>
        </w:rPr>
        <w:t>重新合并时，其相位差决定干涉结果。</w:t>
      </w:r>
      <w:r>
        <w:t>相位差为波长的整数倍时，发生相长干涉，光从</w:t>
      </w:r>
      <w:r>
        <w:t>cross</w:t>
      </w:r>
      <w:r>
        <w:t>端口输出；相位差为半波长的奇数倍时，发生相消干涉，光从</w:t>
      </w:r>
      <w:r>
        <w:t>bar</w:t>
      </w:r>
      <w:r>
        <w:t>端</w:t>
      </w:r>
      <w:r>
        <w:t>口输出。通过调控</w:t>
      </w:r>
      <w:r>
        <w:t>2</w:t>
      </w:r>
      <w:r>
        <w:t>个</w:t>
      </w:r>
      <w:r>
        <w:t>PIN</w:t>
      </w:r>
      <w:r>
        <w:t>加热器，可精确控制光路的相位差，从而实现光信号的动态调制。</w:t>
      </w:r>
    </w:p>
    <w:p w14:paraId="4FA1BBD1" w14:textId="77777777" w:rsidR="00497B08" w:rsidRDefault="007C5ED7">
      <w:pPr>
        <w:pStyle w:val="11"/>
        <w:ind w:firstLineChars="0" w:firstLine="0"/>
        <w:jc w:val="center"/>
      </w:pPr>
      <w:r>
        <w:rPr>
          <w:b/>
          <w:bCs/>
        </w:rPr>
        <w:object w:dxaOrig="4251" w:dyaOrig="2834" w14:anchorId="6C6EA863">
          <v:shape id="_x0000_i1029" type="#_x0000_t75" style="width:212.8pt;height:141.85pt" o:ole="">
            <v:imagedata r:id="rId15" o:title=""/>
            <o:lock v:ext="edit" aspectratio="f"/>
          </v:shape>
          <o:OLEObject Type="Embed" ProgID="Visio.Drawing.15" ShapeID="_x0000_i1029" DrawAspect="Content" ObjectID="_1825242011" r:id="rId16"/>
        </w:object>
      </w:r>
      <w:r>
        <w:rPr>
          <w:b/>
          <w:bCs/>
        </w:rPr>
        <w:object w:dxaOrig="3963" w:dyaOrig="1486" w14:anchorId="1842954B">
          <v:shape id="_x0000_i1030" type="#_x0000_t75" style="width:198.25pt;height:74.15pt" o:ole="">
            <v:imagedata r:id="rId17" o:title=""/>
            <o:lock v:ext="edit" aspectratio="f"/>
          </v:shape>
          <o:OLEObject Type="Embed" ProgID="Visio.Drawing.15" ShapeID="_x0000_i1030" DrawAspect="Content" ObjectID="_1825242012" r:id="rId18"/>
        </w:object>
      </w:r>
    </w:p>
    <w:p w14:paraId="0AAF24E2" w14:textId="77777777" w:rsidR="00497B08" w:rsidRDefault="007C5ED7">
      <w:pPr>
        <w:pStyle w:val="13"/>
        <w:numPr>
          <w:ilvl w:val="0"/>
          <w:numId w:val="8"/>
        </w:numPr>
      </w:pPr>
      <w:r>
        <w:rPr>
          <w:rFonts w:hint="eastAsia"/>
          <w:sz w:val="15"/>
          <w:szCs w:val="15"/>
        </w:rPr>
        <w:t>MZI</w:t>
      </w:r>
      <w:r>
        <w:rPr>
          <w:rFonts w:ascii="宋体" w:eastAsia="宋体" w:hAnsi="宋体" w:cs="宋体" w:hint="eastAsia"/>
          <w:sz w:val="15"/>
          <w:szCs w:val="15"/>
        </w:rPr>
        <w:t>光学显微镜图</w:t>
      </w:r>
      <w:r>
        <w:rPr>
          <w:rFonts w:hint="eastAsia"/>
        </w:rPr>
        <w:t xml:space="preserve">                                </w:t>
      </w:r>
      <w:r>
        <w:rPr>
          <w:rFonts w:hint="eastAsia"/>
          <w:sz w:val="15"/>
          <w:szCs w:val="15"/>
        </w:rPr>
        <w:t>(b)  MMI</w:t>
      </w:r>
      <w:r>
        <w:rPr>
          <w:rFonts w:ascii="宋体" w:eastAsia="宋体" w:hAnsi="宋体" w:cs="宋体" w:hint="eastAsia"/>
          <w:sz w:val="15"/>
          <w:szCs w:val="15"/>
        </w:rPr>
        <w:t>结构示意图</w:t>
      </w:r>
    </w:p>
    <w:p w14:paraId="38B091FF" w14:textId="77777777" w:rsidR="00497B08" w:rsidRDefault="007C5ED7">
      <w:pPr>
        <w:pStyle w:val="11"/>
        <w:ind w:firstLine="360"/>
        <w:jc w:val="center"/>
      </w:pPr>
      <w:r>
        <w:rPr>
          <w:rStyle w:val="13Char"/>
          <w:rFonts w:hint="eastAsia"/>
        </w:rPr>
        <w:t>图</w:t>
      </w:r>
      <w:r>
        <w:rPr>
          <w:rStyle w:val="13Char"/>
        </w:rPr>
        <w:t>4</w:t>
      </w:r>
      <w:r>
        <w:rPr>
          <w:rStyle w:val="13Char"/>
          <w:rFonts w:hint="eastAsia"/>
        </w:rPr>
        <w:t xml:space="preserve">  MZI</w:t>
      </w:r>
      <w:r>
        <w:rPr>
          <w:rStyle w:val="13Char"/>
          <w:rFonts w:hint="eastAsia"/>
        </w:rPr>
        <w:t>与</w:t>
      </w:r>
      <w:r>
        <w:rPr>
          <w:rStyle w:val="13Char"/>
          <w:rFonts w:hint="eastAsia"/>
        </w:rPr>
        <w:t>MMI</w:t>
      </w:r>
      <w:r>
        <w:rPr>
          <w:rStyle w:val="13Char"/>
          <w:rFonts w:hint="eastAsia"/>
        </w:rPr>
        <w:t>器件结构图</w:t>
      </w:r>
    </w:p>
    <w:p w14:paraId="0F939CB1" w14:textId="77777777" w:rsidR="00497B08" w:rsidRDefault="00497B08">
      <w:pPr>
        <w:pStyle w:val="13"/>
        <w:jc w:val="both"/>
      </w:pPr>
    </w:p>
    <w:p w14:paraId="2B227A34" w14:textId="77777777" w:rsidR="00497B08" w:rsidRDefault="007C5ED7">
      <w:pPr>
        <w:pStyle w:val="13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 </w:t>
      </w:r>
      <w:r>
        <w:rPr>
          <w:rFonts w:hint="eastAsia"/>
          <w:sz w:val="24"/>
          <w:szCs w:val="24"/>
        </w:rPr>
        <w:t>制备</w:t>
      </w:r>
      <w:r>
        <w:rPr>
          <w:sz w:val="24"/>
          <w:szCs w:val="24"/>
        </w:rPr>
        <w:t>工艺与测试方法</w:t>
      </w:r>
    </w:p>
    <w:p w14:paraId="22E1319F" w14:textId="6591505C" w:rsidR="00497B08" w:rsidRDefault="00A23130">
      <w:pPr>
        <w:pStyle w:val="11"/>
        <w:ind w:firstLine="420"/>
        <w:rPr>
          <w:rStyle w:val="11Char"/>
          <w:bCs/>
        </w:rPr>
      </w:pPr>
      <w:r>
        <w:rPr>
          <w:rFonts w:hint="eastAsia"/>
        </w:rPr>
        <w:t>MZI</w:t>
      </w:r>
      <w:r>
        <w:rPr>
          <w:rFonts w:hint="eastAsia"/>
        </w:rPr>
        <w:t>与</w:t>
      </w:r>
      <w:r>
        <w:rPr>
          <w:rFonts w:hint="eastAsia"/>
        </w:rPr>
        <w:t>ADC</w:t>
      </w:r>
      <w:r>
        <w:rPr>
          <w:rFonts w:hint="eastAsia"/>
        </w:rPr>
        <w:t>采用相同的工艺制备</w:t>
      </w:r>
      <w:r>
        <w:rPr>
          <w:rFonts w:hint="eastAsia"/>
        </w:rPr>
        <w:t>，</w:t>
      </w:r>
      <w:r w:rsidR="007C5ED7">
        <w:rPr>
          <w:rStyle w:val="11Char"/>
          <w:bCs/>
        </w:rPr>
        <w:t>具体</w:t>
      </w:r>
      <w:r w:rsidR="007C5ED7">
        <w:rPr>
          <w:rStyle w:val="11Char"/>
          <w:rFonts w:hint="eastAsia"/>
          <w:bCs/>
        </w:rPr>
        <w:t>制备工艺</w:t>
      </w:r>
      <w:r w:rsidR="007C5ED7">
        <w:rPr>
          <w:rStyle w:val="11Char"/>
          <w:bCs/>
        </w:rPr>
        <w:t>流程如图</w:t>
      </w:r>
      <w:r w:rsidR="007C5ED7">
        <w:rPr>
          <w:rStyle w:val="11Char"/>
          <w:bCs/>
        </w:rPr>
        <w:t>5(a)</w:t>
      </w:r>
      <w:r w:rsidR="007C5ED7">
        <w:rPr>
          <w:rStyle w:val="11Char"/>
          <w:bCs/>
        </w:rPr>
        <w:t>所示</w:t>
      </w:r>
      <w:r w:rsidR="002156CF">
        <w:rPr>
          <w:rStyle w:val="11Char"/>
          <w:rFonts w:hint="eastAsia"/>
          <w:bCs/>
        </w:rPr>
        <w:t>，</w:t>
      </w:r>
      <w:r w:rsidR="007C5ED7">
        <w:rPr>
          <w:rStyle w:val="11Char"/>
          <w:rFonts w:hint="eastAsia"/>
          <w:bCs/>
        </w:rPr>
        <w:t>其核心技术流程包含六次电子束曝光（</w:t>
      </w:r>
      <w:r w:rsidR="007C5ED7">
        <w:rPr>
          <w:rStyle w:val="11Char"/>
          <w:rFonts w:hint="eastAsia"/>
          <w:bCs/>
        </w:rPr>
        <w:t>EBL</w:t>
      </w:r>
      <w:r w:rsidR="007C5ED7">
        <w:rPr>
          <w:rStyle w:val="11Char"/>
          <w:rFonts w:hint="eastAsia"/>
          <w:bCs/>
        </w:rPr>
        <w:t>）</w:t>
      </w:r>
      <w:r w:rsidR="007C5ED7">
        <w:rPr>
          <w:rStyle w:val="11Char"/>
          <w:bCs/>
        </w:rPr>
        <w:t>。实验采用商</w:t>
      </w:r>
      <w:r w:rsidR="007C5ED7">
        <w:rPr>
          <w:rStyle w:val="11Char"/>
          <w:rFonts w:hint="eastAsia"/>
          <w:bCs/>
        </w:rPr>
        <w:t>用</w:t>
      </w:r>
      <w:r w:rsidR="007C5ED7">
        <w:rPr>
          <w:rStyle w:val="11Char"/>
          <w:bCs/>
        </w:rPr>
        <w:t>SOI</w:t>
      </w:r>
      <w:r w:rsidR="007C5ED7">
        <w:rPr>
          <w:rStyle w:val="11Char"/>
          <w:bCs/>
        </w:rPr>
        <w:t>基片（顶层硅厚度</w:t>
      </w:r>
      <w:r w:rsidR="007C5ED7">
        <w:rPr>
          <w:rStyle w:val="11Char"/>
          <w:bCs/>
        </w:rPr>
        <w:t>220 nm</w:t>
      </w:r>
      <w:r w:rsidR="007C5ED7">
        <w:rPr>
          <w:rStyle w:val="11Char"/>
          <w:bCs/>
        </w:rPr>
        <w:t>，埋氧</w:t>
      </w:r>
      <w:r w:rsidR="007C5ED7">
        <w:rPr>
          <w:rStyle w:val="11Char"/>
          <w:bCs/>
        </w:rPr>
        <w:t>层</w:t>
      </w:r>
      <w:r w:rsidR="007C5ED7">
        <w:rPr>
          <w:rStyle w:val="11Char"/>
          <w:bCs/>
        </w:rPr>
        <w:t>2 μm</w:t>
      </w:r>
      <w:r w:rsidR="007C5ED7">
        <w:rPr>
          <w:rStyle w:val="11Char"/>
          <w:bCs/>
        </w:rPr>
        <w:t>）作为衬底。器件图形化过程通过</w:t>
      </w:r>
      <w:r w:rsidR="007C5ED7">
        <w:rPr>
          <w:rStyle w:val="11Char"/>
          <w:bCs/>
        </w:rPr>
        <w:t>EBL</w:t>
      </w:r>
      <w:r w:rsidR="007C5ED7">
        <w:rPr>
          <w:rStyle w:val="11Char"/>
          <w:bCs/>
        </w:rPr>
        <w:t>配合正性电子束光刻胶实现，并采用</w:t>
      </w:r>
      <w:r w:rsidR="007C5ED7">
        <w:rPr>
          <w:rStyle w:val="11Char"/>
          <w:rFonts w:hint="eastAsia"/>
          <w:bCs/>
        </w:rPr>
        <w:t>电感</w:t>
      </w:r>
      <w:r w:rsidR="007C5ED7">
        <w:rPr>
          <w:rStyle w:val="11Char"/>
          <w:bCs/>
        </w:rPr>
        <w:t>耦合等离子体（</w:t>
      </w:r>
      <w:r w:rsidR="007C5ED7">
        <w:rPr>
          <w:rStyle w:val="11Char"/>
          <w:bCs/>
        </w:rPr>
        <w:t>ICP</w:t>
      </w:r>
      <w:r w:rsidR="007C5ED7">
        <w:rPr>
          <w:rStyle w:val="11Char"/>
          <w:bCs/>
        </w:rPr>
        <w:t>）刻蚀技术实现</w:t>
      </w:r>
      <w:r w:rsidR="007C5ED7">
        <w:rPr>
          <w:rStyle w:val="11Char"/>
          <w:bCs/>
        </w:rPr>
        <w:t>130 nm</w:t>
      </w:r>
      <w:r w:rsidR="007C5ED7">
        <w:rPr>
          <w:rStyle w:val="11Char"/>
          <w:bCs/>
        </w:rPr>
        <w:t>深度的</w:t>
      </w:r>
      <w:r w:rsidR="007C5ED7">
        <w:rPr>
          <w:rStyle w:val="11Char"/>
          <w:rFonts w:hint="eastAsia"/>
          <w:bCs/>
        </w:rPr>
        <w:t>部分</w:t>
      </w:r>
      <w:r w:rsidR="007C5ED7">
        <w:rPr>
          <w:rStyle w:val="11Char"/>
          <w:bCs/>
        </w:rPr>
        <w:t>刻蚀。</w:t>
      </w:r>
      <w:r w:rsidR="00CC67C4">
        <w:rPr>
          <w:rStyle w:val="11Char"/>
          <w:bCs/>
        </w:rPr>
        <w:t>掺杂区域通过</w:t>
      </w:r>
      <w:r w:rsidR="00CC67C4">
        <w:rPr>
          <w:rStyle w:val="11Char"/>
          <w:rFonts w:hint="eastAsia"/>
          <w:bCs/>
        </w:rPr>
        <w:t>2</w:t>
      </w:r>
      <w:r w:rsidR="00CC67C4">
        <w:rPr>
          <w:rStyle w:val="11Char"/>
          <w:bCs/>
        </w:rPr>
        <w:t>轮额外的电子束光刻定义</w:t>
      </w:r>
      <w:r w:rsidR="007C5ED7">
        <w:rPr>
          <w:rStyle w:val="11Char"/>
          <w:bCs/>
        </w:rPr>
        <w:t>，使用</w:t>
      </w:r>
      <w:r w:rsidR="007C5ED7">
        <w:rPr>
          <w:rStyle w:val="11Char"/>
          <w:bCs/>
        </w:rPr>
        <w:t>600 nm</w:t>
      </w:r>
      <w:r w:rsidR="007C5ED7">
        <w:rPr>
          <w:rStyle w:val="11Char"/>
          <w:bCs/>
        </w:rPr>
        <w:t>厚的聚甲基丙烯酸甲酯（</w:t>
      </w:r>
      <w:r w:rsidR="007C5ED7">
        <w:rPr>
          <w:rStyle w:val="11Char"/>
          <w:bCs/>
        </w:rPr>
        <w:t>PMMA</w:t>
      </w:r>
      <w:r w:rsidR="007C5ED7">
        <w:rPr>
          <w:rStyle w:val="11Char"/>
          <w:bCs/>
        </w:rPr>
        <w:t>）光刻胶分别进行掩膜</w:t>
      </w:r>
      <w:r w:rsidR="007C5ED7">
        <w:rPr>
          <w:rStyle w:val="11Char"/>
          <w:rFonts w:hint="eastAsia"/>
          <w:bCs/>
        </w:rPr>
        <w:t>，并采用</w:t>
      </w:r>
      <w:r w:rsidR="007C5ED7">
        <w:rPr>
          <w:rStyle w:val="11Char"/>
          <w:bCs/>
        </w:rPr>
        <w:t>硼离子（剂量</w:t>
      </w:r>
      <w:r w:rsidR="007C5ED7">
        <w:rPr>
          <w:rStyle w:val="11Char"/>
          <w:bCs/>
        </w:rPr>
        <w:t>2×10</w:t>
      </w:r>
      <w:r w:rsidR="007C5ED7">
        <w:rPr>
          <w:rStyle w:val="11Char"/>
          <w:bCs/>
          <w:vertAlign w:val="superscript"/>
        </w:rPr>
        <w:t>15</w:t>
      </w:r>
      <w:r w:rsidR="007C5ED7">
        <w:rPr>
          <w:rStyle w:val="11Char"/>
          <w:bCs/>
        </w:rPr>
        <w:t xml:space="preserve"> ions/cm²</w:t>
      </w:r>
      <w:r w:rsidR="007C5ED7">
        <w:rPr>
          <w:rStyle w:val="11Char"/>
          <w:bCs/>
        </w:rPr>
        <w:t>，能量</w:t>
      </w:r>
      <w:r w:rsidR="007C5ED7">
        <w:rPr>
          <w:rStyle w:val="11Char"/>
          <w:bCs/>
        </w:rPr>
        <w:t>15 keV</w:t>
      </w:r>
      <w:r w:rsidR="007C5ED7">
        <w:rPr>
          <w:rStyle w:val="11Char"/>
          <w:bCs/>
        </w:rPr>
        <w:t>）和磷离子（剂量</w:t>
      </w:r>
      <w:r w:rsidR="007C5ED7">
        <w:rPr>
          <w:rStyle w:val="11Char"/>
          <w:bCs/>
        </w:rPr>
        <w:t>2×10</w:t>
      </w:r>
      <w:r w:rsidR="007C5ED7">
        <w:rPr>
          <w:rStyle w:val="11Char"/>
          <w:bCs/>
          <w:vertAlign w:val="superscript"/>
        </w:rPr>
        <w:t>15</w:t>
      </w:r>
      <w:r w:rsidR="007C5ED7">
        <w:rPr>
          <w:rStyle w:val="11Char"/>
          <w:bCs/>
        </w:rPr>
        <w:t xml:space="preserve"> ions/cm²</w:t>
      </w:r>
      <w:r w:rsidR="007C5ED7">
        <w:rPr>
          <w:rStyle w:val="11Char"/>
          <w:bCs/>
        </w:rPr>
        <w:t>，能量</w:t>
      </w:r>
      <w:r w:rsidR="007C5ED7">
        <w:rPr>
          <w:rStyle w:val="11Char"/>
          <w:bCs/>
        </w:rPr>
        <w:t>25 keV</w:t>
      </w:r>
      <w:r w:rsidR="007C5ED7">
        <w:rPr>
          <w:rStyle w:val="11Char"/>
          <w:bCs/>
        </w:rPr>
        <w:t>）注入，构建</w:t>
      </w:r>
      <w:r w:rsidR="007C5ED7">
        <w:rPr>
          <w:rStyle w:val="11Char"/>
          <w:rFonts w:hint="eastAsia"/>
          <w:bCs/>
        </w:rPr>
        <w:t>PIN</w:t>
      </w:r>
      <w:r w:rsidR="007C5ED7">
        <w:rPr>
          <w:rStyle w:val="11Char"/>
          <w:bCs/>
        </w:rPr>
        <w:t>型掺杂结构。随后对器件进行快速热退火处理（</w:t>
      </w:r>
      <w:r w:rsidR="007C5ED7">
        <w:rPr>
          <w:rStyle w:val="11Char"/>
          <w:bCs/>
        </w:rPr>
        <w:t>1100</w:t>
      </w:r>
      <w:r w:rsidR="002156CF">
        <w:rPr>
          <w:rStyle w:val="11Char"/>
          <w:bCs/>
        </w:rPr>
        <w:t xml:space="preserve"> </w:t>
      </w:r>
      <w:r w:rsidR="007C5ED7">
        <w:rPr>
          <w:rStyle w:val="11Char"/>
          <w:bCs/>
        </w:rPr>
        <w:t>℃</w:t>
      </w:r>
      <w:r w:rsidR="007C5ED7">
        <w:rPr>
          <w:rStyle w:val="11Char"/>
          <w:bCs/>
        </w:rPr>
        <w:t>，</w:t>
      </w:r>
      <w:r w:rsidR="007C5ED7">
        <w:rPr>
          <w:rStyle w:val="11Char"/>
          <w:bCs/>
        </w:rPr>
        <w:t>15 s</w:t>
      </w:r>
      <w:r w:rsidR="007C5ED7">
        <w:rPr>
          <w:rStyle w:val="11Char"/>
          <w:bCs/>
        </w:rPr>
        <w:t>）以实现掺杂离子的激活。</w:t>
      </w:r>
      <w:r w:rsidR="007C5ED7">
        <w:rPr>
          <w:rStyle w:val="11Char"/>
          <w:rFonts w:hint="eastAsia"/>
          <w:bCs/>
        </w:rPr>
        <w:t>将器件放入</w:t>
      </w:r>
      <w:r w:rsidR="007C5ED7">
        <w:rPr>
          <w:rStyle w:val="11Char"/>
          <w:bCs/>
        </w:rPr>
        <w:t>缓冲氧化物刻蚀</w:t>
      </w:r>
      <w:r w:rsidR="007C5ED7">
        <w:rPr>
          <w:rStyle w:val="11Char"/>
          <w:rFonts w:hint="eastAsia"/>
          <w:bCs/>
        </w:rPr>
        <w:t>溶液</w:t>
      </w:r>
      <w:r w:rsidR="007C5ED7">
        <w:rPr>
          <w:rStyle w:val="11Char"/>
          <w:bCs/>
        </w:rPr>
        <w:t>（</w:t>
      </w:r>
      <w:r w:rsidR="007C5ED7">
        <w:rPr>
          <w:rStyle w:val="11Char"/>
          <w:bCs/>
        </w:rPr>
        <w:t>BOE</w:t>
      </w:r>
      <w:r w:rsidR="007C5ED7">
        <w:rPr>
          <w:rStyle w:val="11Char"/>
          <w:bCs/>
        </w:rPr>
        <w:t>）</w:t>
      </w:r>
      <w:r w:rsidR="007C5ED7">
        <w:rPr>
          <w:rStyle w:val="11Char"/>
          <w:rFonts w:hint="eastAsia"/>
          <w:bCs/>
        </w:rPr>
        <w:t>5 s</w:t>
      </w:r>
      <w:r w:rsidR="007C5ED7">
        <w:rPr>
          <w:rStyle w:val="11Char"/>
          <w:rFonts w:hint="eastAsia"/>
          <w:bCs/>
        </w:rPr>
        <w:t>，以去除表面本征氧化物形成欧姆接触</w:t>
      </w:r>
      <w:r w:rsidR="007C5ED7">
        <w:rPr>
          <w:rStyle w:val="11Char"/>
          <w:bCs/>
        </w:rPr>
        <w:t>。</w:t>
      </w:r>
      <w:r w:rsidR="007C5ED7">
        <w:rPr>
          <w:rStyle w:val="11Char"/>
          <w:bCs/>
        </w:rPr>
        <w:lastRenderedPageBreak/>
        <w:t>金属化工艺通过第四轮</w:t>
      </w:r>
      <w:r w:rsidR="007C5ED7">
        <w:rPr>
          <w:rStyle w:val="11Char"/>
          <w:bCs/>
        </w:rPr>
        <w:t>EBL</w:t>
      </w:r>
      <w:r w:rsidR="007C5ED7">
        <w:rPr>
          <w:rStyle w:val="11Char"/>
          <w:bCs/>
        </w:rPr>
        <w:t>定义间距波导</w:t>
      </w:r>
      <w:r w:rsidR="007C5ED7">
        <w:rPr>
          <w:rStyle w:val="11Char"/>
          <w:bCs/>
        </w:rPr>
        <w:t>1 μm</w:t>
      </w:r>
      <w:r w:rsidR="007C5ED7">
        <w:rPr>
          <w:rStyle w:val="11Char"/>
          <w:bCs/>
        </w:rPr>
        <w:t>的接触区域，采用电子束蒸发技术依次沉积</w:t>
      </w:r>
      <w:r w:rsidR="007C5ED7">
        <w:rPr>
          <w:rStyle w:val="11Char"/>
          <w:bCs/>
        </w:rPr>
        <w:t>20 nm</w:t>
      </w:r>
      <w:r w:rsidR="007C5ED7">
        <w:rPr>
          <w:rStyle w:val="11Char"/>
          <w:bCs/>
        </w:rPr>
        <w:t>铬（</w:t>
      </w:r>
      <w:r w:rsidR="007C5ED7">
        <w:rPr>
          <w:rStyle w:val="11Char"/>
          <w:bCs/>
        </w:rPr>
        <w:t>Cr</w:t>
      </w:r>
      <w:r w:rsidR="007C5ED7">
        <w:rPr>
          <w:rStyle w:val="11Char"/>
          <w:bCs/>
        </w:rPr>
        <w:t>）粘附层和</w:t>
      </w:r>
      <w:r w:rsidR="007C5ED7">
        <w:rPr>
          <w:rStyle w:val="11Char"/>
          <w:bCs/>
        </w:rPr>
        <w:t>150 nm</w:t>
      </w:r>
      <w:r w:rsidR="007C5ED7">
        <w:rPr>
          <w:rStyle w:val="11Char"/>
          <w:bCs/>
        </w:rPr>
        <w:t>金（</w:t>
      </w:r>
      <w:r w:rsidR="007C5ED7">
        <w:rPr>
          <w:rStyle w:val="11Char"/>
          <w:bCs/>
        </w:rPr>
        <w:t>Au</w:t>
      </w:r>
      <w:r w:rsidR="007C5ED7">
        <w:rPr>
          <w:rStyle w:val="11Char"/>
          <w:bCs/>
        </w:rPr>
        <w:t>）导电层，</w:t>
      </w:r>
      <w:r w:rsidR="007C5ED7">
        <w:rPr>
          <w:rStyle w:val="11Char"/>
          <w:rFonts w:hint="eastAsia"/>
          <w:bCs/>
        </w:rPr>
        <w:t>经</w:t>
      </w:r>
      <w:r w:rsidR="007C5ED7">
        <w:rPr>
          <w:rFonts w:hint="eastAsia"/>
        </w:rPr>
        <w:t>剥离工艺</w:t>
      </w:r>
      <w:r w:rsidR="007C5ED7">
        <w:rPr>
          <w:rStyle w:val="11Char"/>
          <w:bCs/>
        </w:rPr>
        <w:t>形成金属电极。第五阶段</w:t>
      </w:r>
      <w:r w:rsidR="007C5ED7">
        <w:rPr>
          <w:rStyle w:val="11Char"/>
          <w:bCs/>
        </w:rPr>
        <w:t>EBL</w:t>
      </w:r>
      <w:r w:rsidR="007C5ED7">
        <w:rPr>
          <w:rStyle w:val="11Char"/>
          <w:bCs/>
        </w:rPr>
        <w:t>定义</w:t>
      </w:r>
      <w:r w:rsidR="007C5ED7">
        <w:rPr>
          <w:rStyle w:val="11Char"/>
          <w:bCs/>
        </w:rPr>
        <w:t>Sb₂Se₃</w:t>
      </w:r>
      <w:r w:rsidR="007C5ED7">
        <w:rPr>
          <w:rStyle w:val="11Char"/>
          <w:rFonts w:hint="eastAsia"/>
          <w:bCs/>
        </w:rPr>
        <w:t>材料</w:t>
      </w:r>
      <w:r w:rsidR="007C5ED7">
        <w:rPr>
          <w:rStyle w:val="11Char"/>
          <w:bCs/>
        </w:rPr>
        <w:t>层窗口后，通过</w:t>
      </w:r>
      <w:r w:rsidR="007C5ED7">
        <w:rPr>
          <w:rStyle w:val="11Char"/>
          <w:rFonts w:hint="eastAsia"/>
          <w:bCs/>
        </w:rPr>
        <w:t>磁控溅射技术</w:t>
      </w:r>
      <w:r w:rsidR="007C5ED7">
        <w:rPr>
          <w:rStyle w:val="11Char"/>
          <w:bCs/>
        </w:rPr>
        <w:t>沉积</w:t>
      </w:r>
      <w:r w:rsidR="007C5ED7">
        <w:rPr>
          <w:rStyle w:val="11Char"/>
          <w:bCs/>
        </w:rPr>
        <w:t>30 nm</w:t>
      </w:r>
      <w:r w:rsidR="007C5ED7">
        <w:rPr>
          <w:rStyle w:val="11Char"/>
          <w:bCs/>
        </w:rPr>
        <w:t>非晶</w:t>
      </w:r>
      <w:r w:rsidR="007C5ED7">
        <w:rPr>
          <w:rStyle w:val="11Char"/>
          <w:bCs/>
        </w:rPr>
        <w:t>Sb₂Se₃</w:t>
      </w:r>
      <w:r w:rsidR="007C5ED7">
        <w:rPr>
          <w:rStyle w:val="11Char"/>
          <w:bCs/>
        </w:rPr>
        <w:t>薄膜。器件封装采用原子层沉积（</w:t>
      </w:r>
      <w:r w:rsidR="007C5ED7">
        <w:rPr>
          <w:rStyle w:val="11Char"/>
          <w:bCs/>
        </w:rPr>
        <w:t>ALD</w:t>
      </w:r>
      <w:r w:rsidR="007C5ED7">
        <w:rPr>
          <w:rStyle w:val="11Char"/>
          <w:bCs/>
        </w:rPr>
        <w:t>）技术在</w:t>
      </w:r>
      <w:r w:rsidR="007C5ED7">
        <w:rPr>
          <w:rStyle w:val="11Char"/>
          <w:bCs/>
        </w:rPr>
        <w:t>150℃</w:t>
      </w:r>
      <w:r w:rsidR="007C5ED7">
        <w:rPr>
          <w:rStyle w:val="11Char"/>
          <w:bCs/>
        </w:rPr>
        <w:t>条件下生长</w:t>
      </w:r>
      <w:r w:rsidR="007C5ED7">
        <w:rPr>
          <w:rStyle w:val="11Char"/>
          <w:bCs/>
        </w:rPr>
        <w:t xml:space="preserve">40 nm </w:t>
      </w:r>
      <w:r w:rsidR="007C5ED7">
        <w:rPr>
          <w:rStyle w:val="11Char"/>
          <w:rFonts w:hint="eastAsia"/>
          <w:bCs/>
        </w:rPr>
        <w:t>Al</w:t>
      </w:r>
      <w:r w:rsidR="007C5ED7">
        <w:rPr>
          <w:rStyle w:val="11Char"/>
          <w:rFonts w:hint="eastAsia"/>
          <w:bCs/>
          <w:vertAlign w:val="subscript"/>
        </w:rPr>
        <w:t>2</w:t>
      </w:r>
      <w:r w:rsidR="007C5ED7">
        <w:rPr>
          <w:rStyle w:val="11Char"/>
          <w:rFonts w:hint="eastAsia"/>
          <w:bCs/>
        </w:rPr>
        <w:t>O</w:t>
      </w:r>
      <w:r w:rsidR="007C5ED7">
        <w:rPr>
          <w:rStyle w:val="11Char"/>
          <w:rFonts w:hint="eastAsia"/>
          <w:bCs/>
          <w:vertAlign w:val="subscript"/>
        </w:rPr>
        <w:t>3</w:t>
      </w:r>
      <w:r w:rsidR="007C5ED7">
        <w:rPr>
          <w:rStyle w:val="11Char"/>
          <w:rFonts w:hint="eastAsia"/>
          <w:bCs/>
        </w:rPr>
        <w:t>钝化</w:t>
      </w:r>
      <w:r w:rsidR="007C5ED7">
        <w:rPr>
          <w:rStyle w:val="11Char"/>
          <w:bCs/>
        </w:rPr>
        <w:t>层。最</w:t>
      </w:r>
      <w:r w:rsidR="007C5ED7">
        <w:rPr>
          <w:rStyle w:val="11Char"/>
          <w:rFonts w:hint="eastAsia"/>
          <w:bCs/>
        </w:rPr>
        <w:t>后</w:t>
      </w:r>
      <w:r w:rsidR="007C5ED7">
        <w:rPr>
          <w:rStyle w:val="11Char"/>
          <w:bCs/>
        </w:rPr>
        <w:t>通过第六次</w:t>
      </w:r>
      <w:r w:rsidR="007C5ED7">
        <w:rPr>
          <w:rStyle w:val="11Char"/>
          <w:bCs/>
        </w:rPr>
        <w:t>EBL</w:t>
      </w:r>
      <w:r w:rsidR="007C5ED7">
        <w:rPr>
          <w:rStyle w:val="11Char"/>
          <w:bCs/>
        </w:rPr>
        <w:t>工艺定义接触窗口，并利用</w:t>
      </w:r>
      <w:r w:rsidR="007C5ED7">
        <w:rPr>
          <w:rStyle w:val="11Char"/>
          <w:bCs/>
        </w:rPr>
        <w:t>BOE</w:t>
      </w:r>
      <w:r w:rsidR="007C5ED7">
        <w:rPr>
          <w:rStyle w:val="11Char"/>
          <w:bCs/>
        </w:rPr>
        <w:t>去除</w:t>
      </w:r>
      <w:r w:rsidR="007C5ED7">
        <w:rPr>
          <w:rStyle w:val="11Char"/>
          <w:rFonts w:hint="eastAsia"/>
          <w:bCs/>
        </w:rPr>
        <w:t>金属上的</w:t>
      </w:r>
      <w:r w:rsidR="007C5ED7">
        <w:rPr>
          <w:rStyle w:val="11Char"/>
          <w:bCs/>
        </w:rPr>
        <w:t>Al</w:t>
      </w:r>
      <w:r w:rsidR="007C5ED7">
        <w:rPr>
          <w:rStyle w:val="11Char"/>
          <w:bCs/>
          <w:vertAlign w:val="subscript"/>
        </w:rPr>
        <w:t>2</w:t>
      </w:r>
      <w:r w:rsidR="007C5ED7">
        <w:rPr>
          <w:rStyle w:val="11Char"/>
          <w:bCs/>
        </w:rPr>
        <w:t>O</w:t>
      </w:r>
      <w:r w:rsidR="007C5ED7">
        <w:rPr>
          <w:rStyle w:val="11Char"/>
          <w:bCs/>
          <w:vertAlign w:val="subscript"/>
        </w:rPr>
        <w:t>3</w:t>
      </w:r>
      <w:r w:rsidR="007C5ED7">
        <w:rPr>
          <w:rStyle w:val="11Char"/>
          <w:bCs/>
        </w:rPr>
        <w:t>覆盖层，确保电学测试探针与金属焊盘间形成</w:t>
      </w:r>
      <w:r w:rsidR="007C5ED7">
        <w:rPr>
          <w:rStyle w:val="11Char"/>
          <w:bCs/>
        </w:rPr>
        <w:t>可靠电接触</w:t>
      </w:r>
      <w:r w:rsidR="007C5ED7">
        <w:rPr>
          <w:rStyle w:val="11Char"/>
          <w:rFonts w:hint="eastAsia"/>
          <w:bCs/>
        </w:rPr>
        <w:t>。制备得到的</w:t>
      </w:r>
      <w:r w:rsidR="007C5ED7">
        <w:rPr>
          <w:rStyle w:val="11Char"/>
          <w:bCs/>
        </w:rPr>
        <w:t>器件光学显微镜图如图</w:t>
      </w:r>
      <w:r w:rsidR="007C5ED7">
        <w:rPr>
          <w:rStyle w:val="11Char"/>
          <w:bCs/>
        </w:rPr>
        <w:t>5(b)</w:t>
      </w:r>
      <w:r w:rsidR="007C5ED7">
        <w:rPr>
          <w:rStyle w:val="11Char"/>
          <w:bCs/>
        </w:rPr>
        <w:t>所示。</w:t>
      </w:r>
    </w:p>
    <w:p w14:paraId="343967CB" w14:textId="77777777" w:rsidR="00497B08" w:rsidRDefault="007C5ED7">
      <w:pPr>
        <w:pStyle w:val="11"/>
        <w:ind w:firstLineChars="0" w:firstLine="0"/>
        <w:jc w:val="center"/>
        <w:rPr>
          <w:rFonts w:ascii="宋体" w:hAnsi="宋体" w:cs="宋体"/>
          <w:sz w:val="15"/>
          <w:szCs w:val="15"/>
        </w:rPr>
      </w:pPr>
      <w:r>
        <w:rPr>
          <w:rFonts w:ascii="宋体" w:hAnsi="宋体" w:cs="宋体"/>
          <w:sz w:val="15"/>
          <w:szCs w:val="15"/>
        </w:rPr>
        <w:object w:dxaOrig="8502" w:dyaOrig="4228" w14:anchorId="7D4AA818">
          <v:shape id="_x0000_i1031" type="#_x0000_t75" style="width:425pt;height:211.15pt" o:ole="">
            <v:imagedata r:id="rId19" o:title=""/>
            <o:lock v:ext="edit" aspectratio="f"/>
          </v:shape>
          <o:OLEObject Type="Embed" ProgID="Visio.Drawing.15" ShapeID="_x0000_i1031" DrawAspect="Content" ObjectID="_1825242013" r:id="rId20"/>
        </w:object>
      </w:r>
      <w:r>
        <w:rPr>
          <w:rFonts w:ascii="宋体" w:hAnsi="宋体" w:cs="宋体"/>
          <w:sz w:val="15"/>
          <w:szCs w:val="15"/>
        </w:rPr>
        <w:t>(a)</w:t>
      </w:r>
      <w:r>
        <w:rPr>
          <w:rFonts w:ascii="宋体" w:hAnsi="宋体" w:cs="宋体" w:hint="eastAsia"/>
          <w:sz w:val="15"/>
          <w:szCs w:val="15"/>
        </w:rPr>
        <w:t xml:space="preserve"> </w:t>
      </w:r>
      <w:r>
        <w:rPr>
          <w:rFonts w:ascii="宋体" w:hAnsi="宋体" w:cs="宋体" w:hint="eastAsia"/>
          <w:sz w:val="15"/>
          <w:szCs w:val="15"/>
        </w:rPr>
        <w:t>工艺流程图</w:t>
      </w:r>
    </w:p>
    <w:p w14:paraId="194FB815" w14:textId="77777777" w:rsidR="00497B08" w:rsidRDefault="007C5ED7">
      <w:pPr>
        <w:pStyle w:val="11"/>
        <w:ind w:firstLineChars="0" w:firstLine="0"/>
        <w:jc w:val="center"/>
        <w:rPr>
          <w:sz w:val="15"/>
          <w:szCs w:val="15"/>
        </w:rPr>
      </w:pPr>
      <w:r>
        <w:rPr>
          <w:rFonts w:hint="eastAsia"/>
          <w:sz w:val="15"/>
          <w:szCs w:val="15"/>
        </w:rPr>
        <w:object w:dxaOrig="8502" w:dyaOrig="2880" w14:anchorId="7A943D56">
          <v:shape id="_x0000_i1032" type="#_x0000_t75" style="width:425pt;height:2in" o:ole="">
            <v:imagedata r:id="rId21" o:title=""/>
            <o:lock v:ext="edit" aspectratio="f"/>
          </v:shape>
          <o:OLEObject Type="Embed" ProgID="Visio.Drawing.15" ShapeID="_x0000_i1032" DrawAspect="Content" ObjectID="_1825242014" r:id="rId22"/>
        </w:object>
      </w:r>
      <w:r>
        <w:rPr>
          <w:rFonts w:hint="eastAsia"/>
          <w:sz w:val="15"/>
          <w:szCs w:val="15"/>
        </w:rPr>
        <w:t>(b)</w:t>
      </w:r>
      <w:r>
        <w:rPr>
          <w:rFonts w:hint="eastAsia"/>
        </w:rPr>
        <w:t xml:space="preserve"> </w:t>
      </w:r>
      <w:r>
        <w:rPr>
          <w:rFonts w:ascii="宋体" w:hAnsi="宋体" w:cs="宋体" w:hint="eastAsia"/>
          <w:sz w:val="15"/>
          <w:szCs w:val="15"/>
        </w:rPr>
        <w:t>光学显微镜图</w:t>
      </w:r>
    </w:p>
    <w:p w14:paraId="2255AF3C" w14:textId="7242CEFA" w:rsidR="00497B08" w:rsidRDefault="007C5ED7">
      <w:pPr>
        <w:pStyle w:val="13"/>
      </w:pPr>
      <w:r>
        <w:rPr>
          <w:rFonts w:hint="eastAsia"/>
        </w:rPr>
        <w:t>图</w:t>
      </w:r>
      <w:r>
        <w:t xml:space="preserve">5 </w:t>
      </w:r>
      <w:r>
        <w:rPr>
          <w:rFonts w:hint="eastAsia"/>
        </w:rPr>
        <w:t xml:space="preserve"> </w:t>
      </w:r>
      <w:r>
        <w:rPr>
          <w:rFonts w:hint="eastAsia"/>
        </w:rPr>
        <w:t>工艺流程图与成品显微镜图</w:t>
      </w:r>
    </w:p>
    <w:p w14:paraId="01A69A1D" w14:textId="77777777" w:rsidR="00497B08" w:rsidRDefault="00497B08">
      <w:pPr>
        <w:pStyle w:val="09"/>
        <w:numPr>
          <w:ilvl w:val="0"/>
          <w:numId w:val="0"/>
        </w:numPr>
        <w:rPr>
          <w:sz w:val="25"/>
        </w:rPr>
      </w:pPr>
    </w:p>
    <w:p w14:paraId="4C304DB7" w14:textId="77777777" w:rsidR="00497B08" w:rsidRDefault="007C5ED7">
      <w:pPr>
        <w:pStyle w:val="09"/>
        <w:numPr>
          <w:ilvl w:val="0"/>
          <w:numId w:val="0"/>
        </w:numPr>
        <w:rPr>
          <w:sz w:val="25"/>
        </w:rPr>
      </w:pPr>
      <w:r>
        <w:rPr>
          <w:sz w:val="25"/>
        </w:rPr>
        <w:t xml:space="preserve">3 </w:t>
      </w:r>
      <w:r>
        <w:rPr>
          <w:rFonts w:hint="eastAsia"/>
          <w:sz w:val="25"/>
        </w:rPr>
        <w:t>实验结果</w:t>
      </w:r>
    </w:p>
    <w:p w14:paraId="31D25B04" w14:textId="77777777" w:rsidR="00497B08" w:rsidRDefault="007C5ED7">
      <w:pPr>
        <w:pStyle w:val="09"/>
        <w:numPr>
          <w:ilvl w:val="0"/>
          <w:numId w:val="0"/>
        </w:numPr>
      </w:pPr>
      <w:r>
        <w:t>3.1  ADC</w:t>
      </w:r>
      <w:r>
        <w:rPr>
          <w:rFonts w:hint="eastAsia"/>
        </w:rPr>
        <w:t>光</w:t>
      </w:r>
      <w:r>
        <w:t>开关</w:t>
      </w:r>
      <w:r>
        <w:rPr>
          <w:rFonts w:hint="eastAsia"/>
        </w:rPr>
        <w:t>性能</w:t>
      </w:r>
      <w:r>
        <w:t>分析</w:t>
      </w:r>
    </w:p>
    <w:p w14:paraId="742232CE" w14:textId="77777777" w:rsidR="00497B08" w:rsidRDefault="007C5ED7">
      <w:pPr>
        <w:pStyle w:val="11"/>
        <w:ind w:firstLineChars="0" w:firstLine="420"/>
      </w:pPr>
      <w:r>
        <w:t>在实验中，光信号从器件的</w:t>
      </w:r>
      <w:r>
        <w:t>cross</w:t>
      </w:r>
      <w:r>
        <w:t>端口输出，</w:t>
      </w:r>
      <w:r>
        <w:t>Sb₂Se₃</w:t>
      </w:r>
      <w:r>
        <w:t>初始处于非晶态。如图</w:t>
      </w:r>
      <w:r>
        <w:t>6(a)</w:t>
      </w:r>
      <w:r>
        <w:t>所示</w:t>
      </w:r>
      <w:r>
        <w:rPr>
          <w:rFonts w:hint="eastAsia"/>
        </w:rPr>
        <w:t>，</w:t>
      </w:r>
      <w:r>
        <w:t>所有</w:t>
      </w:r>
      <w:r>
        <w:rPr>
          <w:rFonts w:hint="eastAsia"/>
        </w:rPr>
        <w:t>光</w:t>
      </w:r>
      <w:r>
        <w:t>损耗</w:t>
      </w:r>
      <w:r>
        <w:rPr>
          <w:rFonts w:hint="eastAsia"/>
        </w:rPr>
        <w:t>已</w:t>
      </w:r>
      <w:r>
        <w:t>扣除直波导损耗</w:t>
      </w:r>
      <w:r>
        <w:rPr>
          <w:rFonts w:hint="eastAsia"/>
        </w:rPr>
        <w:t>进行</w:t>
      </w:r>
      <w:r>
        <w:t>归一化处理，以消除附加损耗并减少实验误差。此</w:t>
      </w:r>
      <w:r>
        <w:rPr>
          <w:rFonts w:hint="eastAsia"/>
        </w:rPr>
        <w:t>时</w:t>
      </w:r>
      <w:r>
        <w:t>，</w:t>
      </w:r>
      <w:r>
        <w:t>1535 nm</w:t>
      </w:r>
      <w:r>
        <w:t>至</w:t>
      </w:r>
      <w:r>
        <w:t>1565 nm</w:t>
      </w:r>
      <w:r>
        <w:t>波段的</w:t>
      </w:r>
      <w:r>
        <w:rPr>
          <w:rFonts w:hint="eastAsia"/>
        </w:rPr>
        <w:t>串扰低于</w:t>
      </w:r>
      <w:r>
        <w:rPr>
          <w:rFonts w:hint="eastAsia"/>
        </w:rPr>
        <w:t>-</w:t>
      </w:r>
      <w:r>
        <w:t>10 dB</w:t>
      </w:r>
      <w:r>
        <w:t>，其中</w:t>
      </w:r>
      <w:r>
        <w:t>1550 nm</w:t>
      </w:r>
      <w:r>
        <w:t>处的</w:t>
      </w:r>
      <w:r>
        <w:rPr>
          <w:rFonts w:hint="eastAsia"/>
        </w:rPr>
        <w:t>串扰为</w:t>
      </w:r>
      <w:r>
        <w:rPr>
          <w:rFonts w:hint="eastAsia"/>
        </w:rPr>
        <w:t>-</w:t>
      </w:r>
      <w:r>
        <w:t>11 dB</w:t>
      </w:r>
      <w:r>
        <w:t>，插入损耗为</w:t>
      </w:r>
      <w:r>
        <w:t>0.7 dB</w:t>
      </w:r>
      <w:r>
        <w:t>。考虑到</w:t>
      </w:r>
      <w:r>
        <w:t>PIN</w:t>
      </w:r>
      <w:r>
        <w:t>掺杂引入的额外损耗，实际的方向耦合器损耗约为</w:t>
      </w:r>
      <w:r>
        <w:t>0.4 dB</w:t>
      </w:r>
      <w:r>
        <w:t>。随后，多次施加</w:t>
      </w:r>
      <w:r>
        <w:t>5.5 V</w:t>
      </w:r>
      <w:r>
        <w:t>、</w:t>
      </w:r>
      <w:r>
        <w:rPr>
          <w:rFonts w:hint="eastAsia"/>
        </w:rPr>
        <w:t>~</w:t>
      </w:r>
      <w:r>
        <w:t>0.4 ms</w:t>
      </w:r>
      <w:r>
        <w:t>的电脉冲，</w:t>
      </w:r>
      <w:r>
        <w:t>Sb₂Se₃</w:t>
      </w:r>
      <w:r>
        <w:t>转变为晶态，光信号从</w:t>
      </w:r>
      <w:r>
        <w:t>bar</w:t>
      </w:r>
      <w:r>
        <w:t>端口输出</w:t>
      </w:r>
      <w:r>
        <w:rPr>
          <w:rFonts w:hint="eastAsia"/>
        </w:rPr>
        <w:t>。</w:t>
      </w:r>
      <w:r>
        <w:t>如图</w:t>
      </w:r>
      <w:r>
        <w:t>6(b)</w:t>
      </w:r>
      <w:r>
        <w:t>所示，</w:t>
      </w:r>
      <w:r>
        <w:t>1535 nm</w:t>
      </w:r>
      <w:r>
        <w:t>至</w:t>
      </w:r>
      <w:r>
        <w:t>1565 nm</w:t>
      </w:r>
      <w:r>
        <w:t>波段内的</w:t>
      </w:r>
      <w:r>
        <w:rPr>
          <w:rFonts w:hint="eastAsia"/>
        </w:rPr>
        <w:t>串扰低于</w:t>
      </w:r>
      <w:r>
        <w:rPr>
          <w:rFonts w:hint="eastAsia"/>
        </w:rPr>
        <w:t>-</w:t>
      </w:r>
      <w:r>
        <w:t>20 dB</w:t>
      </w:r>
      <w:r>
        <w:t>，</w:t>
      </w:r>
      <w:r>
        <w:t>1550 nm</w:t>
      </w:r>
      <w:r>
        <w:t>处的</w:t>
      </w:r>
      <w:r>
        <w:rPr>
          <w:rFonts w:hint="eastAsia"/>
        </w:rPr>
        <w:t>串扰为</w:t>
      </w:r>
      <w:r>
        <w:rPr>
          <w:rFonts w:hint="eastAsia"/>
        </w:rPr>
        <w:t>-</w:t>
      </w:r>
      <w:r>
        <w:t>22 dB</w:t>
      </w:r>
      <w:r>
        <w:t>。不考虑</w:t>
      </w:r>
      <w:r>
        <w:t>PIN</w:t>
      </w:r>
      <w:r>
        <w:t>的额外损耗时，插入损耗约为</w:t>
      </w:r>
      <w:r>
        <w:t>1 dB</w:t>
      </w:r>
      <w:r>
        <w:t>。与</w:t>
      </w:r>
      <w:r>
        <w:rPr>
          <w:rFonts w:hint="eastAsia"/>
        </w:rPr>
        <w:t>Fang</w:t>
      </w:r>
      <w:r>
        <w:rPr>
          <w:rFonts w:hint="eastAsia"/>
          <w:vertAlign w:val="superscript"/>
        </w:rPr>
        <w:t>[19]</w:t>
      </w:r>
      <w:r>
        <w:t>的器件</w:t>
      </w:r>
      <w:r>
        <w:rPr>
          <w:rFonts w:hint="eastAsia"/>
        </w:rPr>
        <w:t>（耦合长度</w:t>
      </w:r>
      <w:r>
        <w:rPr>
          <w:rFonts w:hint="eastAsia"/>
        </w:rPr>
        <w:t>33</w:t>
      </w:r>
      <w:r>
        <w:t xml:space="preserve"> μm</w:t>
      </w:r>
      <w:r>
        <w:rPr>
          <w:rFonts w:hint="eastAsia"/>
        </w:rPr>
        <w:t>）</w:t>
      </w:r>
      <w:r>
        <w:t>相比，本器件</w:t>
      </w:r>
      <w:r>
        <w:rPr>
          <w:rFonts w:hint="eastAsia"/>
        </w:rPr>
        <w:t>结构更为紧凑</w:t>
      </w:r>
      <w:r>
        <w:t>。器件的性能与仿真结果</w:t>
      </w:r>
      <w:r>
        <w:rPr>
          <w:rFonts w:hint="eastAsia"/>
        </w:rPr>
        <w:t>的</w:t>
      </w:r>
      <w:r>
        <w:t>差异</w:t>
      </w:r>
      <w:r>
        <w:rPr>
          <w:rFonts w:hint="eastAsia"/>
        </w:rPr>
        <w:t>，</w:t>
      </w:r>
      <w:r>
        <w:t>主要归因于方向耦合器对耦合长度和波导间距的高度敏感性</w:t>
      </w:r>
      <w:r>
        <w:lastRenderedPageBreak/>
        <w:fldChar w:fldCharType="begin">
          <w:fldData xml:space="preserve">PEVuZE5vdGU+PENpdGU+PEF1dGhvcj7luoTnkZ48L0F1dGhvcj48WWVhcj4yMDIxPC9ZZWFyPjxS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</w:fldData>
        </w:fldChar>
      </w:r>
      <w:r>
        <w:rPr>
          <w:rFonts w:hint="eastAsia"/>
        </w:rPr>
        <w:instrText xml:space="preserve"> ADDIN EN.CITE </w:instrText>
      </w:r>
      <w:r>
        <w:rPr>
          <w:rFonts w:hint="eastAsia"/>
        </w:rPr>
        <w:fldChar w:fldCharType="begin">
          <w:fldData xml:space="preserve">PEVuZE5vdGU+PENpdGU+PEF1dGhvcj7luoTnkZ48L0F1dGhvcj48WWVhcj4yMDIxPC9ZZWFyPjxS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</w:fldData>
        </w:fldChar>
      </w:r>
      <w:r>
        <w:rPr>
          <w:rFonts w:hint="eastAsia"/>
        </w:rPr>
        <w:instrText xml:space="preserve"> ADDIN EN.CITE.DATA </w:instrText>
      </w:r>
      <w:r>
        <w:rPr>
          <w:rFonts w:hint="eastAsia"/>
        </w:rPr>
      </w:r>
      <w:r>
        <w:rPr>
          <w:rFonts w:hint="eastAsia"/>
        </w:rPr>
        <w:fldChar w:fldCharType="end"/>
      </w:r>
      <w:r>
        <w:fldChar w:fldCharType="separate"/>
      </w:r>
      <w:r>
        <w:rPr>
          <w:rFonts w:hint="eastAsia"/>
          <w:vertAlign w:val="superscript"/>
        </w:rPr>
        <w:t>[22]</w:t>
      </w:r>
      <w:r>
        <w:fldChar w:fldCharType="end"/>
      </w:r>
      <w:r>
        <w:t>。此外，工艺误差（如光刻、刻蚀和对准过程中的不精确性）、光波导几何形状、波导间距以及相变材料沉积的均匀性问题，都可能导致光传输效率的波动，从而影响耦合效果和光学性能。这些因素共同导致实验结果与仿真预期之间的偏差。</w:t>
      </w:r>
    </w:p>
    <w:p w14:paraId="5F03F40F" w14:textId="77777777" w:rsidR="00497B08" w:rsidRDefault="007C5ED7">
      <w:pPr>
        <w:jc w:val="center"/>
      </w:pPr>
      <w:r>
        <w:object w:dxaOrig="3686" w:dyaOrig="2719" w14:anchorId="207071ED">
          <v:shape id="_x0000_i1033" type="#_x0000_t75" style="width:184.3pt;height:135.95pt" o:ole="">
            <v:imagedata r:id="rId23" o:title="" croptop="1224f" cropbottom="2811f"/>
            <o:lock v:ext="edit" aspectratio="f"/>
          </v:shape>
          <o:OLEObject Type="Embed" ProgID="Visio.Drawing.15" ShapeID="_x0000_i1033" DrawAspect="Content" ObjectID="_1825242015" r:id="rId24"/>
        </w:object>
      </w:r>
      <w:r>
        <w:object w:dxaOrig="3686" w:dyaOrig="2719" w14:anchorId="3829A9D2">
          <v:shape id="_x0000_i1034" type="#_x0000_t75" style="width:184.3pt;height:135.95pt" o:ole="">
            <v:imagedata r:id="rId25" o:title="" croptop="1360f" cropbottom="2970f"/>
            <o:lock v:ext="edit" aspectratio="f"/>
          </v:shape>
          <o:OLEObject Type="Embed" ProgID="Visio.Drawing.15" ShapeID="_x0000_i1034" DrawAspect="Content" ObjectID="_1825242016" r:id="rId26"/>
        </w:object>
      </w:r>
    </w:p>
    <w:p w14:paraId="35B6BA97" w14:textId="77777777" w:rsidR="00497B08" w:rsidRDefault="007C5ED7">
      <w:pPr>
        <w:pStyle w:val="13"/>
        <w:numPr>
          <w:ilvl w:val="0"/>
          <w:numId w:val="9"/>
        </w:numPr>
      </w:pPr>
      <w:r>
        <w:rPr>
          <w:rFonts w:ascii="宋体" w:eastAsia="宋体" w:hAnsi="宋体" w:cs="宋体" w:hint="eastAsia"/>
          <w:sz w:val="15"/>
          <w:szCs w:val="15"/>
        </w:rPr>
        <w:t>非晶态</w:t>
      </w:r>
      <w:r>
        <w:rPr>
          <w:rFonts w:ascii="宋体" w:eastAsia="宋体" w:hAnsi="宋体" w:cs="宋体" w:hint="eastAsia"/>
          <w:sz w:val="15"/>
          <w:szCs w:val="15"/>
        </w:rPr>
        <w:t xml:space="preserve"> </w:t>
      </w:r>
      <w:r>
        <w:rPr>
          <w:rFonts w:hint="eastAsia"/>
        </w:rPr>
        <w:t xml:space="preserve">                                  </w:t>
      </w:r>
      <w:r>
        <w:rPr>
          <w:rFonts w:hint="eastAsia"/>
          <w:sz w:val="15"/>
          <w:szCs w:val="15"/>
        </w:rPr>
        <w:t>(b)</w:t>
      </w:r>
      <w:r>
        <w:rPr>
          <w:rFonts w:hint="eastAsia"/>
        </w:rPr>
        <w:t xml:space="preserve"> </w:t>
      </w:r>
      <w:r>
        <w:rPr>
          <w:rFonts w:ascii="宋体" w:eastAsia="宋体" w:hAnsi="宋体" w:cs="宋体" w:hint="eastAsia"/>
          <w:sz w:val="15"/>
          <w:szCs w:val="15"/>
        </w:rPr>
        <w:t>晶态</w:t>
      </w:r>
    </w:p>
    <w:p w14:paraId="3E211636" w14:textId="77777777" w:rsidR="00497B08" w:rsidRDefault="007C5ED7">
      <w:pPr>
        <w:pStyle w:val="13"/>
      </w:pPr>
      <w:r>
        <w:rPr>
          <w:rFonts w:hint="eastAsia"/>
        </w:rPr>
        <w:t>图</w:t>
      </w:r>
      <w:r>
        <w:t>6</w:t>
      </w:r>
      <w:r>
        <w:rPr>
          <w:rFonts w:hint="eastAsia"/>
        </w:rPr>
        <w:t xml:space="preserve"> </w:t>
      </w:r>
      <w:r>
        <w:rPr>
          <w:rFonts w:hint="eastAsia"/>
        </w:rPr>
        <w:t>定向耦合器</w:t>
      </w:r>
      <w:r>
        <w:rPr>
          <w:rStyle w:val="13Char"/>
          <w:rFonts w:hint="eastAsia"/>
        </w:rPr>
        <w:t>非晶态与晶态归一化光功率损耗图</w:t>
      </w:r>
    </w:p>
    <w:p w14:paraId="165DE9EA" w14:textId="77777777" w:rsidR="00497B08" w:rsidRDefault="007C5ED7">
      <w:pPr>
        <w:jc w:val="center"/>
        <w:rPr>
          <w:rStyle w:val="11Char"/>
          <w:bCs/>
        </w:rPr>
      </w:pPr>
      <w:r>
        <w:object w:dxaOrig="3802" w:dyaOrig="2719" w14:anchorId="3FC78314">
          <v:shape id="_x0000_i1035" type="#_x0000_t75" style="width:190.2pt;height:135.95pt" o:ole="">
            <v:imagedata r:id="rId27" o:title="" croptop="861f" cropbottom="2947f"/>
            <o:lock v:ext="edit" aspectratio="f"/>
          </v:shape>
          <o:OLEObject Type="Embed" ProgID="Visio.Drawing.15" ShapeID="_x0000_i1035" DrawAspect="Content" ObjectID="_1825242017" r:id="rId28"/>
        </w:object>
      </w:r>
      <w:r>
        <w:rPr>
          <w:rStyle w:val="11Char"/>
          <w:rFonts w:hint="eastAsia"/>
          <w:bCs/>
        </w:rPr>
        <w:object w:dxaOrig="3686" w:dyaOrig="2719" w14:anchorId="513CF751">
          <v:shape id="_x0000_i1036" type="#_x0000_t75" style="width:184.3pt;height:135.95pt" o:ole="">
            <v:imagedata r:id="rId29" o:title="" croptop="1360f" cropbottom="2856f" cropleft="-356f"/>
            <o:lock v:ext="edit" aspectratio="f"/>
          </v:shape>
          <o:OLEObject Type="Embed" ProgID="Visio.Drawing.15" ShapeID="_x0000_i1036" DrawAspect="Content" ObjectID="_1825242018" r:id="rId30"/>
        </w:object>
      </w:r>
    </w:p>
    <w:p w14:paraId="2BE376BF" w14:textId="77777777" w:rsidR="00497B08" w:rsidRDefault="007C5ED7">
      <w:pPr>
        <w:pStyle w:val="11"/>
        <w:numPr>
          <w:ilvl w:val="0"/>
          <w:numId w:val="10"/>
        </w:numPr>
        <w:ind w:firstLineChars="1000" w:firstLine="1500"/>
        <w:rPr>
          <w:rStyle w:val="13Char"/>
          <w:rFonts w:ascii="宋体" w:eastAsia="宋体" w:hAnsi="宋体" w:cs="宋体"/>
          <w:sz w:val="15"/>
          <w:szCs w:val="15"/>
        </w:rPr>
      </w:pPr>
      <w:r>
        <w:rPr>
          <w:rStyle w:val="13Char"/>
          <w:rFonts w:ascii="宋体" w:eastAsia="宋体" w:hAnsi="宋体" w:cs="宋体" w:hint="eastAsia"/>
          <w:sz w:val="15"/>
          <w:szCs w:val="15"/>
        </w:rPr>
        <w:t>不同级别损耗曲线图</w:t>
      </w:r>
      <w:r>
        <w:rPr>
          <w:rStyle w:val="13Char"/>
          <w:rFonts w:hint="eastAsia"/>
        </w:rPr>
        <w:t xml:space="preserve">                       </w:t>
      </w:r>
      <w:r>
        <w:rPr>
          <w:rStyle w:val="13Char"/>
          <w:rFonts w:hint="eastAsia"/>
          <w:sz w:val="15"/>
          <w:szCs w:val="15"/>
        </w:rPr>
        <w:t>(b)</w:t>
      </w:r>
      <w:r>
        <w:rPr>
          <w:rStyle w:val="13Char"/>
          <w:rFonts w:hint="eastAsia"/>
        </w:rPr>
        <w:t xml:space="preserve"> </w:t>
      </w:r>
      <w:r>
        <w:rPr>
          <w:rStyle w:val="13Char"/>
          <w:rFonts w:ascii="宋体" w:eastAsia="宋体" w:hAnsi="宋体" w:cs="宋体" w:hint="eastAsia"/>
          <w:sz w:val="15"/>
          <w:szCs w:val="15"/>
        </w:rPr>
        <w:t>光功率损耗与电脉冲事件关系图</w:t>
      </w:r>
    </w:p>
    <w:p w14:paraId="504F54D4" w14:textId="77777777" w:rsidR="00497B08" w:rsidRDefault="007C5ED7">
      <w:pPr>
        <w:pStyle w:val="11"/>
        <w:ind w:firstLine="360"/>
        <w:jc w:val="center"/>
        <w:rPr>
          <w:rStyle w:val="13Char"/>
        </w:rPr>
      </w:pPr>
      <w:r>
        <w:rPr>
          <w:rStyle w:val="13Char"/>
          <w:rFonts w:hint="eastAsia"/>
        </w:rPr>
        <w:t xml:space="preserve">    </w:t>
      </w:r>
      <w:r>
        <w:rPr>
          <w:rStyle w:val="13Char"/>
          <w:rFonts w:hint="eastAsia"/>
        </w:rPr>
        <w:t>图</w:t>
      </w:r>
      <w:r>
        <w:rPr>
          <w:rStyle w:val="13Char"/>
        </w:rPr>
        <w:t>7</w:t>
      </w:r>
      <w:r>
        <w:rPr>
          <w:rStyle w:val="13Char"/>
          <w:rFonts w:hint="eastAsia"/>
        </w:rPr>
        <w:t xml:space="preserve">  ADC cross</w:t>
      </w:r>
      <w:r>
        <w:rPr>
          <w:rStyle w:val="13Char"/>
          <w:rFonts w:hint="eastAsia"/>
        </w:rPr>
        <w:t>端口的多级光功率损耗与电脉冲事件的关系图</w:t>
      </w:r>
    </w:p>
    <w:p w14:paraId="0E7621E2" w14:textId="77777777" w:rsidR="00497B08" w:rsidRDefault="007C5ED7">
      <w:pPr>
        <w:pStyle w:val="11"/>
        <w:ind w:firstLine="420"/>
      </w:pPr>
      <w:r>
        <w:rPr>
          <w:rFonts w:hint="eastAsia"/>
        </w:rPr>
        <w:t>图</w:t>
      </w:r>
      <w:r>
        <w:t>7(</w:t>
      </w:r>
      <w:r>
        <w:rPr>
          <w:rFonts w:hint="eastAsia"/>
        </w:rPr>
        <w:t>a</w:t>
      </w:r>
      <w:r>
        <w:t>)</w:t>
      </w:r>
      <w:r>
        <w:rPr>
          <w:rFonts w:hint="eastAsia"/>
        </w:rPr>
        <w:t>展示从</w:t>
      </w:r>
      <w:r>
        <w:t>cross</w:t>
      </w:r>
      <w:r>
        <w:rPr>
          <w:rFonts w:hint="eastAsia"/>
        </w:rPr>
        <w:t>端口输出的多级光功率损耗图（应用了窗口大小为</w:t>
      </w:r>
      <w:r>
        <w:rPr>
          <w:rFonts w:hint="eastAsia"/>
        </w:rPr>
        <w:t>100</w:t>
      </w:r>
      <w:r>
        <w:rPr>
          <w:rFonts w:hint="eastAsia"/>
        </w:rPr>
        <w:t>的</w:t>
      </w:r>
      <w:r>
        <w:rPr>
          <w:rFonts w:hint="eastAsia"/>
        </w:rPr>
        <w:t>Savitsky-Golay</w:t>
      </w:r>
      <w:r>
        <w:rPr>
          <w:rFonts w:hint="eastAsia"/>
        </w:rPr>
        <w:t>滤波器来平滑光谱，未平滑的数据在背景中以阴影显示），每一级损耗清晰可见。在初始状态（</w:t>
      </w:r>
      <w:r>
        <w:t>0</w:t>
      </w:r>
      <w:r>
        <w:rPr>
          <w:rFonts w:hint="eastAsia"/>
        </w:rPr>
        <w:t>级）下，器件处于完全非晶态，光损耗接近</w:t>
      </w:r>
      <w:r>
        <w:t>0 dB</w:t>
      </w:r>
      <w:r>
        <w:rPr>
          <w:rFonts w:hint="eastAsia"/>
        </w:rPr>
        <w:t>。施加第一次晶化脉冲</w:t>
      </w:r>
      <w:r>
        <w:rPr>
          <w:rFonts w:hint="eastAsia"/>
        </w:rPr>
        <w:t>(5.5 v</w:t>
      </w:r>
      <w:r>
        <w:rPr>
          <w:rFonts w:hint="eastAsia"/>
        </w:rPr>
        <w:t>、</w:t>
      </w:r>
      <w:r>
        <w:rPr>
          <w:rFonts w:hint="eastAsia"/>
        </w:rPr>
        <w:t>1 ms)</w:t>
      </w:r>
      <w:r>
        <w:rPr>
          <w:rFonts w:hint="eastAsia"/>
        </w:rPr>
        <w:t>，光损耗增大了</w:t>
      </w:r>
      <w:r>
        <w:rPr>
          <w:rFonts w:hint="eastAsia"/>
        </w:rPr>
        <w:t>~9 dB</w:t>
      </w:r>
      <w:r>
        <w:rPr>
          <w:rFonts w:hint="eastAsia"/>
        </w:rPr>
        <w:t>，达到第</w:t>
      </w:r>
      <w:r>
        <w:rPr>
          <w:rFonts w:hint="eastAsia"/>
        </w:rPr>
        <w:t>1</w:t>
      </w:r>
      <w:r>
        <w:rPr>
          <w:rFonts w:hint="eastAsia"/>
        </w:rPr>
        <w:t>级损耗水平，后续为精细化调控，将脉冲时间降低至</w:t>
      </w:r>
      <w:r>
        <w:rPr>
          <w:rFonts w:hint="eastAsia"/>
        </w:rPr>
        <w:t>~0.4 ms</w:t>
      </w:r>
      <w:r>
        <w:rPr>
          <w:rFonts w:hint="eastAsia"/>
        </w:rPr>
        <w:t>。随着晶化电脉冲（</w:t>
      </w:r>
      <w:r>
        <w:t>5.5 V</w:t>
      </w:r>
      <w:r>
        <w:t>、</w:t>
      </w:r>
      <w:r>
        <w:rPr>
          <w:rFonts w:hint="eastAsia"/>
        </w:rPr>
        <w:t>~</w:t>
      </w:r>
      <w:r>
        <w:t>0.4 ms</w:t>
      </w:r>
      <w:r>
        <w:rPr>
          <w:rFonts w:hint="eastAsia"/>
        </w:rPr>
        <w:t>）施加次数增加，</w:t>
      </w:r>
      <w:r>
        <w:t>Sb₂Se₃</w:t>
      </w:r>
      <w:r>
        <w:rPr>
          <w:rFonts w:hint="eastAsia"/>
        </w:rPr>
        <w:t>逐渐晶化，光损耗逐步增大。从</w:t>
      </w:r>
      <w:r>
        <w:rPr>
          <w:rFonts w:hint="eastAsia"/>
        </w:rPr>
        <w:t>1</w:t>
      </w:r>
      <w:r>
        <w:rPr>
          <w:rFonts w:hint="eastAsia"/>
        </w:rPr>
        <w:t>到</w:t>
      </w:r>
      <w:r>
        <w:rPr>
          <w:rFonts w:hint="eastAsia"/>
        </w:rPr>
        <w:t>4</w:t>
      </w:r>
      <w:r>
        <w:rPr>
          <w:rFonts w:hint="eastAsia"/>
        </w:rPr>
        <w:t>级，相邻两级间的光损耗差逐渐缩小，这是由于非晶态部分减少导致晶化难度增加，相同能量输入下的晶化程度减小，损耗增速减缓。为增快晶化速度，继续增加电脉冲时间（若无明显光损耗变化则每次增加</w:t>
      </w:r>
      <w:r>
        <w:rPr>
          <w:rFonts w:hint="eastAsia"/>
        </w:rPr>
        <w:t xml:space="preserve">10 </w:t>
      </w:r>
      <w:r>
        <w:t>μs</w:t>
      </w:r>
      <w:r>
        <w:rPr>
          <w:rFonts w:hint="eastAsia"/>
        </w:rPr>
        <w:t>），直至达到第</w:t>
      </w:r>
      <w:r>
        <w:rPr>
          <w:rFonts w:hint="eastAsia"/>
        </w:rPr>
        <w:t>8</w:t>
      </w:r>
      <w:r>
        <w:rPr>
          <w:rFonts w:hint="eastAsia"/>
        </w:rPr>
        <w:t>级损耗。此时，损耗随电脉冲时间增加不再明显变化，晶化过程趋于饱和。图</w:t>
      </w:r>
      <w:r>
        <w:t>7(</w:t>
      </w:r>
      <w:r>
        <w:rPr>
          <w:rFonts w:hint="eastAsia"/>
        </w:rPr>
        <w:t>b</w:t>
      </w:r>
      <w:r>
        <w:t>)</w:t>
      </w:r>
      <w:r>
        <w:rPr>
          <w:rFonts w:hint="eastAsia"/>
        </w:rPr>
        <w:t>进一步展示</w:t>
      </w:r>
      <w:r>
        <w:t>1550 nm</w:t>
      </w:r>
      <w:r>
        <w:rPr>
          <w:rFonts w:hint="eastAsia"/>
        </w:rPr>
        <w:t>波长下</w:t>
      </w:r>
      <w:r>
        <w:rPr>
          <w:rFonts w:hint="eastAsia"/>
        </w:rPr>
        <w:t>cross</w:t>
      </w:r>
      <w:r>
        <w:rPr>
          <w:rFonts w:hint="eastAsia"/>
        </w:rPr>
        <w:t>端口光功率损耗随脉冲事件的变化：在第</w:t>
      </w:r>
      <w:r>
        <w:rPr>
          <w:rFonts w:hint="eastAsia"/>
        </w:rPr>
        <w:t>1</w:t>
      </w:r>
      <w:r>
        <w:rPr>
          <w:rFonts w:hint="eastAsia"/>
        </w:rPr>
        <w:t>至第</w:t>
      </w:r>
      <w:r>
        <w:rPr>
          <w:rFonts w:hint="eastAsia"/>
        </w:rPr>
        <w:t>8</w:t>
      </w:r>
      <w:r>
        <w:rPr>
          <w:rFonts w:hint="eastAsia"/>
        </w:rPr>
        <w:t>次晶化电脉冲事件过程中，光损耗持续增加，第</w:t>
      </w:r>
      <w:r>
        <w:rPr>
          <w:rFonts w:hint="eastAsia"/>
        </w:rPr>
        <w:t>9</w:t>
      </w:r>
      <w:r>
        <w:rPr>
          <w:rFonts w:hint="eastAsia"/>
        </w:rPr>
        <w:t>次晶化电脉冲事件（</w:t>
      </w:r>
      <w:r>
        <w:rPr>
          <w:rFonts w:hint="eastAsia"/>
        </w:rPr>
        <w:t>5.5 V</w:t>
      </w:r>
      <w:r>
        <w:rPr>
          <w:rFonts w:hint="eastAsia"/>
        </w:rPr>
        <w:t>、</w:t>
      </w:r>
      <w:r>
        <w:rPr>
          <w:rFonts w:hint="eastAsia"/>
        </w:rPr>
        <w:t>~0.4 ms</w:t>
      </w:r>
      <w:r>
        <w:rPr>
          <w:rFonts w:hint="eastAsia"/>
        </w:rPr>
        <w:t>）后，材料完全晶化，器</w:t>
      </w:r>
      <w:r>
        <w:rPr>
          <w:rFonts w:hint="eastAsia"/>
        </w:rPr>
        <w:t>件损耗达到最大值并趋于稳定。第</w:t>
      </w:r>
      <w:r>
        <w:rPr>
          <w:rFonts w:hint="eastAsia"/>
        </w:rPr>
        <w:t>10</w:t>
      </w:r>
      <w:r>
        <w:rPr>
          <w:rFonts w:hint="eastAsia"/>
        </w:rPr>
        <w:t>次非晶化电脉冲事件（</w:t>
      </w:r>
      <w:r>
        <w:rPr>
          <w:rFonts w:hint="eastAsia"/>
        </w:rPr>
        <w:t>8 V</w:t>
      </w:r>
      <w:r>
        <w:rPr>
          <w:rFonts w:hint="eastAsia"/>
        </w:rPr>
        <w:t>，</w:t>
      </w:r>
      <w:r>
        <w:rPr>
          <w:rFonts w:hint="eastAsia"/>
        </w:rPr>
        <w:t xml:space="preserve">5 </w:t>
      </w:r>
      <w:r>
        <w:t>μs</w:t>
      </w:r>
      <w:r>
        <w:rPr>
          <w:rFonts w:hint="eastAsia"/>
        </w:rPr>
        <w:t>）后，光损耗恢复至第</w:t>
      </w:r>
      <w:r>
        <w:rPr>
          <w:rFonts w:hint="eastAsia"/>
        </w:rPr>
        <w:t>5</w:t>
      </w:r>
      <w:r>
        <w:rPr>
          <w:rFonts w:hint="eastAsia"/>
        </w:rPr>
        <w:t>级（误差为</w:t>
      </w:r>
      <w:r>
        <w:rPr>
          <w:rFonts w:hint="eastAsia"/>
        </w:rPr>
        <w:t>0.3 dB</w:t>
      </w:r>
      <w:r>
        <w:rPr>
          <w:rFonts w:hint="eastAsia"/>
        </w:rPr>
        <w:t>），表明相变材料在多次晶化</w:t>
      </w:r>
      <w:r>
        <w:rPr>
          <w:rFonts w:hint="eastAsia"/>
        </w:rPr>
        <w:t>-</w:t>
      </w:r>
      <w:r>
        <w:rPr>
          <w:rFonts w:hint="eastAsia"/>
        </w:rPr>
        <w:t>非晶化循环后能够恢复至某一级状态。在此过程中，器件通过调控电脉冲的强度和时间，使每个状态对应特定的光损耗水平，从而实现了多级控制，表明器件具有良好的可控性。然而，第</w:t>
      </w:r>
      <w:r>
        <w:rPr>
          <w:rFonts w:hint="eastAsia"/>
        </w:rPr>
        <w:t>10</w:t>
      </w:r>
      <w:r>
        <w:rPr>
          <w:rFonts w:hint="eastAsia"/>
        </w:rPr>
        <w:t>次事件后再次施加非晶化电脉冲，光损耗并未进一步改变。这是由于相变材料在多次相变过程中发生相分离现象</w:t>
      </w:r>
      <w:r>
        <w:rPr>
          <w:rFonts w:hint="eastAsia"/>
          <w:vertAlign w:val="superscript"/>
        </w:rPr>
        <w:fldChar w:fldCharType="begin"/>
      </w:r>
      <w:r>
        <w:rPr>
          <w:rFonts w:hint="eastAsia"/>
          <w:vertAlign w:val="superscript"/>
        </w:rPr>
        <w:instrText xml:space="preserve"> ADDIN EN.CITE &lt;EndNote&gt;&lt;Cite&gt;&lt;Author&gt;Zhou&lt;/Author&gt;&lt;</w:instrText>
      </w:r>
      <w:r>
        <w:rPr>
          <w:rFonts w:hint="eastAsia"/>
          <w:vertAlign w:val="superscript"/>
        </w:rPr>
        <w:instrText>Year&gt;2024&lt;/Year&gt;&lt;RecNum&gt;32&lt;/RecNum&gt;&lt;DisplayText&gt;&lt;style face="superscript"&gt;[23]&lt;/style&gt;&lt;/DisplayText&gt;&lt;record&gt;&lt;rec-number&gt;32&lt;/rec-number&gt;&lt;foreign-keys&gt;&lt;key app="EN" db-id="e50s0x59aw9ewee0a2s50ddcapsa25df55z5" timestamp="1741870097"&gt;32&lt;/key&gt;&lt;/foreign-keys&gt;&lt;r</w:instrText>
      </w:r>
      <w:r>
        <w:rPr>
          <w:rFonts w:hint="eastAsia"/>
          <w:vertAlign w:val="superscript"/>
        </w:rPr>
        <w:instrText>ef-type name="Journal Article"&gt;17&lt;/ref-type&gt;&lt;contributors&gt;&lt;authors&gt;&lt;author&gt;Zhou, Wen&lt;/author&gt;&lt;author&gt;Shen, Xueyang&lt;/author&gt;&lt;author&gt;Yang, Xiaolong&lt;/author&gt;&lt;author&gt;Wang, Jiangjing&lt;/author&gt;&lt;author&gt;Zhang, Wei %J International Journal of Extreme Manufacturing&lt;/</w:instrText>
      </w:r>
      <w:r>
        <w:rPr>
          <w:rFonts w:hint="eastAsia"/>
          <w:vertAlign w:val="superscript"/>
        </w:rPr>
        <w:instrText>author&gt;&lt;/authors&gt;&lt;/contributors&gt;&lt;titles&gt;&lt;title&gt;Fabrication and integration of photonic devices for phase-change memory and neuromorphic computing&lt;/title&gt;&lt;/titles&gt;&lt;pages&gt;022001&lt;/pages&gt;&lt;volume&gt;6&lt;/volume&gt;&lt;number&gt;2&lt;/number&gt;&lt;dates&gt;&lt;year&gt;2024&lt;/year&gt;&lt;/dates&gt;&lt;isbn</w:instrText>
      </w:r>
      <w:r>
        <w:rPr>
          <w:rFonts w:hint="eastAsia"/>
          <w:vertAlign w:val="superscript"/>
        </w:rPr>
        <w:instrText>&gt;2631-7990&lt;/isbn&gt;&lt;urls&gt;&lt;/urls&gt;&lt;/record&gt;&lt;/Cite&gt;&lt;/EndNote&gt;</w:instrText>
      </w:r>
      <w:r>
        <w:rPr>
          <w:rFonts w:hint="eastAsia"/>
          <w:vertAlign w:val="superscript"/>
        </w:rPr>
        <w:fldChar w:fldCharType="separate"/>
      </w:r>
      <w:r>
        <w:rPr>
          <w:rFonts w:hint="eastAsia"/>
          <w:vertAlign w:val="superscript"/>
        </w:rPr>
        <w:t>[23]</w:t>
      </w:r>
      <w:r>
        <w:rPr>
          <w:rFonts w:hint="eastAsia"/>
          <w:vertAlign w:val="superscript"/>
        </w:rPr>
        <w:fldChar w:fldCharType="end"/>
      </w:r>
      <w:r>
        <w:rPr>
          <w:rFonts w:hint="eastAsia"/>
        </w:rPr>
        <w:t>，导致材料中不同成分或相态的区域分离。相分离会劣化材料的电学和光学性能，使其不同区域无法有效协同工作，从而影响器件的整体性能，并导致光损耗的不可逆增大。</w:t>
      </w:r>
    </w:p>
    <w:p w14:paraId="1FE12499" w14:textId="77777777" w:rsidR="00497B08" w:rsidRDefault="007C5ED7">
      <w:pPr>
        <w:pStyle w:val="11"/>
        <w:ind w:firstLineChars="0" w:firstLine="0"/>
        <w:rPr>
          <w:b/>
          <w:sz w:val="23"/>
        </w:rPr>
      </w:pPr>
      <w:r>
        <w:rPr>
          <w:b/>
          <w:sz w:val="23"/>
        </w:rPr>
        <w:t>3.2  MZI</w:t>
      </w:r>
      <w:r>
        <w:rPr>
          <w:rFonts w:hint="eastAsia"/>
          <w:b/>
          <w:sz w:val="23"/>
        </w:rPr>
        <w:t>光</w:t>
      </w:r>
      <w:r>
        <w:rPr>
          <w:b/>
          <w:sz w:val="23"/>
        </w:rPr>
        <w:t>开关</w:t>
      </w:r>
      <w:r>
        <w:rPr>
          <w:rFonts w:hint="eastAsia"/>
          <w:b/>
          <w:sz w:val="23"/>
        </w:rPr>
        <w:t>性能</w:t>
      </w:r>
      <w:r>
        <w:rPr>
          <w:b/>
          <w:sz w:val="23"/>
        </w:rPr>
        <w:t>分析</w:t>
      </w:r>
    </w:p>
    <w:p w14:paraId="165A2574" w14:textId="77777777" w:rsidR="00497B08" w:rsidRDefault="007C5ED7">
      <w:pPr>
        <w:pStyle w:val="13"/>
        <w:ind w:firstLineChars="200" w:firstLine="420"/>
        <w:jc w:val="left"/>
        <w:rPr>
          <w:rFonts w:eastAsiaTheme="minorEastAsia"/>
          <w:sz w:val="21"/>
          <w:szCs w:val="21"/>
        </w:rPr>
      </w:pP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lastRenderedPageBreak/>
        <w:t>在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MZI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光开关性能测试的过程中，对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2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个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PIN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加热器进行了电学表征，发现下臂的加热器未能成功激活。已激活的加热器表现出正常的二极管特性，其截止电压约为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1 V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，串联电阻约为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450 Ω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；而未激活的加热器则呈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现极高的电阻（兆欧级别），表明掺杂离子未被充分激活。本文将其归因于快速热退火工艺（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1100 ℃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，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15 s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）的均匀性与条件不足。为此，计划在后续工艺</w:t>
      </w:r>
      <w:r>
        <w:rPr>
          <w:rStyle w:val="af0"/>
          <w:rFonts w:eastAsiaTheme="minorEastAsia" w:hint="eastAsia"/>
          <w:b w:val="0"/>
          <w:color w:val="0F1115"/>
          <w:sz w:val="21"/>
          <w:szCs w:val="21"/>
          <w:shd w:val="clear" w:color="auto" w:fill="FFFFFF"/>
        </w:rPr>
        <w:t>制作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中将退火条件调整为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950 ℃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并持续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10 min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  <w:vertAlign w:val="superscript"/>
        </w:rPr>
        <w:t>[19]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，以确保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PIN</w:t>
      </w:r>
      <w:r>
        <w:rPr>
          <w:rStyle w:val="af0"/>
          <w:rFonts w:eastAsiaTheme="minorEastAsia"/>
          <w:b w:val="0"/>
          <w:color w:val="0F1115"/>
          <w:sz w:val="21"/>
          <w:szCs w:val="21"/>
          <w:shd w:val="clear" w:color="auto" w:fill="FFFFFF"/>
        </w:rPr>
        <w:t>加热器被充分激活。</w:t>
      </w:r>
    </w:p>
    <w:p w14:paraId="631E5596" w14:textId="77777777" w:rsidR="00497B08" w:rsidRDefault="007C5ED7">
      <w:pPr>
        <w:pStyle w:val="11"/>
        <w:ind w:firstLine="420"/>
      </w:pPr>
      <w:r>
        <w:rPr>
          <w:rFonts w:hint="eastAsia"/>
        </w:rPr>
        <w:t>光最初</w:t>
      </w:r>
      <w:r>
        <w:t>从器件</w:t>
      </w:r>
      <w:r>
        <w:t>cross</w:t>
      </w:r>
      <w:r>
        <w:t>端口输出，</w:t>
      </w:r>
      <w:r>
        <w:t>Sb₂Se₃</w:t>
      </w:r>
      <w:r>
        <w:t>处于晶态</w:t>
      </w:r>
      <w:r>
        <w:rPr>
          <w:rFonts w:hint="eastAsia"/>
        </w:rPr>
        <w:t>。</w:t>
      </w:r>
      <w:r>
        <w:t>图</w:t>
      </w:r>
      <w:r>
        <w:t>8(</w:t>
      </w:r>
      <w:r>
        <w:rPr>
          <w:rFonts w:hint="eastAsia"/>
        </w:rPr>
        <w:t>a</w:t>
      </w:r>
      <w:r>
        <w:t>)</w:t>
      </w:r>
      <w:r>
        <w:t>展示</w:t>
      </w:r>
      <w:r>
        <w:rPr>
          <w:rFonts w:hint="eastAsia"/>
        </w:rPr>
        <w:t>了不断</w:t>
      </w:r>
      <w:r>
        <w:t>施加</w:t>
      </w:r>
      <w:r>
        <w:t>8</w:t>
      </w:r>
      <w:r>
        <w:rPr>
          <w:rFonts w:hint="eastAsia"/>
        </w:rPr>
        <w:t xml:space="preserve"> </w:t>
      </w:r>
      <w:r>
        <w:t>V</w:t>
      </w:r>
      <w:r>
        <w:t>、</w:t>
      </w:r>
      <w:r>
        <w:rPr>
          <w:rFonts w:hint="eastAsia"/>
        </w:rPr>
        <w:t>~</w:t>
      </w:r>
      <w:r>
        <w:t>5</w:t>
      </w:r>
      <w:r>
        <w:rPr>
          <w:rFonts w:hint="eastAsia"/>
        </w:rPr>
        <w:t xml:space="preserve"> </w:t>
      </w:r>
      <w:r>
        <w:t>μs</w:t>
      </w:r>
      <w:r>
        <w:rPr>
          <w:rFonts w:hint="eastAsia"/>
        </w:rPr>
        <w:t>（若无明显光损耗变化则每次增加</w:t>
      </w:r>
      <w:r>
        <w:rPr>
          <w:rFonts w:hint="eastAsia"/>
        </w:rPr>
        <w:t>20 ns,</w:t>
      </w:r>
      <w:r>
        <w:rPr>
          <w:rFonts w:hint="eastAsia"/>
        </w:rPr>
        <w:t>直至无明显变化）</w:t>
      </w:r>
      <w:r>
        <w:t>非晶化电脉冲</w:t>
      </w:r>
      <w:r>
        <w:rPr>
          <w:rFonts w:hint="eastAsia"/>
        </w:rPr>
        <w:t>(</w:t>
      </w:r>
      <w:r>
        <w:rPr>
          <w:rFonts w:hint="eastAsia"/>
        </w:rPr>
        <w:t>能量约为</w:t>
      </w:r>
      <w:r>
        <w:rPr>
          <w:rFonts w:hint="eastAsia"/>
        </w:rPr>
        <w:t xml:space="preserve">6.4 </w:t>
      </w:r>
      <w:r>
        <w:t>μ</w:t>
      </w:r>
      <w:r>
        <w:rPr>
          <w:rFonts w:hint="eastAsia"/>
        </w:rPr>
        <w:t>J)</w:t>
      </w:r>
      <w:r>
        <w:t>后，</w:t>
      </w:r>
      <w:r>
        <w:rPr>
          <w:rFonts w:hint="eastAsia"/>
        </w:rPr>
        <w:t>input</w:t>
      </w:r>
      <w:r>
        <w:rPr>
          <w:rFonts w:hint="eastAsia"/>
        </w:rPr>
        <w:t>端口至</w:t>
      </w:r>
      <w:r>
        <w:t>cross</w:t>
      </w:r>
      <w:r>
        <w:t>端口的多级</w:t>
      </w:r>
      <w:r>
        <w:rPr>
          <w:rFonts w:hint="eastAsia"/>
        </w:rPr>
        <w:t>光损</w:t>
      </w:r>
      <w:r>
        <w:t>耗情况</w:t>
      </w:r>
      <w:r>
        <w:rPr>
          <w:rFonts w:hint="eastAsia"/>
        </w:rPr>
        <w:t>，数据经过</w:t>
      </w:r>
      <w:r>
        <w:rPr>
          <w:rFonts w:hint="eastAsia"/>
        </w:rPr>
        <w:t>Savitsky-Golay</w:t>
      </w:r>
      <w:r>
        <w:rPr>
          <w:rFonts w:hint="eastAsia"/>
        </w:rPr>
        <w:t>滤波器（窗口大小为</w:t>
      </w:r>
      <w:r>
        <w:rPr>
          <w:rFonts w:hint="eastAsia"/>
        </w:rPr>
        <w:t>100</w:t>
      </w:r>
      <w:r>
        <w:rPr>
          <w:rFonts w:hint="eastAsia"/>
        </w:rPr>
        <w:t>）平滑处理，未平滑的数据在背景中以阴影形式呈现。</w:t>
      </w:r>
      <w:r>
        <w:t>器件从完全晶态</w:t>
      </w:r>
      <w:r>
        <w:rPr>
          <w:rFonts w:hint="eastAsia"/>
        </w:rPr>
        <w:t>切换到</w:t>
      </w:r>
      <w:r>
        <w:t>完全</w:t>
      </w:r>
      <w:r>
        <w:rPr>
          <w:rFonts w:hint="eastAsia"/>
        </w:rPr>
        <w:t>非</w:t>
      </w:r>
      <w:r>
        <w:t>晶态，消光比超过</w:t>
      </w:r>
      <w:r>
        <w:t>14 dB</w:t>
      </w:r>
      <w:r>
        <w:t>。每一级的光</w:t>
      </w:r>
      <w:r>
        <w:rPr>
          <w:rFonts w:hint="eastAsia"/>
        </w:rPr>
        <w:t>损</w:t>
      </w:r>
      <w:r>
        <w:t>耗变化</w:t>
      </w:r>
      <w:r>
        <w:rPr>
          <w:rFonts w:hint="eastAsia"/>
        </w:rPr>
        <w:t>清晰可见</w:t>
      </w:r>
      <w:r>
        <w:t>，表明每次脉冲事件均导致光</w:t>
      </w:r>
      <w:r>
        <w:rPr>
          <w:rFonts w:hint="eastAsia"/>
        </w:rPr>
        <w:t>损</w:t>
      </w:r>
      <w:r>
        <w:t>耗的逐步增加，反映了相变材料在脉冲作用下的非晶化过程。图</w:t>
      </w:r>
      <w:r>
        <w:t>8(</w:t>
      </w:r>
      <w:r>
        <w:rPr>
          <w:rFonts w:hint="eastAsia"/>
        </w:rPr>
        <w:t>b</w:t>
      </w:r>
      <w:r>
        <w:t>)</w:t>
      </w:r>
      <w:r>
        <w:t>进一步展示了</w:t>
      </w:r>
      <w:r>
        <w:t>1550 nm</w:t>
      </w:r>
      <w:r>
        <w:t>波长下光</w:t>
      </w:r>
      <w:r>
        <w:rPr>
          <w:rFonts w:hint="eastAsia"/>
        </w:rPr>
        <w:t>功率损</w:t>
      </w:r>
      <w:r>
        <w:t>耗随脉冲事件的变化：前</w:t>
      </w:r>
      <w:r>
        <w:t>8</w:t>
      </w:r>
      <w:r>
        <w:t>次脉冲为非晶化脉冲，第</w:t>
      </w:r>
      <w:r>
        <w:t>9</w:t>
      </w:r>
      <w:r>
        <w:t>次和第</w:t>
      </w:r>
      <w:r>
        <w:t>15</w:t>
      </w:r>
      <w:r>
        <w:t>次脉冲为晶化脉冲（</w:t>
      </w:r>
      <w:r>
        <w:t>4</w:t>
      </w:r>
      <w:r>
        <w:rPr>
          <w:rFonts w:hint="eastAsia"/>
        </w:rPr>
        <w:t xml:space="preserve"> </w:t>
      </w:r>
      <w:r>
        <w:t>V</w:t>
      </w:r>
      <w:r>
        <w:t>，</w:t>
      </w:r>
      <w:r>
        <w:t>1</w:t>
      </w:r>
      <w:r>
        <w:rPr>
          <w:rFonts w:hint="eastAsia"/>
        </w:rPr>
        <w:t xml:space="preserve"> </w:t>
      </w:r>
      <w:r>
        <w:t>ms</w:t>
      </w:r>
      <w:r>
        <w:rPr>
          <w:rFonts w:hint="eastAsia"/>
        </w:rPr>
        <w:t>，能量约为</w:t>
      </w:r>
      <w:r>
        <w:rPr>
          <w:rFonts w:hint="eastAsia"/>
        </w:rPr>
        <w:t>0.32 mJ</w:t>
      </w:r>
      <w:r>
        <w:t>）</w:t>
      </w:r>
      <w:r>
        <w:rPr>
          <w:rFonts w:hint="eastAsia"/>
        </w:rPr>
        <w:t>，展现出低能耗的特性。两</w:t>
      </w:r>
      <w:r>
        <w:t>次循环</w:t>
      </w:r>
      <w:r>
        <w:rPr>
          <w:rFonts w:hint="eastAsia"/>
        </w:rPr>
        <w:t>的过程表明，</w:t>
      </w:r>
      <w:r>
        <w:t>器件</w:t>
      </w:r>
      <w:r>
        <w:rPr>
          <w:rFonts w:hint="eastAsia"/>
        </w:rPr>
        <w:t>可通过调节电压与时间实现多</w:t>
      </w:r>
      <w:r>
        <w:rPr>
          <w:rFonts w:hint="eastAsia"/>
        </w:rPr>
        <w:t>级操作，</w:t>
      </w:r>
      <w:r>
        <w:t>且脉冲事件</w:t>
      </w:r>
      <w:r>
        <w:rPr>
          <w:rFonts w:hint="eastAsia"/>
        </w:rPr>
        <w:t>引起</w:t>
      </w:r>
      <w:r>
        <w:t>的损耗变化呈现规律性，</w:t>
      </w:r>
      <w:r>
        <w:rPr>
          <w:rFonts w:hint="eastAsia"/>
        </w:rPr>
        <w:t>进一步说明器件</w:t>
      </w:r>
      <w:r>
        <w:t>具有</w:t>
      </w:r>
      <w:r>
        <w:rPr>
          <w:rFonts w:hint="eastAsia"/>
        </w:rPr>
        <w:t>良好的</w:t>
      </w:r>
      <w:r>
        <w:t>可控性。施加晶化脉冲后，光功率损耗显著下降并恢复至较低水平，</w:t>
      </w:r>
      <w:r>
        <w:rPr>
          <w:rFonts w:hint="eastAsia"/>
        </w:rPr>
        <w:t>展现</w:t>
      </w:r>
      <w:r>
        <w:t>了相变材料在不同状态间灵活切换的能力。这一结果凸显了相变材料在光信号精确调控和多级调制中的潜力，为</w:t>
      </w:r>
      <w:r>
        <w:rPr>
          <w:rFonts w:hint="eastAsia"/>
        </w:rPr>
        <w:t>低功耗</w:t>
      </w:r>
      <w:r>
        <w:t>光开关及光调制等应用提供了重要支持。</w:t>
      </w:r>
    </w:p>
    <w:p w14:paraId="55206A9A" w14:textId="77777777" w:rsidR="00497B08" w:rsidRDefault="007C5ED7">
      <w:pPr>
        <w:jc w:val="center"/>
        <w:rPr>
          <w:b/>
          <w:bCs/>
        </w:rPr>
      </w:pPr>
      <w:r>
        <w:rPr>
          <w:b/>
          <w:bCs/>
        </w:rPr>
        <w:object w:dxaOrig="3686" w:dyaOrig="2719" w14:anchorId="26156E89">
          <v:shape id="_x0000_i1037" type="#_x0000_t75" style="width:184.3pt;height:135.95pt" o:ole="">
            <v:imagedata r:id="rId31" o:title="" croptop="1473f" cropbottom="2403f"/>
            <o:lock v:ext="edit" aspectratio="f"/>
          </v:shape>
          <o:OLEObject Type="Embed" ProgID="Visio.Drawing.15" ShapeID="_x0000_i1037" DrawAspect="Content" ObjectID="_1825242019" r:id="rId32"/>
        </w:object>
      </w:r>
      <w:r>
        <w:rPr>
          <w:b/>
          <w:bCs/>
        </w:rPr>
        <w:object w:dxaOrig="3686" w:dyaOrig="2719" w14:anchorId="1849103B">
          <v:shape id="_x0000_i1038" type="#_x0000_t75" style="width:184.3pt;height:135.95pt" o:ole="">
            <v:imagedata r:id="rId33" o:title="" croptop="1587f" cropbottom="2244f"/>
            <o:lock v:ext="edit" aspectratio="f"/>
          </v:shape>
          <o:OLEObject Type="Embed" ProgID="Visio.Drawing.15" ShapeID="_x0000_i1038" DrawAspect="Content" ObjectID="_1825242020" r:id="rId34"/>
        </w:object>
      </w:r>
    </w:p>
    <w:p w14:paraId="57A68B48" w14:textId="77777777" w:rsidR="00497B08" w:rsidRDefault="007C5ED7">
      <w:pPr>
        <w:pStyle w:val="11"/>
        <w:ind w:firstLine="420"/>
        <w:rPr>
          <w:rStyle w:val="13Char"/>
        </w:rPr>
      </w:pPr>
      <w:r>
        <w:rPr>
          <w:rFonts w:hint="eastAsia"/>
        </w:rPr>
        <w:t xml:space="preserve">          </w:t>
      </w:r>
      <w:r>
        <w:rPr>
          <w:rStyle w:val="13Char"/>
          <w:rFonts w:hint="eastAsia"/>
          <w:sz w:val="15"/>
          <w:szCs w:val="15"/>
        </w:rPr>
        <w:t xml:space="preserve">(a) </w:t>
      </w:r>
      <w:r>
        <w:rPr>
          <w:rStyle w:val="13Char"/>
          <w:rFonts w:ascii="宋体" w:eastAsia="宋体" w:hAnsi="宋体" w:cs="宋体" w:hint="eastAsia"/>
          <w:sz w:val="15"/>
          <w:szCs w:val="15"/>
        </w:rPr>
        <w:t>不同级别损耗曲线图</w:t>
      </w:r>
      <w:r>
        <w:rPr>
          <w:rStyle w:val="13Char"/>
          <w:rFonts w:hint="eastAsia"/>
        </w:rPr>
        <w:t xml:space="preserve">                       </w:t>
      </w:r>
      <w:r>
        <w:rPr>
          <w:rStyle w:val="13Char"/>
          <w:rFonts w:hint="eastAsia"/>
          <w:sz w:val="15"/>
          <w:szCs w:val="15"/>
        </w:rPr>
        <w:t xml:space="preserve">(b) </w:t>
      </w:r>
      <w:r>
        <w:rPr>
          <w:rStyle w:val="13Char"/>
          <w:rFonts w:ascii="宋体" w:eastAsia="宋体" w:hAnsi="宋体" w:cs="宋体" w:hint="eastAsia"/>
          <w:sz w:val="15"/>
          <w:szCs w:val="15"/>
        </w:rPr>
        <w:t>光功率损耗与电脉冲事件关系图</w:t>
      </w:r>
    </w:p>
    <w:p w14:paraId="2B3A343B" w14:textId="77777777" w:rsidR="00497B08" w:rsidRDefault="007C5ED7">
      <w:pPr>
        <w:pStyle w:val="11"/>
        <w:ind w:firstLine="360"/>
        <w:jc w:val="center"/>
      </w:pPr>
      <w:r>
        <w:rPr>
          <w:rStyle w:val="13Char"/>
          <w:rFonts w:hint="eastAsia"/>
        </w:rPr>
        <w:t>图</w:t>
      </w:r>
      <w:r>
        <w:rPr>
          <w:rStyle w:val="13Char"/>
        </w:rPr>
        <w:t>8</w:t>
      </w:r>
      <w:r>
        <w:rPr>
          <w:rStyle w:val="13Char"/>
          <w:rFonts w:hint="eastAsia"/>
        </w:rPr>
        <w:t xml:space="preserve">  MZI cross</w:t>
      </w:r>
      <w:r>
        <w:rPr>
          <w:rStyle w:val="13Char"/>
          <w:rFonts w:hint="eastAsia"/>
        </w:rPr>
        <w:t>端口的多级光功率损耗与电脉冲事件的关系图</w:t>
      </w:r>
    </w:p>
    <w:p w14:paraId="70F8C2B3" w14:textId="356235AE" w:rsidR="00497B08" w:rsidRPr="00C179F4" w:rsidRDefault="002156CF" w:rsidP="00C179F4">
      <w:pPr>
        <w:pStyle w:val="11"/>
        <w:spacing w:line="360" w:lineRule="exact"/>
        <w:ind w:firstLine="420"/>
        <w:rPr>
          <w:rFonts w:hint="eastAsia"/>
        </w:rPr>
      </w:pPr>
      <w:r w:rsidRPr="00C179F4">
        <w:rPr>
          <w:rFonts w:hint="eastAsia"/>
        </w:rPr>
        <w:t>综</w:t>
      </w:r>
      <w:r w:rsidRPr="00C179F4">
        <w:t>上所述，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ADC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光开关凭借其亚微米级耦合长度（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23.65 μm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）和较高的串扰抑制能力，更适用于</w:t>
      </w:r>
      <w:r w:rsidR="00C179F4" w:rsidRPr="00C179F4">
        <w:rPr>
          <w:rStyle w:val="af0"/>
          <w:rFonts w:ascii="Segoe UI" w:hAnsi="Segoe UI" w:cs="Segoe UI"/>
          <w:b w:val="0"/>
          <w:color w:val="000000"/>
          <w:spacing w:val="-2"/>
          <w:bdr w:val="none" w:sz="0" w:space="0" w:color="auto" w:frame="1"/>
          <w:shd w:val="clear" w:color="auto" w:fill="FFFFFF"/>
        </w:rPr>
        <w:t>尺寸严苛、追求高集成度的场景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，但其性能对波导间距、刻蚀精度等工艺因素极为敏感，需依托高精度制备工艺保障一致性。而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MZI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光开关虽尺寸较大，但结构容差性强，在</w:t>
      </w:r>
      <w:r w:rsidR="00C179F4" w:rsidRPr="00C179F4">
        <w:rPr>
          <w:rStyle w:val="af0"/>
          <w:rFonts w:ascii="Segoe UI" w:hAnsi="Segoe UI" w:cs="Segoe UI"/>
          <w:b w:val="0"/>
          <w:color w:val="000000"/>
          <w:spacing w:val="-2"/>
          <w:bdr w:val="none" w:sz="0" w:space="0" w:color="auto" w:frame="1"/>
          <w:shd w:val="clear" w:color="auto" w:fill="FFFFFF"/>
        </w:rPr>
        <w:t>工艺精度受限或对能耗敏感的应用中更具优势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，其单次调控最大能耗仅为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0.32 mJ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，且可通过优化退火工艺（如调整为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950</w:t>
      </w:r>
      <w:r w:rsidR="00C179F4" w:rsidRPr="00C179F4">
        <w:rPr>
          <w:rFonts w:ascii="微软雅黑" w:eastAsia="微软雅黑" w:hAnsi="微软雅黑" w:cs="微软雅黑" w:hint="eastAsia"/>
          <w:color w:val="000000"/>
          <w:spacing w:val="-2"/>
          <w:shd w:val="clear" w:color="auto" w:fill="FFFFFF"/>
        </w:rPr>
        <w:t>℃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、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10</w:t>
      </w:r>
      <w:r w:rsidR="007C5ED7">
        <w:rPr>
          <w:rFonts w:ascii="Segoe UI" w:hAnsi="Segoe UI" w:cs="Segoe UI" w:hint="eastAsia"/>
          <w:color w:val="000000"/>
          <w:spacing w:val="-2"/>
          <w:shd w:val="clear" w:color="auto" w:fill="FFFFFF"/>
        </w:rPr>
        <w:t xml:space="preserve"> </w:t>
      </w:r>
      <w:r w:rsidR="007C5ED7">
        <w:rPr>
          <w:rFonts w:ascii="Segoe UI" w:hAnsi="Segoe UI" w:cs="Segoe UI"/>
          <w:color w:val="000000"/>
          <w:spacing w:val="-2"/>
          <w:shd w:val="clear" w:color="auto" w:fill="FFFFFF"/>
        </w:rPr>
        <w:t>min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）进一步提升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PIN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加热器激活率与稳定性。然而，当前器件在循环次数与调控级数方面仍受限于相变材料的疲劳特性（如相分离）及工艺均匀性。后续研究可通过优化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Sb₂Se₃</w:t>
      </w:r>
      <w:r w:rsidR="00C179F4" w:rsidRPr="00C179F4">
        <w:rPr>
          <w:rFonts w:ascii="Segoe UI" w:hAnsi="Segoe UI" w:cs="Segoe UI"/>
          <w:color w:val="000000"/>
          <w:spacing w:val="-2"/>
          <w:shd w:val="clear" w:color="auto" w:fill="FFFFFF"/>
        </w:rPr>
        <w:t>沉积工艺、引入梯度脉冲调控策略，进一步提升器件的可靠性与级数精度。</w:t>
      </w:r>
    </w:p>
    <w:p w14:paraId="4BBCC207" w14:textId="77777777" w:rsidR="00497B08" w:rsidRDefault="00497B08">
      <w:pPr>
        <w:pStyle w:val="11"/>
        <w:ind w:firstLine="420"/>
      </w:pPr>
    </w:p>
    <w:p w14:paraId="5B48C966" w14:textId="77777777" w:rsidR="00497B08" w:rsidRDefault="007C5ED7">
      <w:pPr>
        <w:pStyle w:val="08"/>
        <w:numPr>
          <w:ilvl w:val="0"/>
          <w:numId w:val="0"/>
        </w:numPr>
      </w:pPr>
      <w:r>
        <w:rPr>
          <w:rFonts w:hint="eastAsia"/>
        </w:rPr>
        <w:t>4</w:t>
      </w:r>
      <w:r>
        <w:rPr>
          <w:rFonts w:hint="eastAsia"/>
        </w:rPr>
        <w:t>结束语</w:t>
      </w:r>
    </w:p>
    <w:p w14:paraId="1263335C" w14:textId="5EACD2F6" w:rsidR="00497B08" w:rsidRPr="00C179F4" w:rsidRDefault="007C5ED7">
      <w:pPr>
        <w:pStyle w:val="11"/>
        <w:ind w:firstLine="420"/>
      </w:pPr>
      <w:r>
        <w:rPr>
          <w:rFonts w:hint="eastAsia"/>
        </w:rPr>
        <w:t>本文提出了一种硅基</w:t>
      </w:r>
      <w:r>
        <w:t>Sb₂Se₃</w:t>
      </w:r>
      <w:r>
        <w:rPr>
          <w:rFonts w:hint="eastAsia"/>
        </w:rPr>
        <w:t>相变材料混合波导集成的非易失性光开关，并验证了两种结构下的光开关性能。其中，在</w:t>
      </w:r>
      <w:r>
        <w:rPr>
          <w:rFonts w:hint="eastAsia"/>
        </w:rPr>
        <w:t>1550 nm</w:t>
      </w:r>
      <w:r>
        <w:rPr>
          <w:rFonts w:hint="eastAsia"/>
        </w:rPr>
        <w:t>处，</w:t>
      </w:r>
      <w:r>
        <w:t>ADC</w:t>
      </w:r>
      <w:r>
        <w:rPr>
          <w:rFonts w:hint="eastAsia"/>
        </w:rPr>
        <w:t>光开关展现非晶态</w:t>
      </w:r>
      <w:r>
        <w:rPr>
          <w:rFonts w:hint="eastAsia"/>
        </w:rPr>
        <w:t>/</w:t>
      </w:r>
      <w:r>
        <w:rPr>
          <w:rFonts w:hint="eastAsia"/>
        </w:rPr>
        <w:t>晶态串扰为</w:t>
      </w:r>
      <w:r>
        <w:rPr>
          <w:rFonts w:hint="eastAsia"/>
        </w:rPr>
        <w:t>-11/-22 dB</w:t>
      </w:r>
      <w:r>
        <w:rPr>
          <w:rFonts w:hint="eastAsia"/>
        </w:rPr>
        <w:t>，插入损耗分别约为</w:t>
      </w:r>
      <w:r>
        <w:rPr>
          <w:rFonts w:hint="eastAsia"/>
        </w:rPr>
        <w:t>0.4 dB</w:t>
      </w:r>
      <w:r>
        <w:rPr>
          <w:rFonts w:hint="eastAsia"/>
        </w:rPr>
        <w:t>与</w:t>
      </w:r>
      <w:r>
        <w:rPr>
          <w:rFonts w:hint="eastAsia"/>
        </w:rPr>
        <w:t>1 dB</w:t>
      </w:r>
      <w:r>
        <w:rPr>
          <w:rFonts w:hint="eastAsia"/>
        </w:rPr>
        <w:t>，耦合长度优化至</w:t>
      </w:r>
      <w:r>
        <w:rPr>
          <w:rFonts w:hint="eastAsia"/>
        </w:rPr>
        <w:t>23.</w:t>
      </w:r>
      <w:r>
        <w:rPr>
          <w:rFonts w:hint="eastAsia"/>
        </w:rPr>
        <w:t>65</w:t>
      </w:r>
      <w:r>
        <w:rPr>
          <w:rFonts w:hint="eastAsia"/>
        </w:rPr>
        <w:t xml:space="preserve"> </w:t>
      </w:r>
      <w:r>
        <w:t>μm</w:t>
      </w:r>
      <w:r>
        <w:rPr>
          <w:rFonts w:hint="eastAsia"/>
        </w:rPr>
        <w:t>，且成功实现了多级电控操作，展现出优异的串扰性能、高紧凑性和良好的可控性。在</w:t>
      </w:r>
      <w:r>
        <w:rPr>
          <w:rFonts w:hint="eastAsia"/>
        </w:rPr>
        <w:t>MZI</w:t>
      </w:r>
      <w:r>
        <w:rPr>
          <w:rFonts w:hint="eastAsia"/>
        </w:rPr>
        <w:t>光开关中，同样实现了多级电</w:t>
      </w:r>
      <w:r>
        <w:rPr>
          <w:rFonts w:hint="eastAsia"/>
        </w:rPr>
        <w:lastRenderedPageBreak/>
        <w:t>控调制，非晶态与晶态之间的消</w:t>
      </w:r>
      <w:r>
        <w:rPr>
          <w:rFonts w:hint="eastAsia"/>
        </w:rPr>
        <w:t>光比超过</w:t>
      </w:r>
      <w:r>
        <w:rPr>
          <w:rFonts w:hint="eastAsia"/>
        </w:rPr>
        <w:t>14 dB</w:t>
      </w:r>
      <w:r>
        <w:rPr>
          <w:rFonts w:hint="eastAsia"/>
        </w:rPr>
        <w:t>，且单次调控时最大能量消耗仅</w:t>
      </w:r>
      <w:r>
        <w:rPr>
          <w:rFonts w:hint="eastAsia"/>
        </w:rPr>
        <w:t>~0.32 mJ</w:t>
      </w:r>
      <w:r>
        <w:rPr>
          <w:rFonts w:hint="eastAsia"/>
        </w:rPr>
        <w:t>，表现出低能耗与良好的可控性。</w:t>
      </w:r>
      <w:r>
        <w:rPr>
          <w:rFonts w:hint="eastAsia"/>
        </w:rPr>
        <w:t>该研究结果为低功耗、紧凑型、非易失可编程集成光子开关的实现提供了重要技术支持。</w:t>
      </w:r>
    </w:p>
    <w:p w14:paraId="02B61A15" w14:textId="77777777" w:rsidR="00497B08" w:rsidRDefault="00497B08">
      <w:pPr>
        <w:pStyle w:val="11"/>
        <w:ind w:firstLine="420"/>
        <w:rPr>
          <w:color w:val="2B00FF"/>
        </w:rPr>
      </w:pPr>
    </w:p>
    <w:p w14:paraId="1F1339F3" w14:textId="77777777" w:rsidR="00497B08" w:rsidRDefault="00497B08">
      <w:pPr>
        <w:pStyle w:val="11"/>
        <w:ind w:firstLine="420"/>
        <w:rPr>
          <w:color w:val="2B00FF"/>
        </w:rPr>
      </w:pPr>
    </w:p>
    <w:p w14:paraId="3FA2DA19" w14:textId="77777777" w:rsidR="00497B08" w:rsidRDefault="007C5ED7">
      <w:pPr>
        <w:pStyle w:val="14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参考文献</w:t>
      </w:r>
    </w:p>
    <w:p w14:paraId="6595D21D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[1]CHEN R, FANG Z, PEREZ C</w:t>
      </w:r>
      <w:r>
        <w:rPr>
          <w:rFonts w:hint="eastAsia"/>
        </w:rPr>
        <w:t>, et al. Non-volatile</w:t>
      </w:r>
      <w:r>
        <w:rPr>
          <w:rFonts w:hint="eastAsia"/>
        </w:rPr>
        <w:t xml:space="preserve"> electrically programmable integrated photonics with a 5-bit operation[J]. Nature Communications, 2023, 14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: </w:t>
      </w:r>
      <w:r>
        <w:rPr>
          <w:rFonts w:hint="eastAsia"/>
        </w:rPr>
        <w:t>346</w:t>
      </w:r>
      <w:r>
        <w:t>5-1-3465-10</w:t>
      </w:r>
      <w:r>
        <w:rPr>
          <w:rFonts w:hint="eastAsia"/>
        </w:rPr>
        <w:t>.</w:t>
      </w:r>
    </w:p>
    <w:p w14:paraId="3FAA84FE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[2]</w:t>
      </w:r>
      <w:r>
        <w:rPr>
          <w:rFonts w:hint="eastAsia"/>
        </w:rPr>
        <w:t>S</w:t>
      </w:r>
      <w:r>
        <w:t>HEN Y, HARRIS N C, SKIRLO</w:t>
      </w:r>
      <w:r>
        <w:rPr>
          <w:rFonts w:hint="eastAsia"/>
        </w:rPr>
        <w:t xml:space="preserve"> S, et al. Deep learning with coherent nanophotonic circuits[J]. Nature photonics, 2017, 11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</w:t>
      </w:r>
      <w:r>
        <w:rPr>
          <w:rFonts w:hint="eastAsia"/>
        </w:rPr>
        <w:t>: 4</w:t>
      </w:r>
      <w:r>
        <w:rPr>
          <w:rFonts w:hint="eastAsia"/>
        </w:rPr>
        <w:t>41-446.</w:t>
      </w:r>
    </w:p>
    <w:p w14:paraId="0BBCD1AE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[3]CAPMANY J, GASULLA I, P</w:t>
      </w:r>
      <w:r>
        <w:rPr>
          <w:rFonts w:hint="eastAsia"/>
        </w:rPr>
        <w:t>É</w:t>
      </w:r>
      <w:r>
        <w:t>REZ</w:t>
      </w:r>
      <w:r>
        <w:rPr>
          <w:rFonts w:hint="eastAsia"/>
        </w:rPr>
        <w:t xml:space="preserve"> D. The programmable processor[J]. Nature Photonics, 2016, 10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: 6-8.</w:t>
      </w:r>
    </w:p>
    <w:p w14:paraId="65C4A5AC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[4]</w:t>
      </w:r>
      <w:r>
        <w:rPr>
          <w:rFonts w:hint="eastAsia"/>
        </w:rPr>
        <w:t xml:space="preserve">Harris N C, Steinbrecher G R, Prabhu M, et al. Quantum transport simulations in a programmable nanophotonic processor[J]. Nature Photonics, </w:t>
      </w:r>
      <w:r>
        <w:rPr>
          <w:rFonts w:hint="eastAsia"/>
        </w:rPr>
        <w:t>2017, 11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</w:t>
      </w:r>
      <w:r>
        <w:rPr>
          <w:rFonts w:hint="eastAsia"/>
        </w:rPr>
        <w:t>: 447-452.</w:t>
      </w:r>
    </w:p>
    <w:p w14:paraId="4414B0CB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[5]ZHANG W, YAO</w:t>
      </w:r>
      <w:r>
        <w:rPr>
          <w:rFonts w:hint="eastAsia"/>
        </w:rPr>
        <w:t xml:space="preserve"> J. Photonic integrated field-programmable disk array signal processor[J]. Nature communications, 2020, 11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: </w:t>
      </w:r>
      <w:r>
        <w:rPr>
          <w:rFonts w:hint="eastAsia"/>
        </w:rPr>
        <w:t>406</w:t>
      </w:r>
      <w:r>
        <w:t>-1-406-9</w:t>
      </w:r>
    </w:p>
    <w:p w14:paraId="68CF3881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[6]WANG C, ZHANG M, CHEN</w:t>
      </w:r>
      <w:r>
        <w:rPr>
          <w:rFonts w:hint="eastAsia"/>
        </w:rPr>
        <w:t xml:space="preserve"> X, et al. Integrated lithium niobate electro-optic modulators operating</w:t>
      </w:r>
      <w:r>
        <w:rPr>
          <w:rFonts w:hint="eastAsia"/>
        </w:rPr>
        <w:t xml:space="preserve"> at CMOS-compatible voltages[J]. Nature, 2018, 562</w:t>
      </w:r>
      <w:r>
        <w:rPr>
          <w:rFonts w:hint="eastAsia"/>
        </w:rPr>
        <w:t>（</w:t>
      </w:r>
      <w:r>
        <w:rPr>
          <w:rFonts w:hint="eastAsia"/>
        </w:rPr>
        <w:t>7725</w:t>
      </w:r>
      <w:r>
        <w:rPr>
          <w:rFonts w:hint="eastAsia"/>
        </w:rPr>
        <w:t>）</w:t>
      </w:r>
      <w:r>
        <w:rPr>
          <w:rFonts w:hint="eastAsia"/>
        </w:rPr>
        <w:t>: 101-104.</w:t>
      </w:r>
    </w:p>
    <w:p w14:paraId="70B7A81E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[7]</w:t>
      </w:r>
      <w:r>
        <w:rPr>
          <w:rFonts w:hint="eastAsia"/>
        </w:rPr>
        <w:t>PÉ</w:t>
      </w:r>
      <w:r>
        <w:t xml:space="preserve">REZ D, GASULLA I, CRUDGINGTON </w:t>
      </w:r>
      <w:r>
        <w:rPr>
          <w:rFonts w:hint="eastAsia"/>
        </w:rPr>
        <w:t>L, et al. Multipurpose silicon photonics signal processor core[J]. Nature communications, 2017, 8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:</w:t>
      </w:r>
      <w:r>
        <w:rPr>
          <w:rFonts w:hint="eastAsia"/>
        </w:rPr>
        <w:t xml:space="preserve"> 636</w:t>
      </w:r>
      <w:r>
        <w:t>-1-636-9</w:t>
      </w:r>
      <w:r>
        <w:rPr>
          <w:rFonts w:hint="eastAsia"/>
        </w:rPr>
        <w:t>.</w:t>
      </w:r>
    </w:p>
    <w:p w14:paraId="50B97F62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[8]BOGAERTS W, P</w:t>
      </w:r>
      <w:r>
        <w:rPr>
          <w:rFonts w:hint="eastAsia"/>
        </w:rPr>
        <w:t>É</w:t>
      </w:r>
      <w:r>
        <w:t xml:space="preserve">REZ D, CAPMANY </w:t>
      </w:r>
      <w:r>
        <w:rPr>
          <w:rFonts w:hint="eastAsia"/>
        </w:rPr>
        <w:t>J, e</w:t>
      </w:r>
      <w:r>
        <w:rPr>
          <w:rFonts w:hint="eastAsia"/>
        </w:rPr>
        <w:t>t al. Programmable photonic circuits[J]. Nature, 2020, 586</w:t>
      </w:r>
      <w:r>
        <w:rPr>
          <w:rFonts w:hint="eastAsia"/>
        </w:rPr>
        <w:t>（</w:t>
      </w:r>
      <w:r>
        <w:rPr>
          <w:rFonts w:hint="eastAsia"/>
        </w:rPr>
        <w:t>7828</w:t>
      </w:r>
      <w:r>
        <w:rPr>
          <w:rFonts w:hint="eastAsia"/>
        </w:rPr>
        <w:t>）</w:t>
      </w:r>
      <w:r>
        <w:rPr>
          <w:rFonts w:hint="eastAsia"/>
        </w:rPr>
        <w:t>: 207-216.</w:t>
      </w:r>
    </w:p>
    <w:p w14:paraId="7758AF6F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[9]</w:t>
      </w:r>
      <w:r>
        <w:rPr>
          <w:rFonts w:hint="eastAsia"/>
        </w:rPr>
        <w:t>Y</w:t>
      </w:r>
      <w:r>
        <w:t xml:space="preserve">ANG X, LU L, LI </w:t>
      </w:r>
      <w:r>
        <w:rPr>
          <w:rFonts w:hint="eastAsia"/>
        </w:rPr>
        <w:t>Y, et al. Non-Volatile Optical Switch Element Enabled by Low-Loss Phase Change Material[J]. Advanced Functional Materials, 2023, 33</w:t>
      </w:r>
      <w:r>
        <w:rPr>
          <w:rFonts w:hint="eastAsia"/>
        </w:rPr>
        <w:t>（</w:t>
      </w:r>
      <w:r>
        <w:rPr>
          <w:rFonts w:hint="eastAsia"/>
        </w:rPr>
        <w:t>42</w:t>
      </w:r>
      <w:r>
        <w:rPr>
          <w:rFonts w:hint="eastAsia"/>
        </w:rPr>
        <w:t>）</w:t>
      </w:r>
      <w:r>
        <w:rPr>
          <w:rFonts w:hint="eastAsia"/>
        </w:rPr>
        <w:t xml:space="preserve">: </w:t>
      </w:r>
      <w:r>
        <w:rPr>
          <w:rFonts w:hint="eastAsia"/>
        </w:rPr>
        <w:t>2304601</w:t>
      </w:r>
      <w:r>
        <w:t>-1-2304601-10</w:t>
      </w:r>
    </w:p>
    <w:p w14:paraId="204F378D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[10]</w:t>
      </w:r>
      <w:r>
        <w:rPr>
          <w:rFonts w:hint="eastAsia"/>
        </w:rPr>
        <w:t>C</w:t>
      </w:r>
      <w:r>
        <w:t xml:space="preserve">HEN R, FANG Z, MILLER </w:t>
      </w:r>
      <w:r>
        <w:rPr>
          <w:rFonts w:hint="eastAsia"/>
        </w:rPr>
        <w:t>F, et al. Opportunities and challenges for large-scale phase-change material integrated electro-photonics[J]. ACS Photonics, 2022, 9</w:t>
      </w:r>
      <w:r>
        <w:rPr>
          <w:rFonts w:hint="eastAsia"/>
        </w:rPr>
        <w:t>（</w:t>
      </w:r>
      <w:r>
        <w:rPr>
          <w:rFonts w:hint="eastAsia"/>
        </w:rPr>
        <w:t>10</w:t>
      </w:r>
      <w:r>
        <w:rPr>
          <w:rFonts w:hint="eastAsia"/>
        </w:rPr>
        <w:t>）</w:t>
      </w:r>
      <w:r>
        <w:rPr>
          <w:rFonts w:hint="eastAsia"/>
        </w:rPr>
        <w:t>: 3181-3195.</w:t>
      </w:r>
    </w:p>
    <w:p w14:paraId="1A12EA60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[11]</w:t>
      </w:r>
      <w:r>
        <w:rPr>
          <w:rFonts w:hint="eastAsia"/>
        </w:rPr>
        <w:t>Y</w:t>
      </w:r>
      <w:r>
        <w:t>ANG X, NISAR M S, YUAN</w:t>
      </w:r>
      <w:r>
        <w:rPr>
          <w:rFonts w:hint="eastAsia"/>
        </w:rPr>
        <w:t xml:space="preserve"> W, et al. Phase change material enabled 2</w:t>
      </w:r>
      <w:r>
        <w:rPr>
          <w:rFonts w:hint="eastAsia"/>
        </w:rPr>
        <w:t>×</w:t>
      </w:r>
      <w:r>
        <w:rPr>
          <w:rFonts w:hint="eastAsia"/>
        </w:rPr>
        <w:t xml:space="preserve">2 silicon </w:t>
      </w:r>
      <w:r>
        <w:rPr>
          <w:rFonts w:hint="eastAsia"/>
        </w:rPr>
        <w:t>nonvolatile optical switch[J]. Optics Letters, 2021, 46</w:t>
      </w:r>
      <w:r>
        <w:rPr>
          <w:rFonts w:hint="eastAsia"/>
        </w:rPr>
        <w:t>（</w:t>
      </w:r>
      <w:r>
        <w:rPr>
          <w:rFonts w:hint="eastAsia"/>
        </w:rPr>
        <w:t>17</w:t>
      </w:r>
      <w:r>
        <w:rPr>
          <w:rFonts w:hint="eastAsia"/>
        </w:rPr>
        <w:t>）</w:t>
      </w:r>
      <w:r>
        <w:rPr>
          <w:rFonts w:hint="eastAsia"/>
        </w:rPr>
        <w:t>: 4224-4227.</w:t>
      </w:r>
    </w:p>
    <w:p w14:paraId="62B629A8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[12]</w:t>
      </w:r>
      <w:r>
        <w:rPr>
          <w:rFonts w:hint="eastAsia"/>
        </w:rPr>
        <w:t>C</w:t>
      </w:r>
      <w:r>
        <w:t xml:space="preserve">HEN R, FANG Z, FROCH </w:t>
      </w:r>
      <w:r>
        <w:rPr>
          <w:rFonts w:hint="eastAsia"/>
        </w:rPr>
        <w:t>J E, et al. Broadband nonvolatile electrically controlled programmable units in silicon photonics[J]. ACS Photonics, 2022, 9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hint="eastAsia"/>
        </w:rPr>
        <w:t>: 2142-2150.</w:t>
      </w:r>
    </w:p>
    <w:p w14:paraId="0169087F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[13]FANG Z, CHEN R</w:t>
      </w:r>
      <w:r>
        <w:t>, ZHENG</w:t>
      </w:r>
      <w:r>
        <w:rPr>
          <w:rFonts w:hint="eastAsia"/>
        </w:rPr>
        <w:t xml:space="preserve"> J, et al. Ultra-low-energy programmable non-volatile silicon photonics based on phase-change materials with graphene heaters[J]. Nature Nanotechnology, 2022, 17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）</w:t>
      </w:r>
      <w:r>
        <w:rPr>
          <w:rFonts w:hint="eastAsia"/>
        </w:rPr>
        <w:t>: 842-848.</w:t>
      </w:r>
    </w:p>
    <w:p w14:paraId="3577AA48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[14]R</w:t>
      </w:r>
      <w:r>
        <w:rPr>
          <w:rFonts w:hint="eastAsia"/>
        </w:rPr>
        <w:t>Í</w:t>
      </w:r>
      <w:r>
        <w:t>OS C, DU Q, ZHANG</w:t>
      </w:r>
      <w:r>
        <w:rPr>
          <w:rFonts w:hint="eastAsia"/>
        </w:rPr>
        <w:t xml:space="preserve"> Y, et al. Ultra-compact nonvolatile phase shifter </w:t>
      </w:r>
      <w:r>
        <w:rPr>
          <w:rFonts w:hint="eastAsia"/>
        </w:rPr>
        <w:t>based on electrically reprogrammable transparent phase change materials[J]. PhotoniX, 2022, 3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: </w:t>
      </w:r>
      <w:r>
        <w:rPr>
          <w:rFonts w:hint="eastAsia"/>
        </w:rPr>
        <w:t>26</w:t>
      </w:r>
      <w:r>
        <w:t>-1-26-13</w:t>
      </w:r>
      <w:r>
        <w:rPr>
          <w:rFonts w:hint="eastAsia"/>
        </w:rPr>
        <w:t>.</w:t>
      </w:r>
    </w:p>
    <w:p w14:paraId="4ACC6433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[15]</w:t>
      </w:r>
      <w:r>
        <w:rPr>
          <w:rFonts w:hint="eastAsia"/>
        </w:rPr>
        <w:t>朱炳达，郭丽君，朱葳，等</w:t>
      </w:r>
      <w:r>
        <w:rPr>
          <w:rFonts w:hint="eastAsia"/>
        </w:rPr>
        <w:t>.</w:t>
      </w:r>
      <w:r>
        <w:rPr>
          <w:rFonts w:hint="eastAsia"/>
        </w:rPr>
        <w:t>基于相变材料锗锑碲的非易失性光开关设计与仿真</w:t>
      </w:r>
      <w:r>
        <w:rPr>
          <w:rFonts w:hint="eastAsia"/>
        </w:rPr>
        <w:t>[J].</w:t>
      </w:r>
      <w:r>
        <w:rPr>
          <w:rFonts w:hint="eastAsia"/>
        </w:rPr>
        <w:t>功能材料与器件学报，</w:t>
      </w:r>
      <w:r>
        <w:rPr>
          <w:rFonts w:hint="eastAsia"/>
        </w:rPr>
        <w:t>2024</w:t>
      </w:r>
      <w:r>
        <w:rPr>
          <w:rFonts w:hint="eastAsia"/>
        </w:rPr>
        <w:t>，</w:t>
      </w:r>
      <w:r>
        <w:rPr>
          <w:rFonts w:hint="eastAsia"/>
        </w:rPr>
        <w:t>30(6)</w:t>
      </w:r>
      <w:r>
        <w:rPr>
          <w:rFonts w:hint="eastAsia"/>
        </w:rPr>
        <w:t>：</w:t>
      </w:r>
      <w:r>
        <w:rPr>
          <w:rFonts w:hint="eastAsia"/>
        </w:rPr>
        <w:t>318~322.</w:t>
      </w:r>
    </w:p>
    <w:p w14:paraId="1E2CC7E1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[16]</w:t>
      </w:r>
      <w:r>
        <w:rPr>
          <w:rFonts w:hint="eastAsia"/>
        </w:rPr>
        <w:t>C</w:t>
      </w:r>
      <w:r>
        <w:t xml:space="preserve">HEN R, TARA V, DUTTA </w:t>
      </w:r>
      <w:r>
        <w:rPr>
          <w:rFonts w:hint="eastAsia"/>
        </w:rPr>
        <w:t xml:space="preserve">J, et al. Low-loss multilevel operation </w:t>
      </w:r>
      <w:r>
        <w:rPr>
          <w:rFonts w:hint="eastAsia"/>
        </w:rPr>
        <w:t>using lossy PCM-integrated silicon photonics[J]. arXiv preprint arXiv:2</w:t>
      </w:r>
      <w:r>
        <w:rPr>
          <w:rFonts w:hint="eastAsia"/>
        </w:rPr>
        <w:t>402.08803</w:t>
      </w:r>
      <w:r>
        <w:t>-1-</w:t>
      </w:r>
      <w:r>
        <w:rPr>
          <w:rFonts w:hint="eastAsia"/>
        </w:rPr>
        <w:t>2402.08803</w:t>
      </w:r>
      <w:r>
        <w:t>-23</w:t>
      </w:r>
      <w:r>
        <w:rPr>
          <w:rFonts w:hint="eastAsia"/>
        </w:rPr>
        <w:t>,</w:t>
      </w:r>
      <w:r>
        <w:rPr>
          <w:rFonts w:hint="eastAsia"/>
        </w:rPr>
        <w:t>2024.</w:t>
      </w:r>
    </w:p>
    <w:p w14:paraId="28713F71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[17]</w:t>
      </w:r>
      <w:r>
        <w:rPr>
          <w:rFonts w:hint="eastAsia"/>
        </w:rPr>
        <w:t>D</w:t>
      </w:r>
      <w:r>
        <w:t>ELANEY M, ZEIMPEKIS I, LAWSON</w:t>
      </w:r>
      <w:r>
        <w:rPr>
          <w:rFonts w:hint="eastAsia"/>
        </w:rPr>
        <w:t xml:space="preserve"> D, et al. A new family of ultralow loss reversible phase-change materials for photonic integrated circuits: Sb2S3 and </w:t>
      </w:r>
      <w:r>
        <w:rPr>
          <w:rFonts w:hint="eastAsia"/>
        </w:rPr>
        <w:t>Sb2Se3[J]. Advanced functional materials, 2020, 30</w:t>
      </w:r>
      <w:r>
        <w:rPr>
          <w:rFonts w:hint="eastAsia"/>
        </w:rPr>
        <w:t>（</w:t>
      </w:r>
      <w:r>
        <w:rPr>
          <w:rFonts w:hint="eastAsia"/>
        </w:rPr>
        <w:t>36</w:t>
      </w:r>
      <w:r>
        <w:rPr>
          <w:rFonts w:hint="eastAsia"/>
        </w:rPr>
        <w:t>）</w:t>
      </w:r>
      <w:r>
        <w:rPr>
          <w:rFonts w:hint="eastAsia"/>
        </w:rPr>
        <w:t>:</w:t>
      </w:r>
      <w:r>
        <w:rPr>
          <w:rFonts w:hint="eastAsia"/>
        </w:rPr>
        <w:t>2002447</w:t>
      </w:r>
      <w:r>
        <w:t>-1-2002447-10</w:t>
      </w:r>
      <w:r>
        <w:rPr>
          <w:rFonts w:hint="eastAsia"/>
        </w:rPr>
        <w:t>.</w:t>
      </w:r>
    </w:p>
    <w:p w14:paraId="298007D7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[18]</w:t>
      </w:r>
      <w:r>
        <w:rPr>
          <w:rFonts w:hint="eastAsia"/>
        </w:rPr>
        <w:t>W</w:t>
      </w:r>
      <w:r>
        <w:t xml:space="preserve">U C, DENG H, HUANG </w:t>
      </w:r>
      <w:r>
        <w:rPr>
          <w:rFonts w:hint="eastAsia"/>
        </w:rPr>
        <w:t>Y S, et al. Freeform direct-write and rewritable photonic integrated circuits in phase-change thin films[J]. Science Advances, 2024, 10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:</w:t>
      </w:r>
      <w:r>
        <w:rPr>
          <w:rFonts w:hint="eastAsia"/>
        </w:rPr>
        <w:t xml:space="preserve"> eadk1361</w:t>
      </w:r>
      <w:r>
        <w:t>-1-</w:t>
      </w:r>
      <w:r>
        <w:rPr>
          <w:rFonts w:hint="eastAsia"/>
        </w:rPr>
        <w:t>e</w:t>
      </w:r>
      <w:r>
        <w:rPr>
          <w:rFonts w:hint="eastAsia"/>
        </w:rPr>
        <w:t>adk</w:t>
      </w:r>
      <w:r>
        <w:t>1361-7</w:t>
      </w:r>
      <w:r>
        <w:rPr>
          <w:rFonts w:hint="eastAsia"/>
        </w:rPr>
        <w:t>.</w:t>
      </w:r>
      <w:r>
        <w:rPr>
          <w:rStyle w:val="af5"/>
          <w:rFonts w:hint="eastAsia"/>
        </w:rPr>
        <w:t>.</w:t>
      </w:r>
    </w:p>
    <w:p w14:paraId="6F24EB0C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[19]FANG Z, MILLS B, CHEN</w:t>
      </w:r>
      <w:r>
        <w:rPr>
          <w:rFonts w:hint="eastAsia"/>
        </w:rPr>
        <w:t xml:space="preserve"> R, et al. Arbitrary programming of racetrack resonators using low-loss phase-change material Sb2Se3[J]. Nano Letters, 2024, 24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: 97-103.</w:t>
      </w:r>
    </w:p>
    <w:p w14:paraId="765A17C7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[20]</w:t>
      </w:r>
      <w:r>
        <w:rPr>
          <w:rFonts w:hint="eastAsia"/>
        </w:rPr>
        <w:t>S</w:t>
      </w:r>
      <w:r>
        <w:t>HANG K, NIU L, JIN</w:t>
      </w:r>
      <w:r>
        <w:rPr>
          <w:rFonts w:hint="eastAsia"/>
        </w:rPr>
        <w:t xml:space="preserve"> H, et al. Non-volatile 2</w:t>
      </w:r>
      <w:r>
        <w:rPr>
          <w:rFonts w:hint="eastAsia"/>
        </w:rPr>
        <w:t>×</w:t>
      </w:r>
      <w:r>
        <w:rPr>
          <w:rFonts w:hint="eastAsia"/>
        </w:rPr>
        <w:t>2 optical switch using mult</w:t>
      </w:r>
      <w:r>
        <w:rPr>
          <w:rFonts w:hint="eastAsia"/>
        </w:rPr>
        <w:t>imode interference in an Sb2Se3-loaded waveguide[J]. Optics Letters, 2024, 49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: 722-725.</w:t>
      </w:r>
    </w:p>
    <w:p w14:paraId="794F2733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>[21]</w:t>
      </w:r>
      <w:r>
        <w:rPr>
          <w:rFonts w:hint="eastAsia"/>
        </w:rPr>
        <w:t>T</w:t>
      </w:r>
      <w:r>
        <w:t>EO T Y, KRBAL M, MISTRIK</w:t>
      </w:r>
      <w:r>
        <w:rPr>
          <w:rFonts w:hint="eastAsia"/>
        </w:rPr>
        <w:t xml:space="preserve"> J, et al. Comparison and analysis of phase change materials-based reconfigurable silicon photonic directional couplers[J]. Optical Mate</w:t>
      </w:r>
      <w:r>
        <w:rPr>
          <w:rFonts w:hint="eastAsia"/>
        </w:rPr>
        <w:t>rials Express, 2022, 12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: 606-621.</w:t>
      </w:r>
    </w:p>
    <w:p w14:paraId="6C9FBDBF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lastRenderedPageBreak/>
        <w:t>[22]</w:t>
      </w:r>
      <w:r>
        <w:rPr>
          <w:rFonts w:hint="eastAsia"/>
        </w:rPr>
        <w:t>庄瑞，洪晶晶，刘爱萍，等</w:t>
      </w:r>
      <w:r>
        <w:rPr>
          <w:rFonts w:hint="eastAsia"/>
        </w:rPr>
        <w:t>.</w:t>
      </w:r>
      <w:r>
        <w:rPr>
          <w:rFonts w:hint="eastAsia"/>
        </w:rPr>
        <w:t>三维集成光学芯片中波导之间的耦合研究</w:t>
      </w:r>
      <w:r>
        <w:rPr>
          <w:rFonts w:hint="eastAsia"/>
        </w:rPr>
        <w:t>[J].</w:t>
      </w:r>
      <w:r>
        <w:rPr>
          <w:rFonts w:hint="eastAsia"/>
        </w:rPr>
        <w:t>激光与光电子学进展</w:t>
      </w:r>
      <w:r>
        <w:rPr>
          <w:rFonts w:hint="eastAsia"/>
        </w:rPr>
        <w:t>,2021,58</w:t>
      </w:r>
      <w:r>
        <w:rPr>
          <w:rFonts w:hint="eastAsia"/>
        </w:rPr>
        <w:t>（</w:t>
      </w:r>
      <w:r>
        <w:rPr>
          <w:rFonts w:hint="eastAsia"/>
        </w:rPr>
        <w:t>19</w:t>
      </w:r>
      <w:r>
        <w:rPr>
          <w:rFonts w:hint="eastAsia"/>
        </w:rPr>
        <w:t>）：</w:t>
      </w:r>
      <w:r>
        <w:rPr>
          <w:rFonts w:hint="eastAsia"/>
        </w:rPr>
        <w:t xml:space="preserve"> 352~357.</w:t>
      </w:r>
    </w:p>
    <w:p w14:paraId="473F29B8" w14:textId="77777777" w:rsidR="00497B08" w:rsidRDefault="007C5ED7">
      <w:pPr>
        <w:pStyle w:val="15"/>
        <w:numPr>
          <w:ilvl w:val="0"/>
          <w:numId w:val="0"/>
        </w:numPr>
        <w:tabs>
          <w:tab w:val="clear" w:pos="360"/>
        </w:tabs>
        <w:ind w:left="357" w:hanging="357"/>
      </w:pPr>
      <w:r>
        <w:t xml:space="preserve">[23]ZHOU W, SHEN X, YANG </w:t>
      </w:r>
      <w:r>
        <w:rPr>
          <w:rFonts w:hint="eastAsia"/>
        </w:rPr>
        <w:t xml:space="preserve">X, et al. Fabrication and integration of photonic devices for phase-change memory and neuromorphic computing[J]. </w:t>
      </w:r>
      <w:r>
        <w:rPr>
          <w:rFonts w:hint="eastAsia"/>
        </w:rPr>
        <w:t>International Journal of Extreme Manufacturing, 2024, 6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:</w:t>
      </w:r>
      <w:r>
        <w:rPr>
          <w:rFonts w:hint="eastAsia"/>
        </w:rPr>
        <w:t>022001</w:t>
      </w:r>
      <w:r>
        <w:t>-1-02001-26</w:t>
      </w:r>
      <w:r>
        <w:rPr>
          <w:rFonts w:hint="eastAsia"/>
        </w:rPr>
        <w:t>.</w:t>
      </w:r>
    </w:p>
    <w:p w14:paraId="5D304FE2" w14:textId="77777777" w:rsidR="00497B08" w:rsidRDefault="00497B08">
      <w:pPr>
        <w:pStyle w:val="EndNoteBibliography"/>
        <w:ind w:left="720" w:hanging="720"/>
      </w:pPr>
    </w:p>
    <w:p w14:paraId="21757B5A" w14:textId="77777777" w:rsidR="00497B08" w:rsidRDefault="007C5ED7">
      <w:pPr>
        <w:pStyle w:val="ab"/>
        <w:widowControl/>
        <w:rPr>
          <w:rFonts w:ascii="宋体" w:hAnsi="宋体" w:cs="宋体"/>
          <w:sz w:val="21"/>
          <w:szCs w:val="21"/>
        </w:rPr>
      </w:pPr>
      <w:r>
        <w:rPr>
          <w:b/>
          <w:szCs w:val="21"/>
        </w:rPr>
        <w:t>基金项目：</w:t>
      </w:r>
      <w:r>
        <w:rPr>
          <w:rFonts w:hint="eastAsia"/>
          <w:kern w:val="2"/>
          <w:sz w:val="21"/>
          <w:szCs w:val="21"/>
        </w:rPr>
        <w:t>国家重点研发计划</w:t>
      </w:r>
      <w:r>
        <w:rPr>
          <w:rFonts w:hint="eastAsia"/>
          <w:kern w:val="2"/>
          <w:sz w:val="21"/>
          <w:szCs w:val="21"/>
        </w:rPr>
        <w:t>(2021YFB2801300)</w:t>
      </w:r>
      <w:r>
        <w:rPr>
          <w:rFonts w:hint="eastAsia"/>
          <w:kern w:val="2"/>
          <w:sz w:val="21"/>
          <w:szCs w:val="21"/>
        </w:rPr>
        <w:t>资助</w:t>
      </w:r>
      <w:r>
        <w:rPr>
          <w:rFonts w:hint="eastAsia"/>
          <w:kern w:val="2"/>
          <w:sz w:val="21"/>
          <w:szCs w:val="21"/>
        </w:rPr>
        <w:t>;</w:t>
      </w:r>
      <w:r>
        <w:rPr>
          <w:rFonts w:hint="eastAsia"/>
          <w:kern w:val="2"/>
          <w:sz w:val="21"/>
          <w:szCs w:val="21"/>
        </w:rPr>
        <w:t>浙江省自然科学基金</w:t>
      </w:r>
      <w:r>
        <w:rPr>
          <w:rFonts w:hint="eastAsia"/>
          <w:kern w:val="2"/>
          <w:sz w:val="21"/>
          <w:szCs w:val="21"/>
        </w:rPr>
        <w:t>(LZ24F050001)</w:t>
      </w:r>
      <w:r>
        <w:rPr>
          <w:rFonts w:hint="eastAsia"/>
          <w:kern w:val="2"/>
          <w:sz w:val="21"/>
          <w:szCs w:val="21"/>
        </w:rPr>
        <w:t>资助。</w:t>
      </w:r>
    </w:p>
    <w:p w14:paraId="3309F4E7" w14:textId="77777777" w:rsidR="00497B08" w:rsidRDefault="007C5ED7">
      <w:pPr>
        <w:pStyle w:val="ab"/>
        <w:widowControl/>
        <w:rPr>
          <w:szCs w:val="21"/>
        </w:rPr>
      </w:pPr>
      <w:r>
        <w:rPr>
          <w:rFonts w:hint="eastAsia"/>
          <w:b/>
          <w:szCs w:val="21"/>
        </w:rPr>
        <w:t>第一</w:t>
      </w:r>
      <w:r>
        <w:rPr>
          <w:b/>
          <w:szCs w:val="21"/>
        </w:rPr>
        <w:t>作者简介</w:t>
      </w:r>
      <w:r>
        <w:rPr>
          <w:b/>
          <w:szCs w:val="21"/>
        </w:rPr>
        <w:t>：</w:t>
      </w:r>
      <w:r>
        <w:rPr>
          <w:rFonts w:hint="eastAsia"/>
          <w:b/>
          <w:szCs w:val="21"/>
        </w:rPr>
        <w:t>余闰</w:t>
      </w:r>
      <w:r>
        <w:rPr>
          <w:szCs w:val="21"/>
        </w:rPr>
        <w:t>（</w:t>
      </w:r>
      <w:r>
        <w:rPr>
          <w:szCs w:val="21"/>
        </w:rPr>
        <w:t>199</w:t>
      </w:r>
      <w:r>
        <w:rPr>
          <w:rFonts w:hint="eastAsia"/>
          <w:szCs w:val="21"/>
        </w:rPr>
        <w:t>9</w:t>
      </w:r>
      <w:r>
        <w:rPr>
          <w:szCs w:val="21"/>
        </w:rPr>
        <w:t>—</w:t>
      </w:r>
      <w:r>
        <w:rPr>
          <w:szCs w:val="21"/>
        </w:rPr>
        <w:t>），</w:t>
      </w:r>
      <w:r>
        <w:rPr>
          <w:rFonts w:hint="eastAsia"/>
          <w:szCs w:val="21"/>
        </w:rPr>
        <w:t>男</w:t>
      </w:r>
      <w:r>
        <w:rPr>
          <w:szCs w:val="21"/>
        </w:rPr>
        <w:t>，</w:t>
      </w:r>
      <w:r>
        <w:rPr>
          <w:rFonts w:hint="eastAsia"/>
          <w:szCs w:val="21"/>
        </w:rPr>
        <w:t>湖北鄂州人，</w:t>
      </w:r>
      <w:r>
        <w:rPr>
          <w:szCs w:val="21"/>
        </w:rPr>
        <w:t>硕士</w:t>
      </w:r>
      <w:r>
        <w:rPr>
          <w:rFonts w:hint="eastAsia"/>
          <w:szCs w:val="21"/>
        </w:rPr>
        <w:t>研究</w:t>
      </w:r>
      <w:r>
        <w:rPr>
          <w:szCs w:val="21"/>
        </w:rPr>
        <w:t>生，现就读于</w:t>
      </w:r>
      <w:r>
        <w:rPr>
          <w:rFonts w:hint="eastAsia"/>
          <w:szCs w:val="21"/>
        </w:rPr>
        <w:t>宁波大学信息科学与工程学院光电信息工程</w:t>
      </w:r>
      <w:r>
        <w:rPr>
          <w:szCs w:val="21"/>
        </w:rPr>
        <w:t>专业</w:t>
      </w:r>
      <w:r>
        <w:rPr>
          <w:rFonts w:hint="eastAsia"/>
          <w:szCs w:val="21"/>
        </w:rPr>
        <w:t>，主要研究方向为硅基相变材料光开关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参与过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基于相变材料的近零功耗硅基可编程集成光子芯片研究（浙自然）与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近零功耗非易失可重构光子器件（国家重点研发计划）两个项目</w:t>
      </w:r>
      <w:r>
        <w:rPr>
          <w:rFonts w:hint="eastAsia"/>
          <w:szCs w:val="21"/>
        </w:rPr>
        <w:t>。</w:t>
      </w:r>
    </w:p>
    <w:p w14:paraId="20050727" w14:textId="77777777" w:rsidR="00497B08" w:rsidRDefault="007C5ED7">
      <w:pPr>
        <w:pStyle w:val="ab"/>
        <w:widowControl/>
        <w:rPr>
          <w:szCs w:val="21"/>
        </w:rPr>
      </w:pPr>
      <w:r>
        <w:rPr>
          <w:rFonts w:hint="eastAsia"/>
          <w:noProof/>
          <w:szCs w:val="21"/>
        </w:rPr>
        <w:drawing>
          <wp:inline distT="0" distB="0" distL="0" distR="0">
            <wp:extent cx="720090" cy="1080135"/>
            <wp:effectExtent l="0" t="0" r="3810" b="5715"/>
            <wp:docPr id="1058" name="图片 1" descr="证件照白底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图片 1" descr="证件照白底"/>
                    <pic:cNvPicPr/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0090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036B6" w14:textId="77777777" w:rsidR="00497B08" w:rsidRDefault="007C5ED7">
      <w:pPr>
        <w:pStyle w:val="ab"/>
        <w:widowControl/>
        <w:rPr>
          <w:szCs w:val="21"/>
        </w:rPr>
      </w:pPr>
      <w:r>
        <w:rPr>
          <w:rFonts w:hint="eastAsia"/>
          <w:b/>
          <w:szCs w:val="21"/>
        </w:rPr>
        <w:t>*</w:t>
      </w:r>
      <w:r>
        <w:rPr>
          <w:rFonts w:hint="eastAsia"/>
          <w:b/>
          <w:szCs w:val="21"/>
        </w:rPr>
        <w:t>通信</w:t>
      </w:r>
      <w:r>
        <w:rPr>
          <w:b/>
          <w:szCs w:val="21"/>
        </w:rPr>
        <w:t>作者：</w:t>
      </w:r>
      <w:r>
        <w:rPr>
          <w:rFonts w:hint="eastAsia"/>
          <w:b/>
          <w:szCs w:val="21"/>
        </w:rPr>
        <w:t>徐培鹏</w:t>
      </w:r>
      <w:r>
        <w:rPr>
          <w:szCs w:val="21"/>
        </w:rPr>
        <w:t>（</w:t>
      </w:r>
      <w:r>
        <w:rPr>
          <w:szCs w:val="21"/>
        </w:rPr>
        <w:t>19</w:t>
      </w:r>
      <w:r>
        <w:rPr>
          <w:rFonts w:hint="eastAsia"/>
          <w:szCs w:val="21"/>
        </w:rPr>
        <w:t>85</w:t>
      </w:r>
      <w:r>
        <w:rPr>
          <w:szCs w:val="21"/>
        </w:rPr>
        <w:t>—</w:t>
      </w:r>
      <w:r>
        <w:rPr>
          <w:szCs w:val="21"/>
        </w:rPr>
        <w:t>），</w:t>
      </w:r>
      <w:r>
        <w:rPr>
          <w:rFonts w:hint="eastAsia"/>
          <w:szCs w:val="21"/>
        </w:rPr>
        <w:t>男</w:t>
      </w:r>
      <w:r>
        <w:rPr>
          <w:szCs w:val="21"/>
        </w:rPr>
        <w:t>，</w:t>
      </w:r>
      <w:r>
        <w:rPr>
          <w:rFonts w:hint="eastAsia"/>
          <w:szCs w:val="21"/>
        </w:rPr>
        <w:t>博士，副研究员</w:t>
      </w:r>
      <w:r>
        <w:rPr>
          <w:szCs w:val="21"/>
        </w:rPr>
        <w:t>，</w:t>
      </w:r>
      <w:r>
        <w:rPr>
          <w:rFonts w:hint="eastAsia"/>
          <w:szCs w:val="21"/>
        </w:rPr>
        <w:t>主要从事</w:t>
      </w:r>
      <w:r>
        <w:rPr>
          <w:rFonts w:hint="eastAsia"/>
        </w:rPr>
        <w:t>集成光电子器件</w:t>
      </w:r>
      <w:r>
        <w:rPr>
          <w:rFonts w:hint="eastAsia"/>
          <w:szCs w:val="21"/>
        </w:rPr>
        <w:t>的研究。</w:t>
      </w:r>
    </w:p>
    <w:p w14:paraId="04CCB377" w14:textId="1F0297E0" w:rsidR="00497B08" w:rsidRDefault="00497B08">
      <w:pPr>
        <w:pStyle w:val="ab"/>
        <w:widowControl/>
        <w:ind w:firstLine="420"/>
      </w:pPr>
      <w:bookmarkStart w:id="2" w:name="_GoBack"/>
      <w:bookmarkEnd w:id="2"/>
    </w:p>
    <w:sectPr w:rsidR="00497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dmin" w:date="2025-11-18T15:09:00Z" w:initials="a">
    <w:p w14:paraId="332D0E8D" w14:textId="77777777" w:rsidR="00497B08" w:rsidRDefault="007C5ED7">
      <w:pPr>
        <w:pStyle w:val="a3"/>
      </w:pPr>
      <w:r>
        <w:t>图</w:t>
      </w:r>
      <w:r>
        <w:rPr>
          <w:rFonts w:hint="eastAsia"/>
        </w:rPr>
        <w:t>2</w:t>
      </w:r>
      <w:r>
        <w:rPr>
          <w:rFonts w:hint="eastAsia"/>
        </w:rPr>
        <w:t>右</w:t>
      </w:r>
      <w:r>
        <w:t>图</w:t>
      </w:r>
      <w:r>
        <w:rPr>
          <w:rFonts w:hint="eastAsia"/>
        </w:rPr>
        <w:t>颜色</w:t>
      </w:r>
      <w:r>
        <w:t>条</w:t>
      </w:r>
      <w:r>
        <w:rPr>
          <w:rFonts w:hint="eastAsia"/>
        </w:rPr>
        <w:t>名称</w:t>
      </w:r>
      <w:r>
        <w:t>及单位</w:t>
      </w:r>
      <w:r>
        <w:rPr>
          <w:rFonts w:hint="eastAsia"/>
        </w:rPr>
        <w:t>是否</w:t>
      </w:r>
      <w:r>
        <w:t>为</w:t>
      </w:r>
      <w:r>
        <w:rPr>
          <w:rStyle w:val="af0"/>
          <w:rFonts w:ascii="Segoe UI" w:hAnsi="Segoe UI" w:cs="Segoe UI"/>
          <w:color w:val="000000"/>
          <w:spacing w:val="-2"/>
          <w:shd w:val="clear" w:color="auto" w:fill="FFFFFF"/>
        </w:rPr>
        <w:t>光场强度（</w:t>
      </w:r>
      <w:r>
        <w:rPr>
          <w:rStyle w:val="af0"/>
          <w:rFonts w:ascii="Segoe UI" w:hAnsi="Segoe UI" w:cs="Segoe UI"/>
          <w:color w:val="000000"/>
          <w:spacing w:val="-2"/>
          <w:shd w:val="clear" w:color="auto" w:fill="FFFFFF"/>
        </w:rPr>
        <w:t>a.u.</w:t>
      </w:r>
      <w:r>
        <w:rPr>
          <w:rStyle w:val="af0"/>
          <w:rFonts w:ascii="Segoe UI" w:hAnsi="Segoe UI" w:cs="Segoe UI"/>
          <w:color w:val="000000"/>
          <w:spacing w:val="-2"/>
          <w:shd w:val="clear" w:color="auto" w:fill="FFFFFF"/>
        </w:rPr>
        <w:t>）</w:t>
      </w:r>
      <w:r>
        <w:rPr>
          <w:rStyle w:val="af0"/>
          <w:rFonts w:ascii="Segoe UI" w:hAnsi="Segoe UI" w:cs="Segoe UI" w:hint="eastAsia"/>
          <w:color w:val="000000"/>
          <w:spacing w:val="-2"/>
          <w:shd w:val="clear" w:color="auto" w:fill="FFFFFF"/>
        </w:rPr>
        <w:t>？</w:t>
      </w:r>
    </w:p>
  </w:comment>
  <w:comment w:id="1" w:author="Beyond青春年华" w:date="2025-11-19T18:46:00Z" w:initials="">
    <w:p w14:paraId="65A84A45" w14:textId="77777777" w:rsidR="00497B08" w:rsidRDefault="007C5ED7">
      <w:pPr>
        <w:pStyle w:val="a3"/>
      </w:pPr>
      <w:r>
        <w:rPr>
          <w:rFonts w:hint="eastAsia"/>
        </w:rPr>
        <w:t>是的！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2D0E8D" w15:done="0"/>
  <w15:commentEx w15:paraId="65A84A45" w15:paraIdParent="332D0E8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altName w:val="Times New Roman"/>
    <w:charset w:val="00"/>
    <w:family w:val="roman"/>
    <w:pitch w:val="default"/>
    <w:sig w:usb0="00000000" w:usb1="00000000" w:usb2="00000009" w:usb3="00000000" w:csb0="000001FF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宋三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MT Extra 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Helvetica">
    <w:panose1 w:val="020B0504020202020204"/>
    <w:charset w:val="00"/>
    <w:family w:val="swiss"/>
    <w:pitch w:val="default"/>
    <w:sig w:usb0="00000000" w:usb1="00000000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93104F4"/>
    <w:multiLevelType w:val="singleLevel"/>
    <w:tmpl w:val="E93104F4"/>
    <w:lvl w:ilvl="0">
      <w:start w:val="1"/>
      <w:numFmt w:val="lowerLetter"/>
      <w:suff w:val="space"/>
      <w:lvlText w:val="(%1)"/>
      <w:lvlJc w:val="left"/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lowerLetter"/>
      <w:suff w:val="space"/>
      <w:lvlText w:val="(%1)"/>
      <w:lvlJc w:val="left"/>
      <w:rPr>
        <w:rFonts w:hint="default"/>
        <w:sz w:val="15"/>
        <w:szCs w:val="15"/>
      </w:rPr>
    </w:lvl>
  </w:abstractNum>
  <w:abstractNum w:abstractNumId="2" w15:restartNumberingAfterBreak="0">
    <w:nsid w:val="00000004"/>
    <w:multiLevelType w:val="singleLevel"/>
    <w:tmpl w:val="00000004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upperRoman"/>
      <w:pStyle w:val="1"/>
      <w:lvlText w:val="第 %1 条"/>
      <w:lvlJc w:val="left"/>
      <w:pPr>
        <w:tabs>
          <w:tab w:val="left" w:pos="1080"/>
        </w:tabs>
        <w:ind w:left="0" w:firstLine="0"/>
      </w:pPr>
    </w:lvl>
    <w:lvl w:ilvl="1">
      <w:start w:val="1"/>
      <w:numFmt w:val="decimalZero"/>
      <w:pStyle w:val="2"/>
      <w:isLgl/>
      <w:lvlText w:val="节 %1.%2"/>
      <w:lvlJc w:val="left"/>
      <w:pPr>
        <w:tabs>
          <w:tab w:val="left" w:pos="72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left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left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left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left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left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left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left" w:pos="1584"/>
        </w:tabs>
        <w:ind w:left="1584" w:hanging="144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pStyle w:val="08"/>
      <w:lvlText w:val="%1"/>
      <w:lvlJc w:val="left"/>
      <w:pPr>
        <w:tabs>
          <w:tab w:val="left" w:pos="420"/>
        </w:tabs>
        <w:ind w:left="420" w:hanging="420"/>
      </w:pPr>
      <w:rPr>
        <w:rFonts w:hint="eastAsia"/>
        <w:b w:val="0"/>
        <w:i w:val="0"/>
        <w:sz w:val="21"/>
        <w:szCs w:val="21"/>
      </w:rPr>
    </w:lvl>
    <w:lvl w:ilvl="1">
      <w:start w:val="1"/>
      <w:numFmt w:val="decimal"/>
      <w:lvlText w:val="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0000009"/>
    <w:multiLevelType w:val="singleLevel"/>
    <w:tmpl w:val="00000009"/>
    <w:lvl w:ilvl="0">
      <w:start w:val="1"/>
      <w:numFmt w:val="lowerLetter"/>
      <w:suff w:val="space"/>
      <w:lvlText w:val="(%1)"/>
      <w:lvlJc w:val="left"/>
      <w:pPr>
        <w:ind w:left="2070" w:firstLine="0"/>
      </w:pPr>
      <w:rPr>
        <w:rFonts w:hint="default"/>
        <w:sz w:val="15"/>
        <w:szCs w:val="15"/>
      </w:rPr>
    </w:lvl>
  </w:abstractNum>
  <w:abstractNum w:abstractNumId="6" w15:restartNumberingAfterBreak="0">
    <w:nsid w:val="0000000A"/>
    <w:multiLevelType w:val="multilevel"/>
    <w:tmpl w:val="0000000A"/>
    <w:lvl w:ilvl="0">
      <w:start w:val="1"/>
      <w:numFmt w:val="decimal"/>
      <w:pStyle w:val="15"/>
      <w:lvlText w:val="[%1]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2"/>
        </w:tabs>
        <w:ind w:left="842" w:hanging="420"/>
      </w:pPr>
    </w:lvl>
    <w:lvl w:ilvl="2">
      <w:start w:val="1"/>
      <w:numFmt w:val="lowerRoman"/>
      <w:lvlText w:val="%3."/>
      <w:lvlJc w:val="right"/>
      <w:pPr>
        <w:tabs>
          <w:tab w:val="left" w:pos="1262"/>
        </w:tabs>
        <w:ind w:left="1262" w:hanging="420"/>
      </w:pPr>
    </w:lvl>
    <w:lvl w:ilvl="3">
      <w:start w:val="1"/>
      <w:numFmt w:val="decimal"/>
      <w:lvlText w:val="%4."/>
      <w:lvlJc w:val="left"/>
      <w:pPr>
        <w:tabs>
          <w:tab w:val="left" w:pos="1682"/>
        </w:tabs>
        <w:ind w:left="1682" w:hanging="420"/>
      </w:pPr>
    </w:lvl>
    <w:lvl w:ilvl="4">
      <w:start w:val="1"/>
      <w:numFmt w:val="lowerLetter"/>
      <w:lvlText w:val="%5)"/>
      <w:lvlJc w:val="left"/>
      <w:pPr>
        <w:tabs>
          <w:tab w:val="left" w:pos="2102"/>
        </w:tabs>
        <w:ind w:left="2102" w:hanging="420"/>
      </w:pPr>
    </w:lvl>
    <w:lvl w:ilvl="5">
      <w:start w:val="1"/>
      <w:numFmt w:val="lowerRoman"/>
      <w:lvlText w:val="%6."/>
      <w:lvlJc w:val="right"/>
      <w:pPr>
        <w:tabs>
          <w:tab w:val="left" w:pos="2522"/>
        </w:tabs>
        <w:ind w:left="2522" w:hanging="420"/>
      </w:pPr>
    </w:lvl>
    <w:lvl w:ilvl="6">
      <w:start w:val="1"/>
      <w:numFmt w:val="decimal"/>
      <w:lvlText w:val="%7."/>
      <w:lvlJc w:val="left"/>
      <w:pPr>
        <w:tabs>
          <w:tab w:val="left" w:pos="2942"/>
        </w:tabs>
        <w:ind w:left="2942" w:hanging="420"/>
      </w:pPr>
    </w:lvl>
    <w:lvl w:ilvl="7">
      <w:start w:val="1"/>
      <w:numFmt w:val="lowerLetter"/>
      <w:lvlText w:val="%8)"/>
      <w:lvlJc w:val="left"/>
      <w:pPr>
        <w:tabs>
          <w:tab w:val="left" w:pos="3362"/>
        </w:tabs>
        <w:ind w:left="3362" w:hanging="420"/>
      </w:pPr>
    </w:lvl>
    <w:lvl w:ilvl="8">
      <w:start w:val="1"/>
      <w:numFmt w:val="lowerRoman"/>
      <w:lvlText w:val="%9."/>
      <w:lvlJc w:val="right"/>
      <w:pPr>
        <w:tabs>
          <w:tab w:val="left" w:pos="3782"/>
        </w:tabs>
        <w:ind w:left="3782" w:hanging="420"/>
      </w:pPr>
    </w:lvl>
  </w:abstractNum>
  <w:abstractNum w:abstractNumId="7" w15:restartNumberingAfterBreak="0">
    <w:nsid w:val="0000000B"/>
    <w:multiLevelType w:val="singleLevel"/>
    <w:tmpl w:val="0000000B"/>
    <w:lvl w:ilvl="0">
      <w:start w:val="1"/>
      <w:numFmt w:val="lowerLetter"/>
      <w:suff w:val="space"/>
      <w:lvlText w:val="(%1)"/>
      <w:lvlJc w:val="left"/>
      <w:rPr>
        <w:rFonts w:hint="default"/>
        <w:sz w:val="15"/>
        <w:szCs w:val="15"/>
      </w:rPr>
    </w:lvl>
  </w:abstractNum>
  <w:abstractNum w:abstractNumId="8" w15:restartNumberingAfterBreak="0">
    <w:nsid w:val="0000000C"/>
    <w:multiLevelType w:val="multilevel"/>
    <w:tmpl w:val="0000000C"/>
    <w:lvl w:ilvl="0">
      <w:start w:val="1"/>
      <w:numFmt w:val="none"/>
      <w:pStyle w:val="09"/>
      <w:lvlText w:val="1.1"/>
      <w:lvlJc w:val="left"/>
      <w:pPr>
        <w:tabs>
          <w:tab w:val="left" w:pos="420"/>
        </w:tabs>
        <w:ind w:left="420" w:hanging="420"/>
      </w:pPr>
      <w:rPr>
        <w:rFonts w:hint="eastAsia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 w15:restartNumberingAfterBreak="0">
    <w:nsid w:val="7D242DC1"/>
    <w:multiLevelType w:val="multilevel"/>
    <w:tmpl w:val="7D242DC1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9"/>
  </w:num>
  <w:num w:numId="7">
    <w:abstractNumId w:val="5"/>
  </w:num>
  <w:num w:numId="8">
    <w:abstractNumId w:val="1"/>
  </w:num>
  <w:num w:numId="9">
    <w:abstractNumId w:val="7"/>
  </w:num>
  <w:num w:numId="1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trackRevision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inese Std GBT7714 (numeric)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50s0x59aw9ewee0a2s50ddcapsa25df55z5&quot;&gt;我的EndNote库&lt;record-ids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8&lt;/item&gt;&lt;item&gt;30&lt;/item&gt;&lt;item&gt;31&lt;/item&gt;&lt;item&gt;32&lt;/item&gt;&lt;item&gt;33&lt;/item&gt;&lt;item&gt;34&lt;/item&gt;&lt;item&gt;35&lt;/item&gt;&lt;item&gt;36&lt;/item&gt;&lt;/record-ids&gt;&lt;/item&gt;&lt;/Libraries&gt;"/>
  </w:docVars>
  <w:rsids>
    <w:rsidRoot w:val="009F10C2"/>
    <w:rsid w:val="000302AA"/>
    <w:rsid w:val="0003661B"/>
    <w:rsid w:val="00130DE8"/>
    <w:rsid w:val="001F1625"/>
    <w:rsid w:val="002156CF"/>
    <w:rsid w:val="002A0875"/>
    <w:rsid w:val="00333BE7"/>
    <w:rsid w:val="00414B83"/>
    <w:rsid w:val="00474B0F"/>
    <w:rsid w:val="00487032"/>
    <w:rsid w:val="00491F2C"/>
    <w:rsid w:val="00497B08"/>
    <w:rsid w:val="004C0927"/>
    <w:rsid w:val="004D787F"/>
    <w:rsid w:val="004E60A7"/>
    <w:rsid w:val="004F26BB"/>
    <w:rsid w:val="00527BD7"/>
    <w:rsid w:val="00581B7B"/>
    <w:rsid w:val="005E368C"/>
    <w:rsid w:val="00631985"/>
    <w:rsid w:val="00637AE4"/>
    <w:rsid w:val="0065358A"/>
    <w:rsid w:val="00666565"/>
    <w:rsid w:val="006C230A"/>
    <w:rsid w:val="006E26A6"/>
    <w:rsid w:val="006E4C04"/>
    <w:rsid w:val="006F2D32"/>
    <w:rsid w:val="006F3EA9"/>
    <w:rsid w:val="007128A8"/>
    <w:rsid w:val="007439BD"/>
    <w:rsid w:val="0079537C"/>
    <w:rsid w:val="007C5ED7"/>
    <w:rsid w:val="008029AA"/>
    <w:rsid w:val="00811C7B"/>
    <w:rsid w:val="008A7353"/>
    <w:rsid w:val="008B7F45"/>
    <w:rsid w:val="008D21D0"/>
    <w:rsid w:val="008E0017"/>
    <w:rsid w:val="008E3BE1"/>
    <w:rsid w:val="00912092"/>
    <w:rsid w:val="00970B11"/>
    <w:rsid w:val="009F10C2"/>
    <w:rsid w:val="009F4778"/>
    <w:rsid w:val="00A23130"/>
    <w:rsid w:val="00A83CE9"/>
    <w:rsid w:val="00AF6B27"/>
    <w:rsid w:val="00B26760"/>
    <w:rsid w:val="00B864B6"/>
    <w:rsid w:val="00BA3F43"/>
    <w:rsid w:val="00C179F4"/>
    <w:rsid w:val="00C44611"/>
    <w:rsid w:val="00C746C0"/>
    <w:rsid w:val="00CC67C4"/>
    <w:rsid w:val="00CD2751"/>
    <w:rsid w:val="00CD7953"/>
    <w:rsid w:val="00D001AB"/>
    <w:rsid w:val="00E163BD"/>
    <w:rsid w:val="00E30093"/>
    <w:rsid w:val="00E32DE8"/>
    <w:rsid w:val="00EA47EB"/>
    <w:rsid w:val="00EA5D02"/>
    <w:rsid w:val="00ED4F11"/>
    <w:rsid w:val="00F40412"/>
    <w:rsid w:val="00F478D5"/>
    <w:rsid w:val="01C506B1"/>
    <w:rsid w:val="01DD3040"/>
    <w:rsid w:val="025025C7"/>
    <w:rsid w:val="025A704C"/>
    <w:rsid w:val="02AD361F"/>
    <w:rsid w:val="03307BCF"/>
    <w:rsid w:val="04B85E33"/>
    <w:rsid w:val="05B72A07"/>
    <w:rsid w:val="064E5119"/>
    <w:rsid w:val="06500E91"/>
    <w:rsid w:val="08427747"/>
    <w:rsid w:val="09181A0E"/>
    <w:rsid w:val="09F46CB9"/>
    <w:rsid w:val="09FE0C04"/>
    <w:rsid w:val="0B1D50BA"/>
    <w:rsid w:val="0B837613"/>
    <w:rsid w:val="0BD5105E"/>
    <w:rsid w:val="0C163C89"/>
    <w:rsid w:val="0C1C3019"/>
    <w:rsid w:val="0C970545"/>
    <w:rsid w:val="0C9E3E88"/>
    <w:rsid w:val="0D731C52"/>
    <w:rsid w:val="0E0A14DC"/>
    <w:rsid w:val="0E527771"/>
    <w:rsid w:val="0EBC2250"/>
    <w:rsid w:val="0ED55CDD"/>
    <w:rsid w:val="0F983143"/>
    <w:rsid w:val="112E6273"/>
    <w:rsid w:val="12946FC4"/>
    <w:rsid w:val="12B502CE"/>
    <w:rsid w:val="144E482E"/>
    <w:rsid w:val="14A80625"/>
    <w:rsid w:val="161E1F16"/>
    <w:rsid w:val="16290DB7"/>
    <w:rsid w:val="1667215E"/>
    <w:rsid w:val="16924BAE"/>
    <w:rsid w:val="16C35F6D"/>
    <w:rsid w:val="16F815A6"/>
    <w:rsid w:val="172320E3"/>
    <w:rsid w:val="18B5165F"/>
    <w:rsid w:val="18DF5E7D"/>
    <w:rsid w:val="18FE29CF"/>
    <w:rsid w:val="19A00A4B"/>
    <w:rsid w:val="19BE215E"/>
    <w:rsid w:val="19D06DBD"/>
    <w:rsid w:val="1A0A7151"/>
    <w:rsid w:val="1A1454C8"/>
    <w:rsid w:val="1B3A7436"/>
    <w:rsid w:val="1B4A72D3"/>
    <w:rsid w:val="1BE55780"/>
    <w:rsid w:val="1BF53D61"/>
    <w:rsid w:val="1C204A0A"/>
    <w:rsid w:val="1C3D60E3"/>
    <w:rsid w:val="1C6860FB"/>
    <w:rsid w:val="1CDC1A13"/>
    <w:rsid w:val="1D01628A"/>
    <w:rsid w:val="1D4E4741"/>
    <w:rsid w:val="1D623D91"/>
    <w:rsid w:val="1DAC64F7"/>
    <w:rsid w:val="1E763007"/>
    <w:rsid w:val="1F58426F"/>
    <w:rsid w:val="202C7E22"/>
    <w:rsid w:val="217C7DF8"/>
    <w:rsid w:val="230954FF"/>
    <w:rsid w:val="2366189C"/>
    <w:rsid w:val="24525F11"/>
    <w:rsid w:val="24CE76BC"/>
    <w:rsid w:val="26313CEE"/>
    <w:rsid w:val="26384204"/>
    <w:rsid w:val="26713151"/>
    <w:rsid w:val="26E665DC"/>
    <w:rsid w:val="27027EBC"/>
    <w:rsid w:val="27455C6D"/>
    <w:rsid w:val="287E1436"/>
    <w:rsid w:val="28876442"/>
    <w:rsid w:val="28BF3BE1"/>
    <w:rsid w:val="29540A4E"/>
    <w:rsid w:val="2A1042F7"/>
    <w:rsid w:val="2A351D95"/>
    <w:rsid w:val="2A3A50B8"/>
    <w:rsid w:val="2A4F5BED"/>
    <w:rsid w:val="2AE50FE0"/>
    <w:rsid w:val="2C2C4C53"/>
    <w:rsid w:val="2C6F06EA"/>
    <w:rsid w:val="2E1B3575"/>
    <w:rsid w:val="2F0A1DA3"/>
    <w:rsid w:val="2F2038D9"/>
    <w:rsid w:val="2F52544D"/>
    <w:rsid w:val="2F5C0D20"/>
    <w:rsid w:val="3095452D"/>
    <w:rsid w:val="30ED51F6"/>
    <w:rsid w:val="311B60BE"/>
    <w:rsid w:val="322160BF"/>
    <w:rsid w:val="32220E91"/>
    <w:rsid w:val="33414566"/>
    <w:rsid w:val="339C1AE0"/>
    <w:rsid w:val="33B44B87"/>
    <w:rsid w:val="33DA3D65"/>
    <w:rsid w:val="34F12F90"/>
    <w:rsid w:val="35107D1E"/>
    <w:rsid w:val="36E7289C"/>
    <w:rsid w:val="37A97B52"/>
    <w:rsid w:val="37B75A0E"/>
    <w:rsid w:val="383D7C94"/>
    <w:rsid w:val="398B33FF"/>
    <w:rsid w:val="39F257E0"/>
    <w:rsid w:val="3C732B74"/>
    <w:rsid w:val="3D23467C"/>
    <w:rsid w:val="3D6464BE"/>
    <w:rsid w:val="3E653DE0"/>
    <w:rsid w:val="3EB16BD6"/>
    <w:rsid w:val="3FAF1A7E"/>
    <w:rsid w:val="41C01DDA"/>
    <w:rsid w:val="429F5DD9"/>
    <w:rsid w:val="42B74590"/>
    <w:rsid w:val="432B46F7"/>
    <w:rsid w:val="438E518B"/>
    <w:rsid w:val="440A3DD5"/>
    <w:rsid w:val="44634C5A"/>
    <w:rsid w:val="44836BE5"/>
    <w:rsid w:val="44A5087D"/>
    <w:rsid w:val="44DA759D"/>
    <w:rsid w:val="44E64193"/>
    <w:rsid w:val="4586034E"/>
    <w:rsid w:val="45AC718B"/>
    <w:rsid w:val="4607616F"/>
    <w:rsid w:val="480B1081"/>
    <w:rsid w:val="482A25E9"/>
    <w:rsid w:val="48DF5182"/>
    <w:rsid w:val="496438D9"/>
    <w:rsid w:val="49DE742A"/>
    <w:rsid w:val="4A1127A7"/>
    <w:rsid w:val="4B5F13FC"/>
    <w:rsid w:val="4CC52EF6"/>
    <w:rsid w:val="4E213521"/>
    <w:rsid w:val="4E546612"/>
    <w:rsid w:val="4EBC78EC"/>
    <w:rsid w:val="4ED8746E"/>
    <w:rsid w:val="4F262D20"/>
    <w:rsid w:val="4F94051C"/>
    <w:rsid w:val="51A73AA7"/>
    <w:rsid w:val="51E24BEC"/>
    <w:rsid w:val="522E5EFF"/>
    <w:rsid w:val="52754C96"/>
    <w:rsid w:val="53D05552"/>
    <w:rsid w:val="54DD0C82"/>
    <w:rsid w:val="560936E6"/>
    <w:rsid w:val="56633896"/>
    <w:rsid w:val="572B514A"/>
    <w:rsid w:val="58040325"/>
    <w:rsid w:val="58214C09"/>
    <w:rsid w:val="583F5C3D"/>
    <w:rsid w:val="58417C07"/>
    <w:rsid w:val="58FF419C"/>
    <w:rsid w:val="5A262B85"/>
    <w:rsid w:val="5A3E7F6B"/>
    <w:rsid w:val="5A667518"/>
    <w:rsid w:val="5AD635F4"/>
    <w:rsid w:val="5BB37BD2"/>
    <w:rsid w:val="5CBB176A"/>
    <w:rsid w:val="5F21512C"/>
    <w:rsid w:val="5F30008D"/>
    <w:rsid w:val="5F54638E"/>
    <w:rsid w:val="5FA665A1"/>
    <w:rsid w:val="5FD8371D"/>
    <w:rsid w:val="607448F1"/>
    <w:rsid w:val="61096E8A"/>
    <w:rsid w:val="613C6411"/>
    <w:rsid w:val="61BA4586"/>
    <w:rsid w:val="62037D88"/>
    <w:rsid w:val="62376C2D"/>
    <w:rsid w:val="640D3093"/>
    <w:rsid w:val="64DB4055"/>
    <w:rsid w:val="65250D14"/>
    <w:rsid w:val="658A426F"/>
    <w:rsid w:val="66652D12"/>
    <w:rsid w:val="6A333127"/>
    <w:rsid w:val="6A960F5F"/>
    <w:rsid w:val="6AC91945"/>
    <w:rsid w:val="6B623045"/>
    <w:rsid w:val="6BD149A6"/>
    <w:rsid w:val="6C871509"/>
    <w:rsid w:val="6C8934D3"/>
    <w:rsid w:val="6DEC1F6B"/>
    <w:rsid w:val="6E6C5E96"/>
    <w:rsid w:val="6EC32CCC"/>
    <w:rsid w:val="6EEC0DE2"/>
    <w:rsid w:val="6F9A3937"/>
    <w:rsid w:val="6FB33702"/>
    <w:rsid w:val="6FC043C6"/>
    <w:rsid w:val="6FD1766A"/>
    <w:rsid w:val="703F2826"/>
    <w:rsid w:val="70CC184A"/>
    <w:rsid w:val="714E0847"/>
    <w:rsid w:val="71551BD5"/>
    <w:rsid w:val="71981D91"/>
    <w:rsid w:val="71C06FA4"/>
    <w:rsid w:val="72D70695"/>
    <w:rsid w:val="74447273"/>
    <w:rsid w:val="75045ABA"/>
    <w:rsid w:val="752B4F6B"/>
    <w:rsid w:val="76D8093F"/>
    <w:rsid w:val="776C706F"/>
    <w:rsid w:val="79256331"/>
    <w:rsid w:val="797C462E"/>
    <w:rsid w:val="7BD94E15"/>
    <w:rsid w:val="7BFF4027"/>
    <w:rsid w:val="7C3639F5"/>
    <w:rsid w:val="7CC548D0"/>
    <w:rsid w:val="7CCC2DD8"/>
    <w:rsid w:val="7CDE6F23"/>
    <w:rsid w:val="7CE47912"/>
    <w:rsid w:val="7D43322A"/>
    <w:rsid w:val="7DDD542C"/>
    <w:rsid w:val="7E1F3C97"/>
    <w:rsid w:val="7E6D3040"/>
    <w:rsid w:val="7F71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064F93"/>
  <w15:docId w15:val="{7AB72110-AB8D-42B3-ADE8-2343EBF6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annotation reference" w:qFormat="1"/>
    <w:lsdException w:name="page number" w:qFormat="1"/>
    <w:lsdException w:name="endnote text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Body Text 2" w:qFormat="1"/>
    <w:lsdException w:name="Hyperlink" w:qFormat="1"/>
    <w:lsdException w:name="Followed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360"/>
      </w:tabs>
      <w:snapToGrid w:val="0"/>
      <w:spacing w:line="360" w:lineRule="auto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tabs>
        <w:tab w:val="left" w:pos="360"/>
      </w:tabs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tabs>
        <w:tab w:val="left" w:pos="360"/>
      </w:tabs>
      <w:spacing w:before="260" w:after="260" w:line="416" w:lineRule="auto"/>
      <w:ind w:left="0" w:firstLine="0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tabs>
        <w:tab w:val="left" w:pos="360"/>
      </w:tabs>
      <w:spacing w:before="280" w:after="290" w:line="376" w:lineRule="auto"/>
      <w:ind w:left="0" w:firstLine="0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tabs>
        <w:tab w:val="left" w:pos="360"/>
      </w:tabs>
      <w:spacing w:before="280" w:after="290" w:line="376" w:lineRule="auto"/>
      <w:ind w:left="0" w:firstLine="0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tabs>
        <w:tab w:val="left" w:pos="360"/>
      </w:tabs>
      <w:spacing w:before="240" w:after="64" w:line="320" w:lineRule="auto"/>
      <w:ind w:left="0" w:firstLine="0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tabs>
        <w:tab w:val="left" w:pos="360"/>
      </w:tabs>
      <w:spacing w:before="240" w:after="64" w:line="320" w:lineRule="auto"/>
      <w:ind w:left="0" w:firstLine="0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tabs>
        <w:tab w:val="left" w:pos="360"/>
      </w:tabs>
      <w:spacing w:before="240" w:after="64" w:line="320" w:lineRule="auto"/>
      <w:ind w:left="0" w:firstLine="0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tabs>
        <w:tab w:val="left" w:pos="360"/>
      </w:tabs>
      <w:spacing w:before="240" w:after="64" w:line="320" w:lineRule="auto"/>
      <w:ind w:left="0" w:firstLine="0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qFormat/>
    <w:pPr>
      <w:jc w:val="center"/>
    </w:pPr>
    <w:rPr>
      <w:bCs/>
      <w:sz w:val="24"/>
    </w:rPr>
  </w:style>
  <w:style w:type="paragraph" w:styleId="a5">
    <w:name w:val="Body Text Indent"/>
    <w:basedOn w:val="a"/>
    <w:qFormat/>
    <w:pPr>
      <w:spacing w:after="120"/>
      <w:ind w:leftChars="200" w:left="420"/>
    </w:pPr>
  </w:style>
  <w:style w:type="paragraph" w:styleId="a6">
    <w:name w:val="endnote text"/>
    <w:basedOn w:val="a"/>
    <w:qFormat/>
    <w:pPr>
      <w:snapToGrid w:val="0"/>
      <w:jc w:val="left"/>
    </w:pPr>
  </w:style>
  <w:style w:type="paragraph" w:styleId="a7">
    <w:name w:val="Balloon Text"/>
    <w:basedOn w:val="a"/>
    <w:qFormat/>
    <w:rPr>
      <w:sz w:val="18"/>
      <w:szCs w:val="18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footnote text"/>
    <w:basedOn w:val="a"/>
    <w:qFormat/>
    <w:pPr>
      <w:snapToGrid w:val="0"/>
      <w:jc w:val="left"/>
    </w:pPr>
    <w:rPr>
      <w:sz w:val="18"/>
      <w:szCs w:val="18"/>
    </w:rPr>
  </w:style>
  <w:style w:type="paragraph" w:styleId="20">
    <w:name w:val="Body Text 2"/>
    <w:basedOn w:val="a"/>
    <w:qFormat/>
    <w:pPr>
      <w:jc w:val="center"/>
    </w:pPr>
  </w:style>
  <w:style w:type="paragraph" w:styleId="HTML">
    <w:name w:val="HTML Preformatted"/>
    <w:basedOn w:val="a"/>
    <w:qFormat/>
    <w:pPr>
      <w:widowControl/>
      <w:shd w:val="clear" w:color="auto" w:fill="F5F5F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60" w:lineRule="atLeast"/>
      <w:jc w:val="left"/>
    </w:pPr>
    <w:rPr>
      <w:rFonts w:ascii="Courier New" w:hAnsi="Courier New" w:cs="Courier New"/>
      <w:color w:val="003399"/>
      <w:kern w:val="0"/>
      <w:szCs w:val="21"/>
    </w:rPr>
  </w:style>
  <w:style w:type="paragraph" w:styleId="ab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c">
    <w:name w:val="Title"/>
    <w:basedOn w:val="a"/>
    <w:next w:val="ad"/>
    <w:qFormat/>
    <w:pPr>
      <w:keepNext/>
      <w:overflowPunct w:val="0"/>
      <w:adjustRightInd w:val="0"/>
      <w:snapToGrid w:val="0"/>
      <w:spacing w:before="600" w:after="240" w:line="300" w:lineRule="auto"/>
      <w:jc w:val="center"/>
      <w:outlineLvl w:val="0"/>
    </w:pPr>
    <w:rPr>
      <w:rFonts w:eastAsia="黑体"/>
      <w:bCs/>
      <w:snapToGrid w:val="0"/>
      <w:kern w:val="0"/>
      <w:sz w:val="32"/>
      <w:szCs w:val="20"/>
    </w:rPr>
  </w:style>
  <w:style w:type="paragraph" w:styleId="ad">
    <w:name w:val="Body Text First Indent"/>
    <w:basedOn w:val="a"/>
    <w:qFormat/>
    <w:pPr>
      <w:overflowPunct w:val="0"/>
      <w:autoSpaceDE w:val="0"/>
      <w:autoSpaceDN w:val="0"/>
      <w:adjustRightInd w:val="0"/>
      <w:snapToGrid w:val="0"/>
      <w:spacing w:before="20" w:after="20" w:line="300" w:lineRule="auto"/>
      <w:ind w:firstLine="454"/>
    </w:pPr>
  </w:style>
  <w:style w:type="paragraph" w:styleId="ae">
    <w:name w:val="annotation subject"/>
    <w:basedOn w:val="a3"/>
    <w:next w:val="a3"/>
    <w:qFormat/>
    <w:rPr>
      <w:b/>
      <w:bCs/>
    </w:rPr>
  </w:style>
  <w:style w:type="table" w:styleId="af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page number"/>
    <w:basedOn w:val="a0"/>
    <w:qFormat/>
  </w:style>
  <w:style w:type="character" w:styleId="af2">
    <w:name w:val="FollowedHyperlink"/>
    <w:basedOn w:val="a0"/>
    <w:qFormat/>
    <w:rPr>
      <w:color w:val="800080"/>
      <w:u w:val="single"/>
    </w:rPr>
  </w:style>
  <w:style w:type="character" w:styleId="af3">
    <w:name w:val="Emphasis"/>
    <w:basedOn w:val="a0"/>
    <w:qFormat/>
    <w:rPr>
      <w:i/>
    </w:rPr>
  </w:style>
  <w:style w:type="character" w:styleId="af4">
    <w:name w:val="Hyperlink"/>
    <w:basedOn w:val="a0"/>
    <w:qFormat/>
    <w:rPr>
      <w:color w:val="0000FF"/>
      <w:u w:val="single"/>
    </w:rPr>
  </w:style>
  <w:style w:type="character" w:styleId="af5">
    <w:name w:val="annotation reference"/>
    <w:basedOn w:val="a0"/>
    <w:qFormat/>
    <w:rPr>
      <w:sz w:val="21"/>
      <w:szCs w:val="21"/>
    </w:rPr>
  </w:style>
  <w:style w:type="character" w:styleId="af6">
    <w:name w:val="footnote reference"/>
    <w:basedOn w:val="a0"/>
    <w:qFormat/>
    <w:rPr>
      <w:vertAlign w:val="superscript"/>
    </w:rPr>
  </w:style>
  <w:style w:type="paragraph" w:customStyle="1" w:styleId="TAMainText">
    <w:name w:val="TA_Main_Text"/>
    <w:basedOn w:val="a"/>
    <w:qFormat/>
    <w:pPr>
      <w:widowControl/>
      <w:spacing w:line="240" w:lineRule="exact"/>
      <w:ind w:firstLine="202"/>
    </w:pPr>
    <w:rPr>
      <w:rFonts w:ascii="Times" w:hAnsi="Times"/>
      <w:kern w:val="0"/>
      <w:sz w:val="20"/>
      <w:szCs w:val="20"/>
    </w:rPr>
  </w:style>
  <w:style w:type="paragraph" w:customStyle="1" w:styleId="VDTableTitle">
    <w:name w:val="VD_Table_Title"/>
    <w:basedOn w:val="a"/>
    <w:next w:val="a"/>
    <w:qFormat/>
    <w:pPr>
      <w:widowControl/>
      <w:spacing w:after="240" w:line="200" w:lineRule="exact"/>
      <w:jc w:val="left"/>
    </w:pPr>
    <w:rPr>
      <w:rFonts w:ascii="Times" w:hAnsi="Times"/>
      <w:kern w:val="0"/>
      <w:sz w:val="18"/>
      <w:szCs w:val="20"/>
    </w:rPr>
  </w:style>
  <w:style w:type="paragraph" w:customStyle="1" w:styleId="af7">
    <w:name w:val="表题说明"/>
    <w:basedOn w:val="a"/>
    <w:qFormat/>
    <w:pPr>
      <w:spacing w:before="60" w:after="60" w:line="300" w:lineRule="exact"/>
      <w:jc w:val="center"/>
    </w:pPr>
    <w:rPr>
      <w:rFonts w:eastAsia="方正黑体简体"/>
      <w:sz w:val="18"/>
      <w:szCs w:val="18"/>
    </w:rPr>
  </w:style>
  <w:style w:type="paragraph" w:customStyle="1" w:styleId="af8">
    <w:name w:val="参考文献"/>
    <w:basedOn w:val="a"/>
    <w:qFormat/>
    <w:pPr>
      <w:spacing w:line="300" w:lineRule="exact"/>
    </w:pPr>
    <w:rPr>
      <w:rFonts w:eastAsia="方正宋三简体"/>
      <w:sz w:val="18"/>
      <w:szCs w:val="18"/>
    </w:rPr>
  </w:style>
  <w:style w:type="paragraph" w:customStyle="1" w:styleId="af9">
    <w:name w:val="参考文献标题"/>
    <w:basedOn w:val="a"/>
    <w:qFormat/>
    <w:pPr>
      <w:spacing w:before="240" w:line="360" w:lineRule="exact"/>
    </w:pPr>
    <w:rPr>
      <w:rFonts w:eastAsia="方正黑体简体"/>
      <w:szCs w:val="21"/>
    </w:rPr>
  </w:style>
  <w:style w:type="paragraph" w:customStyle="1" w:styleId="afa">
    <w:name w:val="二级标题"/>
    <w:basedOn w:val="a"/>
    <w:qFormat/>
    <w:pPr>
      <w:spacing w:line="360" w:lineRule="exact"/>
    </w:pPr>
    <w:rPr>
      <w:rFonts w:eastAsia="方正黑体简体"/>
      <w:szCs w:val="21"/>
    </w:rPr>
  </w:style>
  <w:style w:type="paragraph" w:customStyle="1" w:styleId="afb">
    <w:name w:val="三级标题"/>
    <w:basedOn w:val="a"/>
    <w:qFormat/>
    <w:pPr>
      <w:spacing w:line="360" w:lineRule="exact"/>
      <w:outlineLvl w:val="3"/>
    </w:pPr>
    <w:rPr>
      <w:rFonts w:eastAsia="方正楷体简体"/>
    </w:rPr>
  </w:style>
  <w:style w:type="paragraph" w:customStyle="1" w:styleId="afc">
    <w:name w:val="图表标注"/>
    <w:basedOn w:val="a"/>
    <w:qFormat/>
    <w:pPr>
      <w:spacing w:after="120" w:line="320" w:lineRule="exact"/>
    </w:pPr>
    <w:rPr>
      <w:sz w:val="15"/>
      <w:szCs w:val="15"/>
    </w:rPr>
  </w:style>
  <w:style w:type="paragraph" w:customStyle="1" w:styleId="afd">
    <w:name w:val="图表内格式"/>
    <w:basedOn w:val="a"/>
    <w:qFormat/>
    <w:pPr>
      <w:spacing w:line="300" w:lineRule="exact"/>
      <w:jc w:val="center"/>
    </w:pPr>
    <w:rPr>
      <w:rFonts w:eastAsia="方正宋三简体"/>
      <w:sz w:val="18"/>
      <w:szCs w:val="18"/>
    </w:rPr>
  </w:style>
  <w:style w:type="paragraph" w:customStyle="1" w:styleId="afe">
    <w:name w:val="图的说明"/>
    <w:basedOn w:val="a"/>
    <w:qFormat/>
    <w:pPr>
      <w:spacing w:after="60" w:line="300" w:lineRule="exact"/>
      <w:jc w:val="center"/>
    </w:pPr>
    <w:rPr>
      <w:rFonts w:eastAsia="方正黑体简体"/>
      <w:sz w:val="18"/>
      <w:szCs w:val="18"/>
    </w:rPr>
  </w:style>
  <w:style w:type="paragraph" w:customStyle="1" w:styleId="aff">
    <w:name w:val="文章编号"/>
    <w:basedOn w:val="a"/>
    <w:qFormat/>
    <w:pPr>
      <w:spacing w:line="360" w:lineRule="exact"/>
    </w:pPr>
    <w:rPr>
      <w:rFonts w:eastAsia="方正黑体简体"/>
      <w:szCs w:val="21"/>
    </w:rPr>
  </w:style>
  <w:style w:type="paragraph" w:customStyle="1" w:styleId="aff0">
    <w:name w:val="文章标题"/>
    <w:basedOn w:val="a"/>
    <w:next w:val="a"/>
    <w:qFormat/>
    <w:pPr>
      <w:spacing w:before="480" w:line="760" w:lineRule="exact"/>
      <w:jc w:val="center"/>
      <w:outlineLvl w:val="0"/>
    </w:pPr>
    <w:rPr>
      <w:rFonts w:eastAsia="方正宋三简体"/>
      <w:sz w:val="44"/>
      <w:szCs w:val="28"/>
    </w:rPr>
  </w:style>
  <w:style w:type="paragraph" w:customStyle="1" w:styleId="aff1">
    <w:name w:val="文章副标题"/>
    <w:basedOn w:val="a"/>
    <w:qFormat/>
    <w:pPr>
      <w:spacing w:line="480" w:lineRule="exact"/>
      <w:jc w:val="center"/>
      <w:outlineLvl w:val="1"/>
    </w:pPr>
    <w:rPr>
      <w:rFonts w:eastAsia="方正仿宋简体"/>
      <w:sz w:val="28"/>
      <w:szCs w:val="28"/>
    </w:rPr>
  </w:style>
  <w:style w:type="paragraph" w:customStyle="1" w:styleId="aff2">
    <w:name w:val="文章正文"/>
    <w:basedOn w:val="a"/>
    <w:qFormat/>
    <w:pPr>
      <w:spacing w:line="360" w:lineRule="exact"/>
      <w:ind w:firstLine="420"/>
    </w:pPr>
    <w:rPr>
      <w:rFonts w:eastAsia="方正宋三简体"/>
    </w:rPr>
  </w:style>
  <w:style w:type="paragraph" w:customStyle="1" w:styleId="aff3">
    <w:name w:val="页脚格式"/>
    <w:basedOn w:val="aa"/>
    <w:qFormat/>
    <w:pPr>
      <w:ind w:firstLineChars="100" w:firstLine="151"/>
    </w:pPr>
    <w:rPr>
      <w:sz w:val="15"/>
      <w:szCs w:val="15"/>
    </w:rPr>
  </w:style>
  <w:style w:type="paragraph" w:customStyle="1" w:styleId="aff4">
    <w:name w:val="一级标题"/>
    <w:basedOn w:val="a"/>
    <w:qFormat/>
    <w:pPr>
      <w:spacing w:before="360" w:after="360" w:line="360" w:lineRule="exact"/>
    </w:pPr>
    <w:rPr>
      <w:rFonts w:eastAsia="方正黑体简体"/>
      <w:sz w:val="28"/>
      <w:szCs w:val="28"/>
    </w:rPr>
  </w:style>
  <w:style w:type="paragraph" w:customStyle="1" w:styleId="aff5">
    <w:name w:val="英文标题"/>
    <w:basedOn w:val="a"/>
    <w:qFormat/>
    <w:pPr>
      <w:spacing w:before="480" w:after="240" w:line="480" w:lineRule="exact"/>
      <w:jc w:val="center"/>
      <w:outlineLvl w:val="0"/>
    </w:pPr>
    <w:rPr>
      <w:bCs/>
      <w:sz w:val="28"/>
      <w:szCs w:val="28"/>
    </w:rPr>
  </w:style>
  <w:style w:type="paragraph" w:customStyle="1" w:styleId="aff6">
    <w:name w:val="英文摘要及其他"/>
    <w:basedOn w:val="a"/>
    <w:qFormat/>
    <w:pPr>
      <w:spacing w:line="360" w:lineRule="exact"/>
    </w:pPr>
    <w:rPr>
      <w:szCs w:val="21"/>
    </w:rPr>
  </w:style>
  <w:style w:type="paragraph" w:customStyle="1" w:styleId="aff7">
    <w:name w:val="致谢"/>
    <w:basedOn w:val="a"/>
    <w:qFormat/>
    <w:pPr>
      <w:spacing w:before="240" w:after="240" w:line="360" w:lineRule="exact"/>
    </w:pPr>
    <w:rPr>
      <w:rFonts w:eastAsia="方正楷体简体"/>
      <w:szCs w:val="21"/>
    </w:rPr>
  </w:style>
  <w:style w:type="paragraph" w:customStyle="1" w:styleId="aff8">
    <w:name w:val="中文分类号及标示码"/>
    <w:basedOn w:val="a"/>
    <w:qFormat/>
    <w:pPr>
      <w:spacing w:after="600" w:line="360" w:lineRule="exact"/>
      <w:ind w:left="420" w:right="420"/>
    </w:pPr>
    <w:rPr>
      <w:rFonts w:eastAsia="方正黑体简体"/>
      <w:bCs/>
      <w:szCs w:val="21"/>
    </w:rPr>
  </w:style>
  <w:style w:type="paragraph" w:customStyle="1" w:styleId="aff9">
    <w:name w:val="中文关键词"/>
    <w:basedOn w:val="a"/>
    <w:qFormat/>
    <w:pPr>
      <w:spacing w:line="360" w:lineRule="exact"/>
      <w:ind w:left="420" w:right="420"/>
    </w:pPr>
    <w:rPr>
      <w:rFonts w:eastAsia="方正楷体简体"/>
      <w:szCs w:val="21"/>
    </w:rPr>
  </w:style>
  <w:style w:type="paragraph" w:customStyle="1" w:styleId="affa">
    <w:name w:val="中文摘要"/>
    <w:basedOn w:val="a"/>
    <w:qFormat/>
    <w:pPr>
      <w:spacing w:line="360" w:lineRule="exact"/>
      <w:ind w:left="420" w:right="420"/>
    </w:pPr>
    <w:rPr>
      <w:rFonts w:eastAsia="方正楷体简体"/>
      <w:szCs w:val="21"/>
    </w:rPr>
  </w:style>
  <w:style w:type="paragraph" w:customStyle="1" w:styleId="affb">
    <w:name w:val="作者单位"/>
    <w:basedOn w:val="a"/>
    <w:qFormat/>
    <w:pPr>
      <w:spacing w:before="120" w:after="120" w:line="400" w:lineRule="exact"/>
      <w:jc w:val="center"/>
    </w:pPr>
    <w:rPr>
      <w:sz w:val="18"/>
      <w:szCs w:val="18"/>
    </w:rPr>
  </w:style>
  <w:style w:type="paragraph" w:customStyle="1" w:styleId="affc">
    <w:name w:val="作者单位英文"/>
    <w:basedOn w:val="a"/>
    <w:qFormat/>
    <w:pPr>
      <w:spacing w:before="120" w:after="120" w:line="300" w:lineRule="exact"/>
      <w:jc w:val="center"/>
    </w:pPr>
    <w:rPr>
      <w:sz w:val="18"/>
      <w:lang w:val="en-GB"/>
    </w:rPr>
  </w:style>
  <w:style w:type="paragraph" w:customStyle="1" w:styleId="affd">
    <w:name w:val="作者姓名"/>
    <w:basedOn w:val="aff1"/>
    <w:qFormat/>
    <w:pPr>
      <w:spacing w:before="480"/>
    </w:pPr>
    <w:rPr>
      <w:rFonts w:eastAsia="楷体_GB2312"/>
    </w:rPr>
  </w:style>
  <w:style w:type="paragraph" w:customStyle="1" w:styleId="affe">
    <w:name w:val="作者姓名拼音"/>
    <w:basedOn w:val="a"/>
    <w:qFormat/>
    <w:pPr>
      <w:spacing w:line="360" w:lineRule="exact"/>
      <w:jc w:val="center"/>
      <w:outlineLvl w:val="1"/>
    </w:pPr>
  </w:style>
  <w:style w:type="paragraph" w:customStyle="1" w:styleId="afff">
    <w:name w:val="首页页眉文字"/>
    <w:basedOn w:val="a9"/>
    <w:qFormat/>
    <w:pPr>
      <w:pBdr>
        <w:bottom w:val="thickThinSmallGap" w:sz="12" w:space="1" w:color="auto"/>
      </w:pBdr>
      <w:tabs>
        <w:tab w:val="clear" w:pos="4153"/>
        <w:tab w:val="clear" w:pos="8306"/>
      </w:tabs>
      <w:spacing w:line="240" w:lineRule="exact"/>
      <w:jc w:val="both"/>
    </w:pPr>
    <w:rPr>
      <w:rFonts w:eastAsia="方正宋三简体" w:hAnsi="宋体"/>
      <w:sz w:val="15"/>
      <w:szCs w:val="15"/>
    </w:rPr>
  </w:style>
  <w:style w:type="paragraph" w:customStyle="1" w:styleId="afff0">
    <w:name w:val="页脚文字"/>
    <w:basedOn w:val="aa"/>
    <w:qFormat/>
    <w:pPr>
      <w:spacing w:line="200" w:lineRule="exact"/>
      <w:ind w:firstLineChars="100" w:firstLine="100"/>
    </w:pPr>
    <w:rPr>
      <w:rFonts w:eastAsia="方正宋三简体"/>
      <w:sz w:val="15"/>
      <w:szCs w:val="15"/>
    </w:rPr>
  </w:style>
  <w:style w:type="paragraph" w:customStyle="1" w:styleId="afff1">
    <w:name w:val="奇偶页眉文字"/>
    <w:basedOn w:val="a9"/>
    <w:qFormat/>
    <w:pPr>
      <w:pBdr>
        <w:bottom w:val="single" w:sz="6" w:space="0" w:color="auto"/>
      </w:pBdr>
      <w:tabs>
        <w:tab w:val="clear" w:pos="4153"/>
        <w:tab w:val="clear" w:pos="8306"/>
      </w:tabs>
      <w:jc w:val="both"/>
    </w:pPr>
    <w:rPr>
      <w:rFonts w:eastAsia="方正宋三简体"/>
    </w:rPr>
  </w:style>
  <w:style w:type="paragraph" w:customStyle="1" w:styleId="afff2">
    <w:name w:val="方程组样式"/>
    <w:basedOn w:val="01"/>
    <w:qFormat/>
    <w:pPr>
      <w:spacing w:line="240" w:lineRule="auto"/>
      <w:ind w:firstLineChars="100" w:firstLine="100"/>
    </w:pPr>
    <w:rPr>
      <w:rFonts w:eastAsia="方正宋三简体"/>
    </w:rPr>
  </w:style>
  <w:style w:type="paragraph" w:customStyle="1" w:styleId="01">
    <w:name w:val="01 文章编号"/>
    <w:basedOn w:val="a"/>
    <w:qFormat/>
    <w:pPr>
      <w:spacing w:line="360" w:lineRule="exact"/>
    </w:pPr>
    <w:rPr>
      <w:rFonts w:eastAsia="方正黑体简体"/>
      <w:szCs w:val="21"/>
    </w:rPr>
  </w:style>
  <w:style w:type="paragraph" w:customStyle="1" w:styleId="afff3">
    <w:name w:val="图表注释"/>
    <w:basedOn w:val="a"/>
    <w:qFormat/>
    <w:pPr>
      <w:spacing w:after="60" w:line="240" w:lineRule="exact"/>
    </w:pPr>
    <w:rPr>
      <w:rFonts w:eastAsia="方正宋三简体"/>
      <w:sz w:val="15"/>
      <w:szCs w:val="15"/>
    </w:rPr>
  </w:style>
  <w:style w:type="paragraph" w:customStyle="1" w:styleId="afff4">
    <w:name w:val="作者中文单位"/>
    <w:basedOn w:val="a"/>
    <w:qFormat/>
    <w:pPr>
      <w:spacing w:before="60" w:after="60" w:line="360" w:lineRule="exact"/>
      <w:jc w:val="center"/>
    </w:pPr>
    <w:rPr>
      <w:rFonts w:eastAsia="方正宋三简体"/>
      <w:sz w:val="18"/>
      <w:szCs w:val="18"/>
    </w:rPr>
  </w:style>
  <w:style w:type="paragraph" w:customStyle="1" w:styleId="afff5">
    <w:name w:val="作者中文名"/>
    <w:basedOn w:val="aff1"/>
    <w:qFormat/>
    <w:pPr>
      <w:spacing w:before="480"/>
    </w:pPr>
    <w:rPr>
      <w:rFonts w:eastAsia="方正楷体简体"/>
    </w:rPr>
  </w:style>
  <w:style w:type="paragraph" w:customStyle="1" w:styleId="02">
    <w:name w:val="02 文章标题"/>
    <w:basedOn w:val="a"/>
    <w:next w:val="a"/>
    <w:qFormat/>
    <w:pPr>
      <w:spacing w:before="800" w:after="160" w:line="480" w:lineRule="exact"/>
      <w:jc w:val="center"/>
      <w:outlineLvl w:val="0"/>
    </w:pPr>
    <w:rPr>
      <w:rFonts w:eastAsia="方正宋三简体"/>
      <w:sz w:val="36"/>
      <w:szCs w:val="36"/>
    </w:rPr>
  </w:style>
  <w:style w:type="paragraph" w:customStyle="1" w:styleId="021">
    <w:name w:val="021 文章副标题"/>
    <w:basedOn w:val="a"/>
    <w:qFormat/>
    <w:pPr>
      <w:spacing w:line="320" w:lineRule="exact"/>
      <w:jc w:val="center"/>
      <w:outlineLvl w:val="1"/>
    </w:pPr>
    <w:rPr>
      <w:rFonts w:eastAsia="方正仿宋简体"/>
      <w:sz w:val="28"/>
      <w:szCs w:val="28"/>
    </w:rPr>
  </w:style>
  <w:style w:type="paragraph" w:customStyle="1" w:styleId="03">
    <w:name w:val="03 作者中文名"/>
    <w:basedOn w:val="021"/>
    <w:qFormat/>
    <w:pPr>
      <w:spacing w:before="320"/>
    </w:pPr>
    <w:rPr>
      <w:rFonts w:eastAsia="方正楷体简体"/>
      <w:sz w:val="24"/>
      <w:szCs w:val="24"/>
    </w:rPr>
  </w:style>
  <w:style w:type="paragraph" w:customStyle="1" w:styleId="04">
    <w:name w:val="04 作者中文单位"/>
    <w:basedOn w:val="a"/>
    <w:qFormat/>
    <w:pPr>
      <w:spacing w:after="160" w:line="320" w:lineRule="exact"/>
      <w:jc w:val="center"/>
    </w:pPr>
    <w:rPr>
      <w:sz w:val="18"/>
      <w:szCs w:val="18"/>
    </w:rPr>
  </w:style>
  <w:style w:type="paragraph" w:customStyle="1" w:styleId="05">
    <w:name w:val="05 中文摘要"/>
    <w:basedOn w:val="a"/>
    <w:qFormat/>
    <w:pPr>
      <w:spacing w:line="320" w:lineRule="exact"/>
      <w:ind w:left="420" w:right="420"/>
    </w:pPr>
    <w:rPr>
      <w:rFonts w:eastAsia="方正楷体简体"/>
      <w:szCs w:val="21"/>
    </w:rPr>
  </w:style>
  <w:style w:type="paragraph" w:customStyle="1" w:styleId="06">
    <w:name w:val="06 中文关键词"/>
    <w:basedOn w:val="a"/>
    <w:qFormat/>
    <w:pPr>
      <w:spacing w:line="320" w:lineRule="exact"/>
      <w:ind w:left="420" w:right="420"/>
    </w:pPr>
    <w:rPr>
      <w:rFonts w:eastAsia="方正楷体简体"/>
      <w:szCs w:val="21"/>
    </w:rPr>
  </w:style>
  <w:style w:type="paragraph" w:customStyle="1" w:styleId="07">
    <w:name w:val="07 中文分类号及标示码"/>
    <w:basedOn w:val="a"/>
    <w:qFormat/>
    <w:pPr>
      <w:spacing w:after="320" w:line="320" w:lineRule="exact"/>
      <w:ind w:left="420" w:right="420"/>
    </w:pPr>
    <w:rPr>
      <w:rFonts w:eastAsia="方正黑体简体"/>
      <w:bCs/>
      <w:szCs w:val="21"/>
    </w:rPr>
  </w:style>
  <w:style w:type="paragraph" w:customStyle="1" w:styleId="08">
    <w:name w:val="08 一级标题"/>
    <w:basedOn w:val="a"/>
    <w:qFormat/>
    <w:pPr>
      <w:numPr>
        <w:numId w:val="2"/>
      </w:numPr>
      <w:ind w:left="0" w:firstLine="0"/>
    </w:pPr>
    <w:rPr>
      <w:b/>
      <w:sz w:val="24"/>
      <w:szCs w:val="21"/>
    </w:rPr>
  </w:style>
  <w:style w:type="paragraph" w:customStyle="1" w:styleId="09">
    <w:name w:val="09 二级标题"/>
    <w:basedOn w:val="a"/>
    <w:link w:val="09CharChar"/>
    <w:qFormat/>
    <w:pPr>
      <w:numPr>
        <w:numId w:val="3"/>
      </w:numPr>
      <w:spacing w:line="320" w:lineRule="exact"/>
    </w:pPr>
    <w:rPr>
      <w:b/>
      <w:szCs w:val="21"/>
    </w:rPr>
  </w:style>
  <w:style w:type="paragraph" w:customStyle="1" w:styleId="10">
    <w:name w:val="10 三级标题"/>
    <w:basedOn w:val="a"/>
    <w:qFormat/>
    <w:pPr>
      <w:spacing w:line="320" w:lineRule="exact"/>
      <w:outlineLvl w:val="3"/>
    </w:pPr>
    <w:rPr>
      <w:rFonts w:eastAsia="楷体"/>
    </w:rPr>
  </w:style>
  <w:style w:type="paragraph" w:customStyle="1" w:styleId="11">
    <w:name w:val="11 文章正文"/>
    <w:basedOn w:val="a"/>
    <w:link w:val="11Char"/>
    <w:qFormat/>
    <w:pPr>
      <w:ind w:firstLineChars="200" w:firstLine="720"/>
    </w:pPr>
  </w:style>
  <w:style w:type="paragraph" w:customStyle="1" w:styleId="12">
    <w:name w:val="12 表题说明"/>
    <w:basedOn w:val="a"/>
    <w:qFormat/>
    <w:pPr>
      <w:spacing w:before="80" w:after="60" w:line="280" w:lineRule="exact"/>
      <w:jc w:val="center"/>
    </w:pPr>
    <w:rPr>
      <w:rFonts w:eastAsia="方正黑体简体"/>
      <w:sz w:val="18"/>
      <w:szCs w:val="18"/>
    </w:rPr>
  </w:style>
  <w:style w:type="paragraph" w:customStyle="1" w:styleId="121">
    <w:name w:val="121 表格内的格式"/>
    <w:basedOn w:val="a"/>
    <w:link w:val="121Char"/>
    <w:qFormat/>
    <w:pPr>
      <w:spacing w:line="300" w:lineRule="exact"/>
      <w:jc w:val="center"/>
    </w:pPr>
    <w:rPr>
      <w:rFonts w:eastAsia="方正宋三简体"/>
      <w:sz w:val="18"/>
      <w:szCs w:val="18"/>
    </w:rPr>
  </w:style>
  <w:style w:type="paragraph" w:customStyle="1" w:styleId="122">
    <w:name w:val="122 图表注释"/>
    <w:basedOn w:val="a"/>
    <w:qFormat/>
    <w:pPr>
      <w:spacing w:after="60" w:line="240" w:lineRule="exact"/>
    </w:pPr>
    <w:rPr>
      <w:rFonts w:eastAsia="方正宋三简体"/>
      <w:sz w:val="15"/>
      <w:szCs w:val="15"/>
    </w:rPr>
  </w:style>
  <w:style w:type="paragraph" w:customStyle="1" w:styleId="13">
    <w:name w:val="13 图的说明"/>
    <w:basedOn w:val="a"/>
    <w:link w:val="13Char"/>
    <w:qFormat/>
    <w:pPr>
      <w:spacing w:before="80" w:after="60" w:line="280" w:lineRule="exact"/>
      <w:jc w:val="center"/>
    </w:pPr>
    <w:rPr>
      <w:rFonts w:eastAsia="黑体"/>
      <w:sz w:val="18"/>
      <w:szCs w:val="18"/>
    </w:rPr>
  </w:style>
  <w:style w:type="paragraph" w:customStyle="1" w:styleId="14">
    <w:name w:val="14 参考文献标题"/>
    <w:basedOn w:val="a"/>
    <w:qFormat/>
    <w:pPr>
      <w:spacing w:before="240" w:line="360" w:lineRule="exact"/>
    </w:pPr>
    <w:rPr>
      <w:rFonts w:eastAsia="方正黑体简体"/>
      <w:szCs w:val="21"/>
    </w:rPr>
  </w:style>
  <w:style w:type="paragraph" w:customStyle="1" w:styleId="15">
    <w:name w:val="15 参考文献"/>
    <w:basedOn w:val="a"/>
    <w:qFormat/>
    <w:pPr>
      <w:numPr>
        <w:numId w:val="4"/>
      </w:numPr>
      <w:spacing w:line="280" w:lineRule="exact"/>
      <w:ind w:left="357" w:hanging="357"/>
    </w:pPr>
    <w:rPr>
      <w:sz w:val="18"/>
      <w:szCs w:val="18"/>
    </w:rPr>
  </w:style>
  <w:style w:type="paragraph" w:customStyle="1" w:styleId="16">
    <w:name w:val="16 英文标题"/>
    <w:basedOn w:val="a"/>
    <w:qFormat/>
    <w:pPr>
      <w:spacing w:before="600" w:after="120" w:line="400" w:lineRule="exact"/>
      <w:jc w:val="center"/>
      <w:outlineLvl w:val="0"/>
    </w:pPr>
    <w:rPr>
      <w:bCs/>
      <w:sz w:val="30"/>
      <w:szCs w:val="30"/>
    </w:rPr>
  </w:style>
  <w:style w:type="paragraph" w:customStyle="1" w:styleId="17">
    <w:name w:val="17 作者姓名拼音"/>
    <w:basedOn w:val="a"/>
    <w:qFormat/>
    <w:pPr>
      <w:spacing w:before="280" w:line="280" w:lineRule="exact"/>
      <w:jc w:val="center"/>
      <w:outlineLvl w:val="1"/>
    </w:pPr>
  </w:style>
  <w:style w:type="paragraph" w:customStyle="1" w:styleId="18">
    <w:name w:val="18 作者单位英文"/>
    <w:basedOn w:val="a"/>
    <w:qFormat/>
    <w:pPr>
      <w:spacing w:after="160" w:line="280" w:lineRule="exact"/>
      <w:jc w:val="center"/>
    </w:pPr>
    <w:rPr>
      <w:sz w:val="18"/>
      <w:lang w:val="en-GB"/>
    </w:rPr>
  </w:style>
  <w:style w:type="paragraph" w:customStyle="1" w:styleId="19">
    <w:name w:val="19 英文摘要及其他"/>
    <w:basedOn w:val="a"/>
    <w:link w:val="19Char"/>
    <w:qFormat/>
    <w:pPr>
      <w:spacing w:line="280" w:lineRule="exact"/>
    </w:pPr>
    <w:rPr>
      <w:szCs w:val="21"/>
    </w:rPr>
  </w:style>
  <w:style w:type="character" w:customStyle="1" w:styleId="19Char">
    <w:name w:val="19 英文摘要及其他 Char"/>
    <w:basedOn w:val="a0"/>
    <w:link w:val="19"/>
    <w:qFormat/>
    <w:rPr>
      <w:szCs w:val="21"/>
    </w:rPr>
  </w:style>
  <w:style w:type="character" w:customStyle="1" w:styleId="09CharChar">
    <w:name w:val="09 二级标题 Char Char"/>
    <w:basedOn w:val="a0"/>
    <w:link w:val="09"/>
    <w:qFormat/>
    <w:rPr>
      <w:rFonts w:eastAsia="宋体"/>
      <w:b/>
      <w:szCs w:val="21"/>
    </w:rPr>
  </w:style>
  <w:style w:type="character" w:customStyle="1" w:styleId="11Char">
    <w:name w:val="11 文章正文 Char"/>
    <w:basedOn w:val="a0"/>
    <w:link w:val="11"/>
    <w:qFormat/>
    <w:rPr>
      <w:rFonts w:eastAsia="宋体"/>
    </w:rPr>
  </w:style>
  <w:style w:type="paragraph" w:customStyle="1" w:styleId="131">
    <w:name w:val="131 图形格式"/>
    <w:basedOn w:val="01"/>
    <w:qFormat/>
    <w:pPr>
      <w:spacing w:before="120" w:line="240" w:lineRule="auto"/>
      <w:jc w:val="center"/>
    </w:pPr>
    <w:rPr>
      <w:kern w:val="15"/>
      <w:lang w:val="zh-CN"/>
    </w:rPr>
  </w:style>
  <w:style w:type="paragraph" w:customStyle="1" w:styleId="1001001">
    <w:name w:val="1001 方程式样式001"/>
    <w:basedOn w:val="a"/>
    <w:qFormat/>
    <w:pPr>
      <w:ind w:firstLineChars="200" w:firstLine="200"/>
    </w:pPr>
    <w:rPr>
      <w:rFonts w:eastAsia="方正宋三简体"/>
      <w:szCs w:val="21"/>
    </w:rPr>
  </w:style>
  <w:style w:type="paragraph" w:customStyle="1" w:styleId="Section">
    <w:name w:val="Section"/>
    <w:basedOn w:val="a"/>
    <w:next w:val="a"/>
    <w:qFormat/>
    <w:pPr>
      <w:keepNext/>
      <w:autoSpaceDE w:val="0"/>
      <w:autoSpaceDN w:val="0"/>
      <w:adjustRightInd w:val="0"/>
      <w:spacing w:before="240" w:after="160"/>
      <w:jc w:val="left"/>
    </w:pPr>
    <w:rPr>
      <w:b/>
      <w:bCs/>
      <w:kern w:val="0"/>
      <w:sz w:val="34"/>
      <w:szCs w:val="34"/>
    </w:rPr>
  </w:style>
  <w:style w:type="paragraph" w:customStyle="1" w:styleId="MTDisplayEquation">
    <w:name w:val="MTDisplayEquation"/>
    <w:basedOn w:val="a"/>
    <w:next w:val="a"/>
    <w:qFormat/>
    <w:pPr>
      <w:autoSpaceDE w:val="0"/>
      <w:autoSpaceDN w:val="0"/>
      <w:adjustRightInd w:val="0"/>
      <w:jc w:val="left"/>
    </w:pPr>
    <w:rPr>
      <w:kern w:val="0"/>
      <w:sz w:val="20"/>
      <w:szCs w:val="20"/>
    </w:rPr>
  </w:style>
  <w:style w:type="paragraph" w:customStyle="1" w:styleId="afff6">
    <w:name w:val="摘要"/>
    <w:basedOn w:val="a"/>
    <w:qFormat/>
    <w:pPr>
      <w:overflowPunct w:val="0"/>
      <w:adjustRightInd w:val="0"/>
      <w:snapToGrid w:val="0"/>
      <w:spacing w:before="20" w:after="20" w:line="288" w:lineRule="auto"/>
      <w:ind w:left="454" w:right="454"/>
    </w:pPr>
    <w:rPr>
      <w:bCs/>
      <w:sz w:val="18"/>
      <w:szCs w:val="20"/>
    </w:rPr>
  </w:style>
  <w:style w:type="paragraph" w:customStyle="1" w:styleId="afff7">
    <w:name w:val="人名"/>
    <w:basedOn w:val="a"/>
    <w:next w:val="a"/>
    <w:qFormat/>
    <w:pPr>
      <w:overflowPunct w:val="0"/>
      <w:adjustRightInd w:val="0"/>
      <w:snapToGrid w:val="0"/>
      <w:spacing w:before="20" w:after="60" w:line="300" w:lineRule="auto"/>
      <w:jc w:val="center"/>
    </w:pPr>
    <w:rPr>
      <w:rFonts w:eastAsia="楷体_GB2312"/>
      <w:szCs w:val="20"/>
    </w:rPr>
  </w:style>
  <w:style w:type="paragraph" w:customStyle="1" w:styleId="afff8">
    <w:name w:val="地名"/>
    <w:basedOn w:val="a"/>
    <w:next w:val="a"/>
    <w:qFormat/>
    <w:pPr>
      <w:overflowPunct w:val="0"/>
      <w:adjustRightInd w:val="0"/>
      <w:snapToGrid w:val="0"/>
      <w:spacing w:before="20" w:after="120" w:line="300" w:lineRule="auto"/>
      <w:jc w:val="center"/>
    </w:pPr>
    <w:rPr>
      <w:sz w:val="15"/>
      <w:szCs w:val="20"/>
    </w:rPr>
  </w:style>
  <w:style w:type="paragraph" w:customStyle="1" w:styleId="afff9">
    <w:name w:val="文献"/>
    <w:basedOn w:val="a"/>
    <w:next w:val="a"/>
    <w:qFormat/>
    <w:pPr>
      <w:overflowPunct w:val="0"/>
      <w:snapToGrid w:val="0"/>
      <w:spacing w:before="180" w:after="180" w:line="300" w:lineRule="auto"/>
      <w:jc w:val="center"/>
    </w:pPr>
    <w:rPr>
      <w:rFonts w:ascii="Times New Roman MT Extra Bold" w:eastAsia="黑体" w:hAnsi="Times New Roman MT Extra Bold"/>
      <w:szCs w:val="20"/>
    </w:rPr>
  </w:style>
  <w:style w:type="paragraph" w:customStyle="1" w:styleId="FigureandCaptionCaptions">
    <w:name w:val="Figure and Caption Captions"/>
    <w:basedOn w:val="a"/>
    <w:link w:val="FigureandCaptionCaptionsChar"/>
    <w:qFormat/>
    <w:pPr>
      <w:widowControl/>
    </w:pPr>
    <w:rPr>
      <w:rFonts w:ascii="Helvetica" w:hAnsi="Helvetica"/>
      <w:b/>
      <w:kern w:val="0"/>
      <w:sz w:val="20"/>
      <w:szCs w:val="20"/>
      <w:lang w:eastAsia="en-US"/>
    </w:rPr>
  </w:style>
  <w:style w:type="character" w:customStyle="1" w:styleId="FigureandCaptionCaptionsChar">
    <w:name w:val="Figure and Caption Captions Char"/>
    <w:basedOn w:val="a0"/>
    <w:link w:val="FigureandCaptionCaptions"/>
    <w:qFormat/>
    <w:rPr>
      <w:rFonts w:ascii="Helvetica" w:hAnsi="Helvetica"/>
      <w:b/>
      <w:kern w:val="0"/>
      <w:sz w:val="20"/>
      <w:szCs w:val="20"/>
      <w:lang w:eastAsia="en-US"/>
    </w:rPr>
  </w:style>
  <w:style w:type="paragraph" w:customStyle="1" w:styleId="a70">
    <w:name w:val="a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80">
    <w:name w:val="a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90">
    <w:name w:val="a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40">
    <w:name w:val="af4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20">
    <w:name w:val="af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10">
    <w:name w:val="af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00">
    <w:name w:val="af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a0">
    <w:name w:val="aa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c0">
    <w:name w:val="ac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20">
    <w:name w:val="a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30">
    <w:name w:val="a3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ffa">
    <w:name w:val="a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50">
    <w:name w:val="a5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40">
    <w:name w:val="a4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60">
    <w:name w:val="a6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ffb">
    <w:name w:val="af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10">
    <w:name w:val="a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00">
    <w:name w:val="a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d0">
    <w:name w:val="ad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50">
    <w:name w:val="af5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30">
    <w:name w:val="af3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e0">
    <w:name w:val="ae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horttext1">
    <w:name w:val="short_text1"/>
    <w:basedOn w:val="a0"/>
    <w:qFormat/>
    <w:rPr>
      <w:sz w:val="24"/>
      <w:szCs w:val="24"/>
    </w:rPr>
  </w:style>
  <w:style w:type="character" w:customStyle="1" w:styleId="longtext1">
    <w:name w:val="long_text1"/>
    <w:basedOn w:val="a0"/>
    <w:qFormat/>
    <w:rPr>
      <w:sz w:val="18"/>
      <w:szCs w:val="18"/>
    </w:rPr>
  </w:style>
  <w:style w:type="character" w:customStyle="1" w:styleId="121Char">
    <w:name w:val="121 表格内的格式 Char"/>
    <w:basedOn w:val="a0"/>
    <w:link w:val="121"/>
    <w:qFormat/>
    <w:rPr>
      <w:rFonts w:eastAsia="方正宋三简体"/>
      <w:sz w:val="18"/>
      <w:szCs w:val="18"/>
    </w:rPr>
  </w:style>
  <w:style w:type="character" w:customStyle="1" w:styleId="13Char">
    <w:name w:val="13 图的说明 Char"/>
    <w:link w:val="13"/>
    <w:qFormat/>
    <w:rPr>
      <w:rFonts w:eastAsia="黑体"/>
      <w:sz w:val="18"/>
      <w:szCs w:val="18"/>
    </w:rPr>
  </w:style>
  <w:style w:type="paragraph" w:customStyle="1" w:styleId="EndNoteBibliographyTitle">
    <w:name w:val="EndNote Bibliography Title"/>
    <w:qFormat/>
    <w:pPr>
      <w:jc w:val="center"/>
    </w:pPr>
    <w:rPr>
      <w:kern w:val="2"/>
      <w:sz w:val="24"/>
      <w:szCs w:val="24"/>
    </w:rPr>
  </w:style>
  <w:style w:type="paragraph" w:customStyle="1" w:styleId="EndNoteBibliography">
    <w:name w:val="EndNote Bibliography"/>
    <w:qFormat/>
    <w:rPr>
      <w:kern w:val="2"/>
      <w:sz w:val="24"/>
      <w:szCs w:val="24"/>
    </w:rPr>
  </w:style>
  <w:style w:type="character" w:customStyle="1" w:styleId="ybc-li-componentcontent">
    <w:name w:val="ybc-li-component_content"/>
    <w:basedOn w:val="a0"/>
    <w:qFormat/>
  </w:style>
  <w:style w:type="character" w:customStyle="1" w:styleId="ybc-li-componentdot">
    <w:name w:val="ybc-li-component_do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Microsoft_Visio___5.vsdx"/><Relationship Id="rId26" Type="http://schemas.openxmlformats.org/officeDocument/2006/relationships/package" Target="embeddings/Microsoft_Visio___9.vsdx"/><Relationship Id="rId21" Type="http://schemas.openxmlformats.org/officeDocument/2006/relationships/image" Target="media/image8.emf"/><Relationship Id="rId34" Type="http://schemas.openxmlformats.org/officeDocument/2006/relationships/package" Target="embeddings/Microsoft_Visio___13.vsdx"/><Relationship Id="rId7" Type="http://schemas.openxmlformats.org/officeDocument/2006/relationships/image" Target="media/image2.emf"/><Relationship Id="rId12" Type="http://schemas.openxmlformats.org/officeDocument/2006/relationships/package" Target="embeddings/Microsoft_Visio___2.vs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package" Target="embeddings/Microsoft_Visio___4.vsdx"/><Relationship Id="rId20" Type="http://schemas.openxmlformats.org/officeDocument/2006/relationships/package" Target="embeddings/Microsoft_Visio___6.vsdx"/><Relationship Id="rId29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package" Target="embeddings/Microsoft_Visio___.vsdx"/><Relationship Id="rId11" Type="http://schemas.openxmlformats.org/officeDocument/2006/relationships/image" Target="media/image3.emf"/><Relationship Id="rId24" Type="http://schemas.openxmlformats.org/officeDocument/2006/relationships/package" Target="embeddings/Microsoft_Visio___8.vsdx"/><Relationship Id="rId32" Type="http://schemas.openxmlformats.org/officeDocument/2006/relationships/package" Target="embeddings/Microsoft_Visio___12.vsdx"/><Relationship Id="rId37" Type="http://schemas.microsoft.com/office/2011/relationships/people" Target="people.xml"/><Relationship Id="rId5" Type="http://schemas.openxmlformats.org/officeDocument/2006/relationships/image" Target="media/image1.emf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Visio___10.vsdx"/><Relationship Id="rId36" Type="http://schemas.openxmlformats.org/officeDocument/2006/relationships/fontTable" Target="fontTable.xml"/><Relationship Id="rId10" Type="http://schemas.microsoft.com/office/2011/relationships/commentsExtended" Target="commentsExtended.xml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package" Target="embeddings/Microsoft_Visio___3.vsdx"/><Relationship Id="rId22" Type="http://schemas.openxmlformats.org/officeDocument/2006/relationships/package" Target="embeddings/Microsoft_Visio___7.vsdx"/><Relationship Id="rId27" Type="http://schemas.openxmlformats.org/officeDocument/2006/relationships/image" Target="media/image11.emf"/><Relationship Id="rId30" Type="http://schemas.openxmlformats.org/officeDocument/2006/relationships/package" Target="embeddings/Microsoft_Visio___11.vsdx"/><Relationship Id="rId35" Type="http://schemas.openxmlformats.org/officeDocument/2006/relationships/image" Target="media/image15.jpeg"/><Relationship Id="rId8" Type="http://schemas.openxmlformats.org/officeDocument/2006/relationships/package" Target="embeddings/Microsoft_Visio___1.vsdx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4569</Words>
  <Characters>26044</Characters>
  <Application>Microsoft Office Word</Application>
  <DocSecurity>0</DocSecurity>
  <Lines>217</Lines>
  <Paragraphs>61</Paragraphs>
  <ScaleCrop>false</ScaleCrop>
  <Company>Microsoft</Company>
  <LinksUpToDate>false</LinksUpToDate>
  <CharactersWithSpaces>30552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Beyond青春年华</dc:creator>
  <cp:lastModifiedBy>admin</cp:lastModifiedBy>
  <cp:revision>59</cp:revision>
  <cp:lastPrinted>2025-03-18T10:14:00Z</cp:lastPrinted>
  <dcterms:created xsi:type="dcterms:W3CDTF">2025-01-22T03:37:00Z</dcterms:created>
  <dcterms:modified xsi:type="dcterms:W3CDTF">2025-11-21T06:53:00Z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FED2B6341DEB43CF9BBC4A1D288015E4_13</vt:lpwstr>
  </property>
  <property fmtid="{D5CDD505-2E9C-101B-9397-08002B2CF9AE}" pid="4" name="KSOTemplateDocerSaveRecord">
    <vt:lpwstr>eyJoZGlkIjoiYTA1ZmE4MzliMTliOTJjZWQxMjBhYmFkY2E2YjdlYTciLCJ1c2VySWQiOiIyOTA4NzQ2NDYifQ==</vt:lpwstr>
  </property>
</Properties>
</file>