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wmf" ContentType="image/x-wmf"/>
  <Default Extension="jpeg" ContentType="image/jpeg"/>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41A00E" w14:textId="77777777" w:rsidR="003162D1" w:rsidRDefault="00FF0CC3">
      <w:pPr>
        <w:pStyle w:val="TableText"/>
        <w:jc w:val="center"/>
        <w:rPr>
          <w:rFonts w:eastAsia="黑体"/>
          <w:b/>
          <w:bCs/>
          <w:color w:val="auto"/>
          <w:sz w:val="36"/>
          <w:szCs w:val="36"/>
          <w:lang w:eastAsia="zh-CN"/>
        </w:rPr>
      </w:pPr>
      <w:r>
        <w:rPr>
          <w:rFonts w:eastAsia="黑体"/>
          <w:b/>
          <w:bCs/>
          <w:color w:val="auto"/>
          <w:sz w:val="36"/>
          <w:szCs w:val="36"/>
          <w:lang w:eastAsia="zh-CN"/>
        </w:rPr>
        <w:fldChar w:fldCharType="begin"/>
      </w:r>
      <w:r>
        <w:rPr>
          <w:rFonts w:eastAsia="黑体"/>
          <w:b/>
          <w:bCs/>
          <w:color w:val="auto"/>
          <w:sz w:val="36"/>
          <w:szCs w:val="36"/>
          <w:lang w:eastAsia="zh-CN"/>
        </w:rPr>
        <w:instrText xml:space="preserve"> MACROBUTTON MTEditEquationSection2 </w:instrText>
      </w:r>
      <w:r>
        <w:rPr>
          <w:rStyle w:val="MTEquationSection"/>
          <w:rFonts w:hint="eastAsia"/>
        </w:rPr>
        <w:instrText>公式章</w:instrText>
      </w:r>
      <w:r>
        <w:rPr>
          <w:rStyle w:val="MTEquationSection"/>
          <w:rFonts w:hint="eastAsia"/>
        </w:rPr>
        <w:instrText xml:space="preserve"> 1 </w:instrText>
      </w:r>
      <w:r>
        <w:rPr>
          <w:rStyle w:val="MTEquationSection"/>
          <w:rFonts w:hint="eastAsia"/>
        </w:rPr>
        <w:instrText>节</w:instrText>
      </w:r>
      <w:r>
        <w:rPr>
          <w:rStyle w:val="MTEquationSection"/>
          <w:rFonts w:hint="eastAsia"/>
        </w:rPr>
        <w:instrText xml:space="preserve"> 1</w:instrText>
      </w:r>
      <w:r>
        <w:rPr>
          <w:rFonts w:eastAsia="黑体"/>
          <w:b/>
          <w:bCs/>
          <w:color w:val="auto"/>
          <w:sz w:val="36"/>
          <w:szCs w:val="36"/>
          <w:lang w:eastAsia="zh-CN"/>
        </w:rPr>
        <w:fldChar w:fldCharType="begin"/>
      </w:r>
      <w:r>
        <w:rPr>
          <w:rFonts w:eastAsia="黑体"/>
          <w:b/>
          <w:bCs/>
          <w:color w:val="auto"/>
          <w:sz w:val="36"/>
          <w:szCs w:val="36"/>
          <w:lang w:eastAsia="zh-CN"/>
        </w:rPr>
        <w:instrText xml:space="preserve"> </w:instrText>
      </w:r>
      <w:r>
        <w:rPr>
          <w:rFonts w:eastAsia="黑体" w:hint="eastAsia"/>
          <w:b/>
          <w:bCs/>
          <w:color w:val="auto"/>
          <w:sz w:val="36"/>
          <w:szCs w:val="36"/>
          <w:lang w:eastAsia="zh-CN"/>
        </w:rPr>
        <w:instrText>SEQ MTEqn \r \h \* MERGEFORMAT</w:instrText>
      </w:r>
      <w:r>
        <w:rPr>
          <w:rFonts w:eastAsia="黑体"/>
          <w:b/>
          <w:bCs/>
          <w:color w:val="auto"/>
          <w:sz w:val="36"/>
          <w:szCs w:val="36"/>
          <w:lang w:eastAsia="zh-CN"/>
        </w:rPr>
        <w:instrText xml:space="preserve"> </w:instrText>
      </w:r>
      <w:r>
        <w:rPr>
          <w:rFonts w:eastAsia="黑体"/>
          <w:b/>
          <w:bCs/>
          <w:color w:val="auto"/>
          <w:sz w:val="36"/>
          <w:szCs w:val="36"/>
          <w:lang w:eastAsia="zh-CN"/>
        </w:rPr>
        <w:fldChar w:fldCharType="end"/>
      </w:r>
      <w:r>
        <w:rPr>
          <w:rFonts w:eastAsia="黑体"/>
          <w:b/>
          <w:bCs/>
          <w:color w:val="auto"/>
          <w:sz w:val="36"/>
          <w:szCs w:val="36"/>
          <w:lang w:eastAsia="zh-CN"/>
        </w:rPr>
        <w:fldChar w:fldCharType="begin"/>
      </w:r>
      <w:r>
        <w:rPr>
          <w:rFonts w:eastAsia="黑体"/>
          <w:b/>
          <w:bCs/>
          <w:color w:val="auto"/>
          <w:sz w:val="36"/>
          <w:szCs w:val="36"/>
          <w:lang w:eastAsia="zh-CN"/>
        </w:rPr>
        <w:instrText xml:space="preserve"> SEQ MTSec \r 1 \h \* MERGEFORMAT </w:instrText>
      </w:r>
      <w:r>
        <w:rPr>
          <w:rFonts w:eastAsia="黑体"/>
          <w:b/>
          <w:bCs/>
          <w:color w:val="auto"/>
          <w:sz w:val="36"/>
          <w:szCs w:val="36"/>
          <w:lang w:eastAsia="zh-CN"/>
        </w:rPr>
        <w:fldChar w:fldCharType="end"/>
      </w:r>
      <w:r>
        <w:rPr>
          <w:rFonts w:eastAsia="黑体"/>
          <w:b/>
          <w:bCs/>
          <w:color w:val="auto"/>
          <w:sz w:val="36"/>
          <w:szCs w:val="36"/>
          <w:lang w:eastAsia="zh-CN"/>
        </w:rPr>
        <w:fldChar w:fldCharType="begin"/>
      </w:r>
      <w:r>
        <w:rPr>
          <w:rFonts w:eastAsia="黑体"/>
          <w:b/>
          <w:bCs/>
          <w:color w:val="auto"/>
          <w:sz w:val="36"/>
          <w:szCs w:val="36"/>
          <w:lang w:eastAsia="zh-CN"/>
        </w:rPr>
        <w:instrText xml:space="preserve"> SEQ MTChap \r 1 \h \* MERGEFORMAT </w:instrText>
      </w:r>
      <w:r>
        <w:rPr>
          <w:rFonts w:eastAsia="黑体"/>
          <w:b/>
          <w:bCs/>
          <w:color w:val="auto"/>
          <w:sz w:val="36"/>
          <w:szCs w:val="36"/>
          <w:lang w:eastAsia="zh-CN"/>
        </w:rPr>
        <w:fldChar w:fldCharType="end"/>
      </w:r>
      <w:r>
        <w:rPr>
          <w:rFonts w:eastAsia="黑体"/>
          <w:b/>
          <w:bCs/>
          <w:color w:val="auto"/>
          <w:sz w:val="36"/>
          <w:szCs w:val="36"/>
          <w:lang w:eastAsia="zh-CN"/>
        </w:rPr>
        <w:fldChar w:fldCharType="end"/>
      </w:r>
      <w:r>
        <w:rPr>
          <w:rFonts w:eastAsia="黑体" w:hint="eastAsia"/>
          <w:b/>
          <w:bCs/>
          <w:color w:val="auto"/>
          <w:sz w:val="36"/>
          <w:szCs w:val="36"/>
          <w:lang w:eastAsia="zh-CN"/>
        </w:rPr>
        <w:t>双圆环</w:t>
      </w:r>
      <w:r>
        <w:rPr>
          <w:rFonts w:eastAsia="黑体"/>
          <w:b/>
          <w:bCs/>
          <w:color w:val="auto"/>
          <w:sz w:val="36"/>
          <w:szCs w:val="36"/>
          <w:lang w:eastAsia="zh-CN"/>
        </w:rPr>
        <w:t>套管叠加双直板空芯反谐振光纤研究</w:t>
      </w:r>
    </w:p>
    <w:p w14:paraId="42A64294" w14:textId="77777777" w:rsidR="003162D1" w:rsidRDefault="00FF0CC3">
      <w:pPr>
        <w:pStyle w:val="TableText"/>
        <w:jc w:val="center"/>
        <w:rPr>
          <w:rFonts w:eastAsia="宋体"/>
          <w:b/>
          <w:bCs/>
          <w:color w:val="auto"/>
          <w:sz w:val="24"/>
          <w:szCs w:val="24"/>
          <w:lang w:eastAsia="zh-CN"/>
        </w:rPr>
      </w:pPr>
      <w:r>
        <w:rPr>
          <w:rFonts w:eastAsia="宋体" w:hint="eastAsia"/>
          <w:b/>
          <w:bCs/>
          <w:color w:val="auto"/>
          <w:sz w:val="24"/>
          <w:szCs w:val="24"/>
          <w:lang w:eastAsia="zh-CN"/>
        </w:rPr>
        <w:t>邓宇翔，葛志辉，张振荣</w:t>
      </w:r>
      <w:r>
        <w:rPr>
          <w:rFonts w:eastAsia="宋体" w:hint="eastAsia"/>
          <w:b/>
          <w:bCs/>
          <w:color w:val="auto"/>
          <w:sz w:val="24"/>
          <w:szCs w:val="24"/>
          <w:lang w:eastAsia="zh-CN"/>
        </w:rPr>
        <w:t>*</w:t>
      </w:r>
    </w:p>
    <w:p w14:paraId="7F550D97" w14:textId="77777777" w:rsidR="003162D1" w:rsidRDefault="00FF0CC3">
      <w:pPr>
        <w:pStyle w:val="TableText"/>
        <w:jc w:val="center"/>
        <w:rPr>
          <w:rFonts w:eastAsia="宋体"/>
          <w:b/>
          <w:bCs/>
          <w:color w:val="auto"/>
          <w:sz w:val="15"/>
          <w:szCs w:val="15"/>
          <w:lang w:eastAsia="zh-CN"/>
        </w:rPr>
      </w:pPr>
      <w:r>
        <w:rPr>
          <w:rFonts w:eastAsia="宋体" w:hint="eastAsia"/>
          <w:b/>
          <w:bCs/>
          <w:color w:val="auto"/>
          <w:sz w:val="15"/>
          <w:szCs w:val="15"/>
          <w:lang w:eastAsia="zh-CN"/>
        </w:rPr>
        <w:t>（广西大学</w:t>
      </w:r>
      <w:r>
        <w:rPr>
          <w:rFonts w:eastAsia="宋体" w:hint="eastAsia"/>
          <w:b/>
          <w:bCs/>
          <w:color w:val="auto"/>
          <w:sz w:val="15"/>
          <w:szCs w:val="15"/>
          <w:lang w:eastAsia="zh-CN"/>
        </w:rPr>
        <w:t xml:space="preserve"> </w:t>
      </w:r>
      <w:r>
        <w:rPr>
          <w:rFonts w:eastAsia="宋体" w:hint="eastAsia"/>
          <w:b/>
          <w:bCs/>
          <w:color w:val="auto"/>
          <w:sz w:val="15"/>
          <w:szCs w:val="15"/>
          <w:lang w:eastAsia="zh-CN"/>
        </w:rPr>
        <w:t>计算机与电子信息学院，南宁</w:t>
      </w:r>
      <w:r>
        <w:rPr>
          <w:rFonts w:eastAsia="宋体" w:hint="eastAsia"/>
          <w:b/>
          <w:bCs/>
          <w:color w:val="auto"/>
          <w:sz w:val="15"/>
          <w:szCs w:val="15"/>
          <w:lang w:eastAsia="zh-CN"/>
        </w:rPr>
        <w:t> </w:t>
      </w:r>
      <w:r>
        <w:rPr>
          <w:rFonts w:eastAsia="宋体"/>
          <w:b/>
          <w:bCs/>
          <w:color w:val="auto"/>
          <w:sz w:val="15"/>
          <w:szCs w:val="15"/>
          <w:lang w:eastAsia="zh-CN"/>
        </w:rPr>
        <w:t>530004</w:t>
      </w:r>
      <w:r>
        <w:rPr>
          <w:rFonts w:eastAsia="宋体" w:hint="eastAsia"/>
          <w:b/>
          <w:bCs/>
          <w:color w:val="auto"/>
          <w:sz w:val="15"/>
          <w:szCs w:val="15"/>
          <w:lang w:eastAsia="zh-CN"/>
        </w:rPr>
        <w:t>）</w:t>
      </w:r>
    </w:p>
    <w:p w14:paraId="7CF75449" w14:textId="77777777" w:rsidR="003162D1" w:rsidRDefault="003162D1">
      <w:pPr>
        <w:pStyle w:val="TableText"/>
        <w:jc w:val="center"/>
        <w:rPr>
          <w:rFonts w:eastAsia="宋体"/>
          <w:b/>
          <w:bCs/>
          <w:color w:val="auto"/>
          <w:sz w:val="15"/>
          <w:szCs w:val="15"/>
          <w:lang w:eastAsia="zh-CN"/>
        </w:rPr>
      </w:pPr>
    </w:p>
    <w:p w14:paraId="37696D3B" w14:textId="77777777" w:rsidR="003162D1" w:rsidRDefault="00FF0CC3">
      <w:pPr>
        <w:pStyle w:val="ac"/>
        <w:spacing w:beforeAutospacing="0" w:afterAutospacing="0"/>
        <w:jc w:val="both"/>
        <w:rPr>
          <w:rFonts w:ascii="Times New Roman" w:eastAsia="楷体" w:hAnsi="Times New Roman"/>
          <w:snapToGrid/>
          <w:color w:val="auto"/>
          <w:sz w:val="18"/>
          <w:szCs w:val="18"/>
          <w:lang w:bidi="ar"/>
        </w:rPr>
      </w:pPr>
      <w:r>
        <w:rPr>
          <w:rFonts w:ascii="Times New Roman" w:eastAsia="楷体" w:hAnsi="Times New Roman"/>
          <w:b/>
          <w:bCs/>
          <w:color w:val="auto"/>
          <w:spacing w:val="-5"/>
          <w:sz w:val="18"/>
          <w:szCs w:val="18"/>
        </w:rPr>
        <w:t>摘要</w:t>
      </w:r>
      <w:r>
        <w:rPr>
          <w:rFonts w:ascii="Times New Roman" w:eastAsia="楷体" w:hAnsi="Times New Roman"/>
          <w:b/>
          <w:bCs/>
          <w:color w:val="auto"/>
          <w:spacing w:val="-5"/>
          <w:sz w:val="18"/>
          <w:szCs w:val="18"/>
        </w:rPr>
        <w:t>:</w:t>
      </w:r>
      <w:r>
        <w:rPr>
          <w:rFonts w:ascii="微软雅黑" w:eastAsia="微软雅黑" w:hAnsi="微软雅黑" w:cs="微软雅黑" w:hint="eastAsia"/>
          <w:color w:val="0F1115"/>
          <w:shd w:val="clear" w:color="auto" w:fill="FFFFFF"/>
        </w:rPr>
        <w:t xml:space="preserve"> </w:t>
      </w:r>
      <w:r>
        <w:rPr>
          <w:rFonts w:ascii="楷体_GB2312" w:eastAsia="楷体_GB2312" w:hAnsi="微软雅黑" w:cs="微软雅黑" w:hint="eastAsia"/>
          <w:color w:val="0F1115"/>
          <w:sz w:val="21"/>
          <w:shd w:val="clear" w:color="auto" w:fill="FFFFFF"/>
        </w:rPr>
        <w:t>为提升太赫兹频段光纤的传输性能并实现高双折射与低损耗的兼顾，本文设计了一种双圆环套管叠加双直板的空芯反谐振光纤结构。该结构通过引入双直板实现几何非对称性，增强双折射特性，并采用有限元法对关键几何参数（如板间距、板厚度及包层直径等）进行系统优化。仿真结果表明：在</w:t>
      </w:r>
      <w:r>
        <w:rPr>
          <w:rFonts w:ascii="楷体_GB2312" w:eastAsia="楷体_GB2312" w:hAnsi="Segoe UI" w:cs="Segoe UI" w:hint="eastAsia"/>
          <w:color w:val="0F1115"/>
          <w:sz w:val="21"/>
          <w:shd w:val="clear" w:color="auto" w:fill="FFFFFF"/>
        </w:rPr>
        <w:t>1</w:t>
      </w:r>
      <w:r>
        <w:rPr>
          <w:rFonts w:ascii="楷体_GB2312" w:eastAsia="楷体_GB2312" w:hAnsi="Segoe UI" w:cs="Segoe UI"/>
          <w:color w:val="0F1115"/>
          <w:sz w:val="21"/>
          <w:shd w:val="clear" w:color="auto" w:fill="FFFFFF"/>
        </w:rPr>
        <w:t xml:space="preserve"> </w:t>
      </w:r>
      <w:r>
        <w:rPr>
          <w:rFonts w:ascii="楷体_GB2312" w:eastAsia="楷体_GB2312" w:hAnsi="Segoe UI" w:cs="Segoe UI" w:hint="eastAsia"/>
          <w:color w:val="0F1115"/>
          <w:sz w:val="21"/>
          <w:shd w:val="clear" w:color="auto" w:fill="FFFFFF"/>
        </w:rPr>
        <w:t>THz</w:t>
      </w:r>
      <w:r>
        <w:rPr>
          <w:rFonts w:ascii="楷体_GB2312" w:eastAsia="楷体_GB2312" w:hAnsi="微软雅黑" w:cs="微软雅黑" w:hint="eastAsia"/>
          <w:color w:val="0F1115"/>
          <w:sz w:val="21"/>
          <w:shd w:val="clear" w:color="auto" w:fill="FFFFFF"/>
        </w:rPr>
        <w:t>频率下，所提光纤的双折射值达到</w:t>
      </w:r>
      <w:r>
        <w:rPr>
          <w:rFonts w:ascii="楷体_GB2312" w:eastAsia="楷体_GB2312" w:hAnsi="Segoe UI" w:cs="Segoe UI" w:hint="eastAsia"/>
          <w:color w:val="0F1115"/>
          <w:sz w:val="21"/>
          <w:shd w:val="clear" w:color="auto" w:fill="FFFFFF"/>
        </w:rPr>
        <w:t>4.45</w:t>
      </w:r>
      <w:r>
        <w:rPr>
          <w:rFonts w:ascii="楷体_GB2312" w:eastAsia="楷体_GB2312" w:hAnsi="Segoe UI" w:cs="Segoe UI" w:hint="eastAsia"/>
          <w:color w:val="0F1115"/>
          <w:sz w:val="21"/>
          <w:shd w:val="clear" w:color="auto" w:fill="FFFFFF"/>
        </w:rPr>
        <w:t>×</w:t>
      </w:r>
      <w:r>
        <w:rPr>
          <w:rFonts w:ascii="楷体_GB2312" w:eastAsia="楷体_GB2312" w:hAnsi="Segoe UI" w:cs="Segoe UI" w:hint="eastAsia"/>
          <w:color w:val="0F1115"/>
          <w:sz w:val="21"/>
          <w:shd w:val="clear" w:color="auto" w:fill="FFFFFF"/>
        </w:rPr>
        <w:t>10</w:t>
      </w:r>
      <w:r>
        <w:rPr>
          <w:rFonts w:ascii="MS Mincho" w:eastAsia="MS Mincho" w:hAnsi="MS Mincho" w:cs="MS Mincho" w:hint="eastAsia"/>
          <w:color w:val="0F1115"/>
          <w:sz w:val="21"/>
          <w:shd w:val="clear" w:color="auto" w:fill="FFFFFF"/>
        </w:rPr>
        <w:t>⁻⁴</w:t>
      </w:r>
      <w:r>
        <w:rPr>
          <w:rFonts w:ascii="楷体_GB2312" w:eastAsia="楷体_GB2312" w:hAnsi="微软雅黑" w:cs="微软雅黑" w:hint="eastAsia"/>
          <w:color w:val="0F1115"/>
          <w:sz w:val="21"/>
          <w:shd w:val="clear" w:color="auto" w:fill="FFFFFF"/>
        </w:rPr>
        <w:t>，限制损耗为</w:t>
      </w:r>
      <w:r>
        <w:rPr>
          <w:rFonts w:ascii="楷体_GB2312" w:eastAsia="楷体_GB2312" w:hAnsi="Segoe UI" w:cs="Segoe UI" w:hint="eastAsia"/>
          <w:color w:val="0F1115"/>
          <w:sz w:val="21"/>
          <w:shd w:val="clear" w:color="auto" w:fill="FFFFFF"/>
        </w:rPr>
        <w:t>0.24</w:t>
      </w:r>
      <w:r>
        <w:rPr>
          <w:rFonts w:ascii="楷体_GB2312" w:eastAsia="楷体_GB2312" w:hAnsi="Segoe UI" w:cs="Segoe UI"/>
          <w:color w:val="0F1115"/>
          <w:sz w:val="21"/>
          <w:shd w:val="clear" w:color="auto" w:fill="FFFFFF"/>
        </w:rPr>
        <w:t xml:space="preserve"> </w:t>
      </w:r>
      <w:r>
        <w:rPr>
          <w:rFonts w:ascii="楷体_GB2312" w:eastAsia="楷体_GB2312" w:hAnsi="Segoe UI" w:cs="Segoe UI" w:hint="eastAsia"/>
          <w:color w:val="0F1115"/>
          <w:sz w:val="21"/>
          <w:shd w:val="clear" w:color="auto" w:fill="FFFFFF"/>
        </w:rPr>
        <w:t>dB/m</w:t>
      </w:r>
      <w:r>
        <w:rPr>
          <w:rFonts w:ascii="楷体_GB2312" w:eastAsia="楷体_GB2312" w:hAnsi="微软雅黑" w:cs="微软雅黑" w:hint="eastAsia"/>
          <w:color w:val="0F1115"/>
          <w:sz w:val="21"/>
          <w:shd w:val="clear" w:color="auto" w:fill="FFFFFF"/>
        </w:rPr>
        <w:t>，且在</w:t>
      </w:r>
      <w:r>
        <w:rPr>
          <w:rFonts w:ascii="楷体_GB2312" w:eastAsia="楷体_GB2312" w:hAnsi="Segoe UI" w:cs="Segoe UI" w:hint="eastAsia"/>
          <w:color w:val="0F1115"/>
          <w:sz w:val="21"/>
          <w:shd w:val="clear" w:color="auto" w:fill="FFFFFF"/>
        </w:rPr>
        <w:t>0.84</w:t>
      </w:r>
      <w:r>
        <w:rPr>
          <w:rFonts w:ascii="Times New Roman" w:eastAsia="楷体_GB2312" w:hAnsi="Times New Roman"/>
          <w:color w:val="0F1115"/>
          <w:sz w:val="21"/>
          <w:shd w:val="clear" w:color="auto" w:fill="FFFFFF"/>
        </w:rPr>
        <w:t>~</w:t>
      </w:r>
      <w:r>
        <w:rPr>
          <w:rFonts w:ascii="楷体_GB2312" w:eastAsia="楷体_GB2312" w:hAnsi="Segoe UI" w:cs="Segoe UI" w:hint="eastAsia"/>
          <w:color w:val="0F1115"/>
          <w:sz w:val="21"/>
          <w:shd w:val="clear" w:color="auto" w:fill="FFFFFF"/>
        </w:rPr>
        <w:t>1.1 THz</w:t>
      </w:r>
      <w:r>
        <w:rPr>
          <w:rFonts w:ascii="楷体_GB2312" w:eastAsia="楷体_GB2312" w:hAnsi="微软雅黑" w:cs="微软雅黑" w:hint="eastAsia"/>
          <w:color w:val="0F1115"/>
          <w:sz w:val="21"/>
          <w:shd w:val="clear" w:color="auto" w:fill="FFFFFF"/>
        </w:rPr>
        <w:t>宽频带内双折射始终高于</w:t>
      </w:r>
      <w:r>
        <w:rPr>
          <w:rFonts w:ascii="楷体_GB2312" w:eastAsia="楷体_GB2312" w:hAnsi="Segoe UI" w:cs="Segoe UI" w:hint="eastAsia"/>
          <w:color w:val="0F1115"/>
          <w:sz w:val="21"/>
          <w:shd w:val="clear" w:color="auto" w:fill="FFFFFF"/>
        </w:rPr>
        <w:t>10</w:t>
      </w:r>
      <w:r>
        <w:rPr>
          <w:rFonts w:ascii="MS Mincho" w:eastAsia="MS Mincho" w:hAnsi="MS Mincho" w:cs="MS Mincho" w:hint="eastAsia"/>
          <w:color w:val="0F1115"/>
          <w:sz w:val="21"/>
          <w:shd w:val="clear" w:color="auto" w:fill="FFFFFF"/>
        </w:rPr>
        <w:t>⁻⁴</w:t>
      </w:r>
      <w:r>
        <w:rPr>
          <w:rFonts w:ascii="楷体_GB2312" w:eastAsia="楷体_GB2312" w:hAnsi="微软雅黑" w:cs="微软雅黑" w:hint="eastAsia"/>
          <w:color w:val="0F1115"/>
          <w:sz w:val="21"/>
          <w:shd w:val="clear" w:color="auto" w:fill="FFFFFF"/>
        </w:rPr>
        <w:t>，总损耗维持在较低水平；同时，该结构在弯曲半径低至</w:t>
      </w:r>
      <w:r>
        <w:rPr>
          <w:rFonts w:ascii="楷体_GB2312" w:eastAsia="楷体_GB2312" w:hAnsi="Segoe UI" w:cs="Segoe UI" w:hint="eastAsia"/>
          <w:color w:val="0F1115"/>
          <w:sz w:val="21"/>
          <w:shd w:val="clear" w:color="auto" w:fill="FFFFFF"/>
        </w:rPr>
        <w:t>0.3 m</w:t>
      </w:r>
      <w:r>
        <w:rPr>
          <w:rFonts w:ascii="楷体_GB2312" w:eastAsia="楷体_GB2312" w:hAnsi="微软雅黑" w:cs="微软雅黑" w:hint="eastAsia"/>
          <w:color w:val="0F1115"/>
          <w:sz w:val="21"/>
          <w:shd w:val="clear" w:color="auto" w:fill="FFFFFF"/>
        </w:rPr>
        <w:t>时仍具备良好的抗弯性能。</w:t>
      </w:r>
    </w:p>
    <w:p w14:paraId="62903BE2" w14:textId="77777777" w:rsidR="003162D1" w:rsidRDefault="00FF0CC3">
      <w:pPr>
        <w:pStyle w:val="ac"/>
        <w:spacing w:beforeAutospacing="0" w:afterAutospacing="0"/>
        <w:jc w:val="both"/>
        <w:rPr>
          <w:rFonts w:ascii="Times New Roman" w:eastAsia="楷体" w:hAnsi="Times New Roman"/>
          <w:snapToGrid/>
          <w:color w:val="auto"/>
          <w:sz w:val="18"/>
          <w:szCs w:val="18"/>
          <w:lang w:bidi="ar"/>
        </w:rPr>
      </w:pPr>
      <w:r>
        <w:rPr>
          <w:rStyle w:val="af0"/>
          <w:rFonts w:ascii="楷体" w:eastAsia="楷体" w:hAnsi="楷体"/>
          <w:color w:val="auto"/>
          <w:sz w:val="18"/>
          <w:szCs w:val="18"/>
        </w:rPr>
        <w:t>关键词</w:t>
      </w:r>
      <w:r>
        <w:rPr>
          <w:rStyle w:val="af0"/>
          <w:rFonts w:ascii="Times New Roman" w:eastAsia="微软雅黑" w:hAnsi="Times New Roman"/>
          <w:color w:val="auto"/>
          <w:sz w:val="18"/>
          <w:szCs w:val="18"/>
        </w:rPr>
        <w:t>：</w:t>
      </w:r>
      <w:r>
        <w:rPr>
          <w:rFonts w:ascii="Times New Roman" w:eastAsia="楷体" w:hAnsi="Times New Roman"/>
          <w:bCs/>
          <w:color w:val="auto"/>
          <w:sz w:val="18"/>
          <w:szCs w:val="18"/>
        </w:rPr>
        <w:t>特种光纤</w:t>
      </w:r>
      <w:r>
        <w:rPr>
          <w:rFonts w:ascii="Times New Roman" w:eastAsia="楷体" w:hAnsi="Times New Roman" w:hint="eastAsia"/>
          <w:bCs/>
          <w:color w:val="auto"/>
          <w:sz w:val="18"/>
          <w:szCs w:val="18"/>
        </w:rPr>
        <w:t>；</w:t>
      </w:r>
      <w:r>
        <w:rPr>
          <w:rFonts w:ascii="Times New Roman" w:eastAsia="楷体" w:hAnsi="Times New Roman"/>
          <w:bCs/>
          <w:color w:val="auto"/>
          <w:sz w:val="18"/>
          <w:szCs w:val="18"/>
        </w:rPr>
        <w:t>保偏光纤</w:t>
      </w:r>
      <w:r>
        <w:rPr>
          <w:rFonts w:ascii="Times New Roman" w:eastAsia="楷体" w:hAnsi="Times New Roman" w:hint="eastAsia"/>
          <w:bCs/>
          <w:color w:val="auto"/>
          <w:sz w:val="18"/>
          <w:szCs w:val="18"/>
        </w:rPr>
        <w:t>；</w:t>
      </w:r>
      <w:r>
        <w:rPr>
          <w:rFonts w:ascii="Times New Roman" w:eastAsia="楷体" w:hAnsi="Times New Roman"/>
          <w:bCs/>
          <w:color w:val="auto"/>
          <w:sz w:val="18"/>
          <w:szCs w:val="18"/>
        </w:rPr>
        <w:t>空心反谐振光纤</w:t>
      </w:r>
      <w:r>
        <w:rPr>
          <w:rFonts w:ascii="Times New Roman" w:eastAsia="楷体" w:hAnsi="Times New Roman" w:hint="eastAsia"/>
          <w:bCs/>
          <w:color w:val="auto"/>
          <w:sz w:val="18"/>
          <w:szCs w:val="18"/>
        </w:rPr>
        <w:t>；双折射；太赫兹</w:t>
      </w:r>
    </w:p>
    <w:p w14:paraId="525649EE" w14:textId="77777777" w:rsidR="003162D1" w:rsidRDefault="003162D1">
      <w:pPr>
        <w:jc w:val="both"/>
        <w:rPr>
          <w:rFonts w:ascii="Times New Roman" w:eastAsia="楷体" w:hAnsi="Times New Roman" w:cs="Times New Roman"/>
          <w:b/>
          <w:bCs/>
          <w:color w:val="auto"/>
          <w:sz w:val="18"/>
          <w:szCs w:val="18"/>
          <w:lang w:eastAsia="zh-CN"/>
        </w:rPr>
      </w:pPr>
    </w:p>
    <w:p w14:paraId="42FD4DC6" w14:textId="77777777" w:rsidR="003162D1" w:rsidRDefault="00FF0CC3">
      <w:pPr>
        <w:kinsoku/>
        <w:autoSpaceDE/>
        <w:autoSpaceDN/>
        <w:adjustRightInd/>
        <w:snapToGrid/>
        <w:ind w:left="360"/>
        <w:jc w:val="center"/>
        <w:textAlignment w:val="auto"/>
        <w:rPr>
          <w:rFonts w:ascii="Times New Roman" w:eastAsia="宋体" w:hAnsi="Times New Roman" w:cs="Times New Roman"/>
          <w:b/>
          <w:snapToGrid/>
          <w:color w:val="313131"/>
          <w:sz w:val="32"/>
          <w:szCs w:val="32"/>
          <w:lang w:eastAsia="zh-CN"/>
        </w:rPr>
      </w:pPr>
      <w:r>
        <w:rPr>
          <w:rFonts w:ascii="Times New Roman" w:hAnsi="Times New Roman" w:cs="Times New Roman"/>
          <w:b/>
          <w:color w:val="313131"/>
          <w:sz w:val="32"/>
          <w:szCs w:val="32"/>
        </w:rPr>
        <w:t>Research on Double-Ring Sleeve Superimposed Double-straight Plate Hollow Core Anti-Resonant Optical Fiber</w:t>
      </w:r>
    </w:p>
    <w:p w14:paraId="037B380A" w14:textId="77777777" w:rsidR="003162D1" w:rsidRDefault="00FF0CC3">
      <w:pPr>
        <w:pStyle w:val="a5"/>
        <w:jc w:val="center"/>
        <w:rPr>
          <w:rFonts w:ascii="Times New Roman" w:eastAsia="黑体" w:hAnsi="Times New Roman" w:cs="Times New Roman"/>
          <w:b/>
          <w:snapToGrid/>
          <w:color w:val="auto"/>
          <w:lang w:eastAsia="zh-CN" w:bidi="ar"/>
        </w:rPr>
      </w:pPr>
      <w:r>
        <w:rPr>
          <w:rFonts w:ascii="Times New Roman" w:eastAsia="黑体" w:hAnsi="Times New Roman" w:cs="Times New Roman"/>
          <w:b/>
          <w:snapToGrid/>
          <w:color w:val="auto"/>
          <w:lang w:eastAsia="zh-CN" w:bidi="ar"/>
        </w:rPr>
        <w:t xml:space="preserve"> Deng Yuxiang,  Ge Zhihui ,Zhang Zhenrong *</w:t>
      </w:r>
    </w:p>
    <w:p w14:paraId="29219500" w14:textId="77777777" w:rsidR="003162D1" w:rsidRDefault="00FF0CC3">
      <w:pPr>
        <w:pStyle w:val="a5"/>
        <w:jc w:val="center"/>
        <w:rPr>
          <w:rStyle w:val="af0"/>
          <w:rFonts w:ascii="Times New Roman" w:eastAsia="黑体" w:hAnsi="Times New Roman" w:cs="Times New Roman"/>
          <w:snapToGrid/>
          <w:color w:val="auto"/>
          <w:sz w:val="15"/>
          <w:szCs w:val="15"/>
          <w:lang w:eastAsia="zh-CN" w:bidi="ar"/>
        </w:rPr>
      </w:pPr>
      <w:r>
        <w:rPr>
          <w:rFonts w:ascii="Times New Roman" w:eastAsia="黑体" w:hAnsi="Times New Roman" w:cs="Times New Roman"/>
          <w:b/>
          <w:snapToGrid/>
          <w:color w:val="auto"/>
          <w:sz w:val="15"/>
          <w:szCs w:val="15"/>
          <w:lang w:eastAsia="zh-CN" w:bidi="ar"/>
        </w:rPr>
        <w:t>（</w:t>
      </w:r>
      <w:r>
        <w:rPr>
          <w:rFonts w:ascii="Times New Roman" w:eastAsia="黑体" w:hAnsi="Times New Roman" w:cs="Times New Roman"/>
          <w:b/>
          <w:snapToGrid/>
          <w:color w:val="auto"/>
          <w:sz w:val="15"/>
          <w:szCs w:val="15"/>
          <w:lang w:eastAsia="zh-CN" w:bidi="ar"/>
        </w:rPr>
        <w:t xml:space="preserve">School of Computer and Electronic Information, Guangxi University, Guangxi </w:t>
      </w:r>
      <w:r>
        <w:rPr>
          <w:rFonts w:ascii="Times New Roman" w:eastAsia="黑体" w:hAnsi="Times New Roman" w:cs="Times New Roman"/>
          <w:b/>
          <w:snapToGrid/>
          <w:color w:val="auto"/>
          <w:sz w:val="15"/>
          <w:szCs w:val="15"/>
          <w:lang w:eastAsia="zh-CN" w:bidi="ar"/>
        </w:rPr>
        <w:t>530004</w:t>
      </w:r>
      <w:r>
        <w:rPr>
          <w:rFonts w:ascii="Times New Roman" w:eastAsia="黑体" w:hAnsi="Times New Roman" w:cs="Times New Roman"/>
          <w:b/>
          <w:snapToGrid/>
          <w:color w:val="auto"/>
          <w:sz w:val="15"/>
          <w:szCs w:val="15"/>
          <w:lang w:eastAsia="zh-CN" w:bidi="ar"/>
        </w:rPr>
        <w:t>）</w:t>
      </w:r>
    </w:p>
    <w:p w14:paraId="085DF1C7" w14:textId="77777777" w:rsidR="003162D1" w:rsidRDefault="003162D1">
      <w:pPr>
        <w:pStyle w:val="a5"/>
        <w:jc w:val="both"/>
        <w:rPr>
          <w:rFonts w:ascii="Times New Roman" w:eastAsiaTheme="majorEastAsia" w:hAnsi="Times New Roman" w:cs="Times New Roman"/>
          <w:color w:val="auto"/>
          <w:spacing w:val="-2"/>
          <w:sz w:val="15"/>
          <w:szCs w:val="15"/>
        </w:rPr>
      </w:pPr>
    </w:p>
    <w:p w14:paraId="08ECFB33" w14:textId="77777777" w:rsidR="003162D1" w:rsidRDefault="00FF0CC3">
      <w:pPr>
        <w:kinsoku/>
        <w:autoSpaceDE/>
        <w:autoSpaceDN/>
        <w:adjustRightInd/>
        <w:snapToGrid/>
        <w:jc w:val="both"/>
        <w:textAlignment w:val="auto"/>
        <w:rPr>
          <w:rFonts w:ascii="Times New Roman" w:eastAsia="宋体" w:hAnsi="Times New Roman" w:cs="Times New Roman"/>
          <w:snapToGrid/>
          <w:color w:val="313131"/>
          <w:lang w:eastAsia="zh-CN"/>
        </w:rPr>
      </w:pPr>
      <w:r>
        <w:rPr>
          <w:rFonts w:ascii="Times New Roman" w:eastAsia="微软雅黑" w:hAnsi="Times New Roman" w:cs="Times New Roman"/>
          <w:b/>
          <w:bCs/>
          <w:color w:val="auto"/>
          <w:spacing w:val="-2"/>
          <w:sz w:val="18"/>
          <w:szCs w:val="18"/>
        </w:rPr>
        <w:t xml:space="preserve">Abstract: </w:t>
      </w:r>
      <w:r>
        <w:rPr>
          <w:rFonts w:ascii="Times New Roman" w:eastAsia="宋体" w:hAnsi="Times New Roman" w:cs="Times New Roman"/>
          <w:snapToGrid/>
          <w:color w:val="313131"/>
          <w:sz w:val="18"/>
          <w:szCs w:val="18"/>
          <w:lang w:eastAsia="zh-CN"/>
        </w:rPr>
        <w:t>To enhance the transmission performance of terahertz band optical fibers and achieve a balance between high birefringence and low loss, this paper designs a hollow anti-resonant optical fiber structure with double circular sleeve superim</w:t>
      </w:r>
      <w:r>
        <w:rPr>
          <w:rFonts w:ascii="Times New Roman" w:eastAsia="宋体" w:hAnsi="Times New Roman" w:cs="Times New Roman"/>
          <w:snapToGrid/>
          <w:color w:val="313131"/>
          <w:sz w:val="18"/>
          <w:szCs w:val="18"/>
          <w:lang w:eastAsia="zh-CN"/>
        </w:rPr>
        <w:t>posed on two straight plates. This structure achieves geometric asymmetry by introducing double straight plates, enhancing the birefringence characteristics, and systematically optimizes key geometric parameters (such as plate spacing, plate thickness, and</w:t>
      </w:r>
      <w:r>
        <w:rPr>
          <w:rFonts w:ascii="Times New Roman" w:eastAsia="宋体" w:hAnsi="Times New Roman" w:cs="Times New Roman"/>
          <w:snapToGrid/>
          <w:color w:val="313131"/>
          <w:sz w:val="18"/>
          <w:szCs w:val="18"/>
          <w:lang w:eastAsia="zh-CN"/>
        </w:rPr>
        <w:t xml:space="preserve"> cladding diameter, etc.) using the finite element method. The simulation results show that at the frequency of 1 THz, the birefringence value of the proposed optical fiber reaches 4.45×10⁻⁴, the limiting loss is 0.24 dB/m, and the birefringence is always </w:t>
      </w:r>
      <w:r>
        <w:rPr>
          <w:rFonts w:ascii="Times New Roman" w:eastAsia="宋体" w:hAnsi="Times New Roman" w:cs="Times New Roman"/>
          <w:snapToGrid/>
          <w:color w:val="313131"/>
          <w:sz w:val="18"/>
          <w:szCs w:val="18"/>
          <w:lang w:eastAsia="zh-CN"/>
        </w:rPr>
        <w:t>higher than 10⁻⁴ within the wide frequency band of 0.84-1.1 THz, and the total loss remains at a relatively low level. Meanwhile, this structure still has good bending resistance when the bending radius is as low as 0.3 meters.</w:t>
      </w:r>
    </w:p>
    <w:p w14:paraId="17110B6E" w14:textId="77777777" w:rsidR="003162D1" w:rsidRDefault="003162D1">
      <w:pPr>
        <w:pStyle w:val="a5"/>
        <w:jc w:val="both"/>
        <w:rPr>
          <w:rFonts w:ascii="Times New Roman" w:eastAsia="微软雅黑" w:hAnsi="Times New Roman" w:cs="Times New Roman"/>
          <w:snapToGrid/>
          <w:color w:val="auto"/>
          <w:sz w:val="18"/>
          <w:szCs w:val="18"/>
          <w:lang w:eastAsia="zh-CN" w:bidi="ar"/>
        </w:rPr>
      </w:pPr>
    </w:p>
    <w:p w14:paraId="03F02DEB" w14:textId="77777777" w:rsidR="003162D1" w:rsidRDefault="00FF0CC3">
      <w:pPr>
        <w:pStyle w:val="a5"/>
        <w:jc w:val="both"/>
        <w:rPr>
          <w:rFonts w:ascii="Times New Roman" w:eastAsia="微软雅黑" w:hAnsi="Times New Roman" w:cs="Times New Roman"/>
          <w:snapToGrid/>
          <w:color w:val="auto"/>
          <w:sz w:val="18"/>
          <w:szCs w:val="18"/>
          <w:lang w:eastAsia="zh-CN" w:bidi="ar"/>
        </w:rPr>
      </w:pPr>
      <w:r>
        <w:rPr>
          <w:rFonts w:ascii="Times New Roman" w:eastAsia="微软雅黑" w:hAnsi="Times New Roman" w:cs="Times New Roman"/>
          <w:b/>
          <w:bCs/>
          <w:snapToGrid/>
          <w:color w:val="auto"/>
          <w:sz w:val="18"/>
          <w:szCs w:val="18"/>
          <w:lang w:eastAsia="zh-CN" w:bidi="ar"/>
        </w:rPr>
        <w:t>Key words:</w:t>
      </w:r>
      <w:r>
        <w:rPr>
          <w:rFonts w:ascii="Times New Roman" w:eastAsia="微软雅黑" w:hAnsi="Times New Roman" w:cs="Times New Roman"/>
          <w:snapToGrid/>
          <w:color w:val="auto"/>
          <w:sz w:val="18"/>
          <w:szCs w:val="18"/>
          <w:lang w:eastAsia="zh-CN" w:bidi="ar"/>
        </w:rPr>
        <w:t xml:space="preserve"> Specialty fiber,</w:t>
      </w:r>
      <w:r>
        <w:rPr>
          <w:rFonts w:ascii="Times New Roman" w:eastAsia="微软雅黑" w:hAnsi="Times New Roman" w:cs="Times New Roman"/>
          <w:snapToGrid/>
          <w:color w:val="auto"/>
          <w:sz w:val="18"/>
          <w:szCs w:val="18"/>
          <w:lang w:eastAsia="zh-CN" w:bidi="ar"/>
        </w:rPr>
        <w:t xml:space="preserve"> Polarization-Maintaining Fiber</w:t>
      </w:r>
      <w:r>
        <w:rPr>
          <w:rFonts w:ascii="Times New Roman" w:eastAsia="微软雅黑" w:hAnsi="Times New Roman" w:cs="Times New Roman" w:hint="eastAsia"/>
          <w:snapToGrid/>
          <w:color w:val="auto"/>
          <w:sz w:val="18"/>
          <w:szCs w:val="18"/>
          <w:lang w:eastAsia="zh-CN" w:bidi="ar"/>
        </w:rPr>
        <w:t>，</w:t>
      </w:r>
      <w:r>
        <w:rPr>
          <w:rFonts w:ascii="Times New Roman" w:eastAsia="微软雅黑" w:hAnsi="Times New Roman" w:cs="Times New Roman"/>
          <w:snapToGrid/>
          <w:color w:val="auto"/>
          <w:sz w:val="18"/>
          <w:szCs w:val="18"/>
          <w:lang w:eastAsia="zh-CN" w:bidi="ar"/>
        </w:rPr>
        <w:t>Hollow-Core Antiresonant Fiber</w:t>
      </w:r>
      <w:r>
        <w:rPr>
          <w:rFonts w:ascii="Times New Roman" w:eastAsia="微软雅黑" w:hAnsi="Times New Roman" w:cs="Times New Roman" w:hint="eastAsia"/>
          <w:snapToGrid/>
          <w:color w:val="auto"/>
          <w:sz w:val="18"/>
          <w:szCs w:val="18"/>
          <w:lang w:eastAsia="zh-CN" w:bidi="ar"/>
        </w:rPr>
        <w:t>，</w:t>
      </w:r>
      <w:r>
        <w:rPr>
          <w:rFonts w:ascii="Times New Roman" w:eastAsia="微软雅黑" w:hAnsi="Times New Roman" w:cs="Times New Roman"/>
          <w:snapToGrid/>
          <w:color w:val="auto"/>
          <w:sz w:val="18"/>
          <w:szCs w:val="18"/>
          <w:lang w:eastAsia="zh-CN" w:bidi="ar"/>
        </w:rPr>
        <w:t>Birefringence, terahertz</w:t>
      </w:r>
    </w:p>
    <w:p w14:paraId="301E3144" w14:textId="77777777" w:rsidR="003162D1" w:rsidRDefault="003162D1">
      <w:pPr>
        <w:pStyle w:val="a5"/>
        <w:jc w:val="both"/>
        <w:rPr>
          <w:rFonts w:ascii="Times New Roman" w:eastAsia="微软雅黑" w:hAnsi="Times New Roman" w:cs="Times New Roman"/>
          <w:color w:val="auto"/>
          <w:sz w:val="18"/>
          <w:szCs w:val="18"/>
          <w:lang w:eastAsia="zh-CN"/>
        </w:rPr>
      </w:pPr>
    </w:p>
    <w:p w14:paraId="1154CD94" w14:textId="77777777" w:rsidR="003162D1" w:rsidRDefault="00FF0CC3">
      <w:pPr>
        <w:pStyle w:val="a5"/>
        <w:spacing w:before="98" w:line="208" w:lineRule="auto"/>
        <w:outlineLvl w:val="0"/>
        <w:rPr>
          <w:rFonts w:ascii="Times New Roman" w:hAnsi="Times New Roman" w:cs="Times New Roman"/>
          <w:b/>
          <w:bCs/>
          <w:snapToGrid/>
          <w:color w:val="auto"/>
          <w:sz w:val="24"/>
          <w:szCs w:val="24"/>
          <w:lang w:eastAsia="zh-CN" w:bidi="ar"/>
        </w:rPr>
      </w:pPr>
      <w:r>
        <w:rPr>
          <w:rFonts w:ascii="Times New Roman" w:hAnsi="Times New Roman" w:cs="Times New Roman"/>
          <w:b/>
          <w:bCs/>
          <w:snapToGrid/>
          <w:color w:val="auto"/>
          <w:sz w:val="24"/>
          <w:szCs w:val="24"/>
          <w:lang w:eastAsia="zh-CN" w:bidi="ar"/>
        </w:rPr>
        <w:t>0</w:t>
      </w:r>
      <w:r>
        <w:rPr>
          <w:rFonts w:ascii="Times New Roman" w:hAnsi="Times New Roman" w:cs="Times New Roman"/>
          <w:b/>
          <w:bCs/>
          <w:snapToGrid/>
          <w:color w:val="auto"/>
          <w:sz w:val="24"/>
          <w:szCs w:val="24"/>
          <w:lang w:eastAsia="zh-CN" w:bidi="ar"/>
        </w:rPr>
        <w:t>引言</w:t>
      </w:r>
    </w:p>
    <w:p w14:paraId="6D048729" w14:textId="77777777" w:rsidR="003162D1" w:rsidRDefault="00FF0CC3">
      <w:pPr>
        <w:pStyle w:val="a5"/>
        <w:ind w:firstLineChars="200" w:firstLine="420"/>
        <w:jc w:val="both"/>
        <w:rPr>
          <w:rFonts w:ascii="Times New Roman" w:hAnsi="Times New Roman" w:cs="Times New Roman"/>
          <w:snapToGrid/>
          <w:color w:val="auto"/>
          <w:lang w:eastAsia="zh-CN" w:bidi="ar"/>
        </w:rPr>
      </w:pPr>
      <w:r>
        <w:rPr>
          <w:rFonts w:ascii="Times New Roman" w:hAnsi="Times New Roman" w:cs="Times New Roman" w:hint="eastAsia"/>
          <w:snapToGrid/>
          <w:color w:val="auto"/>
          <w:lang w:eastAsia="zh-CN" w:bidi="ar"/>
        </w:rPr>
        <w:t>空芯反谐振光纤凭借其独特的导光机制，能够使特定波长的光在空气芯中形成共振反射，同时抑制其他波长的传输，因而在低损耗</w:t>
      </w:r>
      <w:r>
        <w:rPr>
          <w:rFonts w:ascii="Times New Roman" w:hAnsi="Times New Roman" w:cs="Times New Roman" w:hint="eastAsia"/>
          <w:snapToGrid/>
          <w:color w:val="auto"/>
          <w:vertAlign w:val="superscript"/>
          <w:lang w:eastAsia="zh-CN" w:bidi="ar"/>
        </w:rPr>
        <w:t>[</w:t>
      </w:r>
      <w:r>
        <w:rPr>
          <w:rFonts w:ascii="Times New Roman" w:hAnsi="Times New Roman" w:cs="Times New Roman"/>
          <w:snapToGrid/>
          <w:color w:val="auto"/>
          <w:vertAlign w:val="superscript"/>
          <w:lang w:eastAsia="zh-CN" w:bidi="ar"/>
        </w:rPr>
        <w:t>1]</w:t>
      </w:r>
      <w:r>
        <w:rPr>
          <w:rFonts w:ascii="Times New Roman" w:hAnsi="Times New Roman" w:cs="Times New Roman" w:hint="eastAsia"/>
          <w:snapToGrid/>
          <w:color w:val="auto"/>
          <w:lang w:eastAsia="zh-CN" w:bidi="ar"/>
        </w:rPr>
        <w:t>、低非线性</w:t>
      </w:r>
      <w:r>
        <w:rPr>
          <w:rFonts w:ascii="Times New Roman" w:hAnsi="Times New Roman" w:cs="Times New Roman" w:hint="eastAsia"/>
          <w:snapToGrid/>
          <w:color w:val="auto"/>
          <w:vertAlign w:val="superscript"/>
          <w:lang w:eastAsia="zh-CN" w:bidi="ar"/>
        </w:rPr>
        <w:t>[</w:t>
      </w:r>
      <w:r>
        <w:rPr>
          <w:rFonts w:ascii="Times New Roman" w:hAnsi="Times New Roman" w:cs="Times New Roman"/>
          <w:snapToGrid/>
          <w:color w:val="auto"/>
          <w:vertAlign w:val="superscript"/>
          <w:lang w:eastAsia="zh-CN" w:bidi="ar"/>
        </w:rPr>
        <w:t>2]</w:t>
      </w:r>
      <w:r>
        <w:rPr>
          <w:rFonts w:ascii="Times New Roman" w:hAnsi="Times New Roman" w:cs="Times New Roman" w:hint="eastAsia"/>
          <w:snapToGrid/>
          <w:color w:val="auto"/>
          <w:lang w:eastAsia="zh-CN" w:bidi="ar"/>
        </w:rPr>
        <w:t>与高损伤阈值</w:t>
      </w:r>
      <w:r>
        <w:rPr>
          <w:rFonts w:ascii="Times New Roman" w:hAnsi="Times New Roman" w:cs="Times New Roman" w:hint="eastAsia"/>
          <w:snapToGrid/>
          <w:color w:val="auto"/>
          <w:vertAlign w:val="superscript"/>
          <w:lang w:eastAsia="zh-CN" w:bidi="ar"/>
        </w:rPr>
        <w:t>[</w:t>
      </w:r>
      <w:r>
        <w:rPr>
          <w:rFonts w:ascii="Times New Roman" w:hAnsi="Times New Roman" w:cs="Times New Roman"/>
          <w:snapToGrid/>
          <w:color w:val="auto"/>
          <w:vertAlign w:val="superscript"/>
          <w:lang w:eastAsia="zh-CN" w:bidi="ar"/>
        </w:rPr>
        <w:t>3]</w:t>
      </w:r>
      <w:r>
        <w:rPr>
          <w:rFonts w:ascii="Times New Roman" w:hAnsi="Times New Roman" w:cs="Times New Roman" w:hint="eastAsia"/>
          <w:snapToGrid/>
          <w:color w:val="auto"/>
          <w:lang w:eastAsia="zh-CN" w:bidi="ar"/>
        </w:rPr>
        <w:t>等方面展现出显著优势，被广泛应用于高功率激光传输</w:t>
      </w:r>
      <w:r>
        <w:rPr>
          <w:rFonts w:ascii="Times New Roman" w:hAnsi="Times New Roman" w:cs="Times New Roman" w:hint="eastAsia"/>
          <w:snapToGrid/>
          <w:color w:val="auto"/>
          <w:vertAlign w:val="superscript"/>
          <w:lang w:eastAsia="zh-CN" w:bidi="ar"/>
        </w:rPr>
        <w:t>[</w:t>
      </w:r>
      <w:r>
        <w:rPr>
          <w:rFonts w:ascii="Times New Roman" w:hAnsi="Times New Roman" w:cs="Times New Roman"/>
          <w:snapToGrid/>
          <w:color w:val="auto"/>
          <w:vertAlign w:val="superscript"/>
          <w:lang w:eastAsia="zh-CN" w:bidi="ar"/>
        </w:rPr>
        <w:t>4]</w:t>
      </w:r>
      <w:r>
        <w:rPr>
          <w:rFonts w:ascii="Times New Roman" w:hAnsi="Times New Roman" w:cs="Times New Roman" w:hint="eastAsia"/>
          <w:snapToGrid/>
          <w:color w:val="auto"/>
          <w:lang w:eastAsia="zh-CN" w:bidi="ar"/>
        </w:rPr>
        <w:t>、长距离光学通信</w:t>
      </w:r>
      <w:r>
        <w:rPr>
          <w:rFonts w:ascii="Times New Roman" w:hAnsi="Times New Roman" w:cs="Times New Roman" w:hint="eastAsia"/>
          <w:snapToGrid/>
          <w:color w:val="auto"/>
          <w:vertAlign w:val="superscript"/>
          <w:lang w:eastAsia="zh-CN" w:bidi="ar"/>
        </w:rPr>
        <w:t>[</w:t>
      </w:r>
      <w:r>
        <w:rPr>
          <w:rFonts w:ascii="Times New Roman" w:hAnsi="Times New Roman" w:cs="Times New Roman"/>
          <w:snapToGrid/>
          <w:color w:val="auto"/>
          <w:vertAlign w:val="superscript"/>
          <w:lang w:eastAsia="zh-CN" w:bidi="ar"/>
        </w:rPr>
        <w:t>5]</w:t>
      </w:r>
      <w:r>
        <w:rPr>
          <w:rFonts w:ascii="Times New Roman" w:hAnsi="Times New Roman" w:cs="Times New Roman" w:hint="eastAsia"/>
          <w:snapToGrid/>
          <w:color w:val="auto"/>
          <w:lang w:eastAsia="zh-CN" w:bidi="ar"/>
        </w:rPr>
        <w:t>以及高光束质量的精密测量</w:t>
      </w:r>
      <w:r>
        <w:rPr>
          <w:rFonts w:ascii="Times New Roman" w:hAnsi="Times New Roman" w:cs="Times New Roman" w:hint="eastAsia"/>
          <w:snapToGrid/>
          <w:color w:val="auto"/>
          <w:vertAlign w:val="superscript"/>
          <w:lang w:eastAsia="zh-CN" w:bidi="ar"/>
        </w:rPr>
        <w:t>[</w:t>
      </w:r>
      <w:r>
        <w:rPr>
          <w:rFonts w:ascii="Times New Roman" w:hAnsi="Times New Roman" w:cs="Times New Roman"/>
          <w:snapToGrid/>
          <w:color w:val="auto"/>
          <w:vertAlign w:val="superscript"/>
          <w:lang w:eastAsia="zh-CN" w:bidi="ar"/>
        </w:rPr>
        <w:t>6]</w:t>
      </w:r>
      <w:r>
        <w:rPr>
          <w:rFonts w:ascii="Times New Roman" w:hAnsi="Times New Roman" w:cs="Times New Roman" w:hint="eastAsia"/>
          <w:snapToGrid/>
          <w:color w:val="auto"/>
          <w:lang w:eastAsia="zh-CN" w:bidi="ar"/>
        </w:rPr>
        <w:t>等领域。该类光纤通过结构不对称性有效抑制模式耦合并引入双折射，使其在光纤陀螺、量子密钥分发和光学相干断层成像等应用中具有重要价值</w:t>
      </w:r>
      <w:r>
        <w:rPr>
          <w:rFonts w:ascii="Times New Roman" w:hAnsi="Times New Roman" w:cs="Times New Roman" w:hint="eastAsia"/>
          <w:snapToGrid/>
          <w:color w:val="auto"/>
          <w:vertAlign w:val="superscript"/>
          <w:lang w:eastAsia="zh-CN" w:bidi="ar"/>
        </w:rPr>
        <w:t>[</w:t>
      </w:r>
      <w:r>
        <w:rPr>
          <w:rFonts w:ascii="Times New Roman" w:hAnsi="Times New Roman" w:cs="Times New Roman"/>
          <w:snapToGrid/>
          <w:color w:val="auto"/>
          <w:vertAlign w:val="superscript"/>
          <w:lang w:eastAsia="zh-CN" w:bidi="ar"/>
        </w:rPr>
        <w:t>7-8]</w:t>
      </w:r>
      <w:r>
        <w:rPr>
          <w:rFonts w:ascii="Times New Roman" w:hAnsi="Times New Roman" w:cs="Times New Roman" w:hint="eastAsia"/>
          <w:snapToGrid/>
          <w:color w:val="auto"/>
          <w:lang w:eastAsia="zh-CN" w:bidi="ar"/>
        </w:rPr>
        <w:t>。特别是在光纤传感与量子通信等方向，保偏光纤的设计尤为关键</w:t>
      </w:r>
      <w:r>
        <w:rPr>
          <w:rFonts w:ascii="Times New Roman" w:hAnsi="Times New Roman" w:cs="Times New Roman" w:hint="eastAsia"/>
          <w:snapToGrid/>
          <w:color w:val="auto"/>
          <w:vertAlign w:val="superscript"/>
          <w:lang w:eastAsia="zh-CN" w:bidi="ar"/>
        </w:rPr>
        <w:t>[</w:t>
      </w:r>
      <w:r>
        <w:rPr>
          <w:rFonts w:ascii="Times New Roman" w:hAnsi="Times New Roman" w:cs="Times New Roman"/>
          <w:snapToGrid/>
          <w:color w:val="auto"/>
          <w:vertAlign w:val="superscript"/>
          <w:lang w:eastAsia="zh-CN" w:bidi="ar"/>
        </w:rPr>
        <w:t>9-10]</w:t>
      </w:r>
      <w:r>
        <w:rPr>
          <w:rFonts w:ascii="Times New Roman" w:hAnsi="Times New Roman" w:cs="Times New Roman" w:hint="eastAsia"/>
          <w:snapToGrid/>
          <w:color w:val="auto"/>
          <w:lang w:eastAsia="zh-CN" w:bidi="ar"/>
        </w:rPr>
        <w:t>。</w:t>
      </w:r>
    </w:p>
    <w:p w14:paraId="725739D8" w14:textId="77777777" w:rsidR="003162D1" w:rsidRDefault="00FF0CC3">
      <w:pPr>
        <w:pStyle w:val="a5"/>
        <w:ind w:firstLineChars="200" w:firstLine="420"/>
        <w:jc w:val="both"/>
        <w:rPr>
          <w:rFonts w:ascii="Times New Roman" w:hAnsi="Times New Roman" w:cs="Times New Roman"/>
          <w:snapToGrid/>
          <w:color w:val="auto"/>
          <w:lang w:eastAsia="zh-CN" w:bidi="ar"/>
        </w:rPr>
      </w:pPr>
      <w:r>
        <w:rPr>
          <w:rFonts w:ascii="Times New Roman" w:hAnsi="Times New Roman" w:cs="Times New Roman" w:hint="eastAsia"/>
          <w:snapToGrid/>
          <w:color w:val="auto"/>
          <w:lang w:eastAsia="zh-CN" w:bidi="ar"/>
        </w:rPr>
        <w:t>近年来，太赫兹（</w:t>
      </w:r>
      <w:r>
        <w:rPr>
          <w:rFonts w:ascii="Times New Roman" w:hAnsi="Times New Roman" w:cs="Times New Roman"/>
          <w:snapToGrid/>
          <w:color w:val="auto"/>
          <w:lang w:eastAsia="zh-CN" w:bidi="ar"/>
        </w:rPr>
        <w:t>THz</w:t>
      </w:r>
      <w:r>
        <w:rPr>
          <w:rFonts w:ascii="Times New Roman" w:hAnsi="Times New Roman" w:cs="Times New Roman" w:hint="eastAsia"/>
          <w:snapToGrid/>
          <w:color w:val="auto"/>
          <w:lang w:eastAsia="zh-CN" w:bidi="ar"/>
        </w:rPr>
        <w:t>）频段（</w:t>
      </w:r>
      <w:r>
        <w:rPr>
          <w:rFonts w:ascii="Times New Roman" w:hAnsi="Times New Roman" w:cs="Times New Roman"/>
          <w:snapToGrid/>
          <w:color w:val="auto"/>
          <w:lang w:eastAsia="zh-CN" w:bidi="ar"/>
        </w:rPr>
        <w:t>0.1–10 THz</w:t>
      </w:r>
      <w:r>
        <w:rPr>
          <w:rFonts w:ascii="Times New Roman" w:hAnsi="Times New Roman" w:cs="Times New Roman" w:hint="eastAsia"/>
          <w:snapToGrid/>
          <w:color w:val="auto"/>
          <w:lang w:eastAsia="zh-CN" w:bidi="ar"/>
        </w:rPr>
        <w:t>）因其在材料穿透性与分子指纹谱识别方面的独特优势，受到广泛关注。太赫兹波对应波长约为</w:t>
      </w:r>
      <w:r>
        <w:rPr>
          <w:rFonts w:ascii="Times New Roman" w:hAnsi="Times New Roman" w:cs="Times New Roman"/>
          <w:snapToGrid/>
          <w:color w:val="auto"/>
          <w:lang w:eastAsia="zh-CN" w:bidi="ar"/>
        </w:rPr>
        <w:t>300 μm</w:t>
      </w:r>
      <w:r>
        <w:rPr>
          <w:rFonts w:ascii="Times New Roman" w:hAnsi="Times New Roman" w:cs="Times New Roman" w:hint="eastAsia"/>
          <w:snapToGrid/>
          <w:color w:val="auto"/>
          <w:lang w:eastAsia="zh-CN" w:bidi="ar"/>
        </w:rPr>
        <w:t>，能够穿透部分非导电材料，且对多种生物及化学样品具有特征吸收，因此发展低损耗的太赫兹波导成为研究热点。目前，常用于太赫兹波导的低损耗聚合物材料包括</w:t>
      </w:r>
      <w:r>
        <w:rPr>
          <w:rFonts w:ascii="Times New Roman" w:hAnsi="Times New Roman" w:cs="Times New Roman"/>
          <w:snapToGrid/>
          <w:color w:val="auto"/>
          <w:lang w:eastAsia="zh-CN" w:bidi="ar"/>
        </w:rPr>
        <w:t>Topa</w:t>
      </w:r>
      <w:r>
        <w:rPr>
          <w:rFonts w:ascii="Times New Roman" w:hAnsi="Times New Roman" w:cs="Times New Roman"/>
          <w:snapToGrid/>
          <w:color w:val="auto"/>
          <w:lang w:eastAsia="zh-CN" w:bidi="ar"/>
        </w:rPr>
        <w:t>s</w:t>
      </w:r>
      <w:r>
        <w:rPr>
          <w:rFonts w:ascii="Times New Roman" w:hAnsi="Times New Roman" w:cs="Times New Roman" w:hint="eastAsia"/>
          <w:snapToGrid/>
          <w:color w:val="auto"/>
          <w:vertAlign w:val="superscript"/>
          <w:lang w:eastAsia="zh-CN" w:bidi="ar"/>
        </w:rPr>
        <w:t>[</w:t>
      </w:r>
      <w:r>
        <w:rPr>
          <w:rFonts w:ascii="Times New Roman" w:hAnsi="Times New Roman" w:cs="Times New Roman"/>
          <w:snapToGrid/>
          <w:color w:val="auto"/>
          <w:vertAlign w:val="superscript"/>
          <w:lang w:eastAsia="zh-CN" w:bidi="ar"/>
        </w:rPr>
        <w:t>11]</w:t>
      </w:r>
      <w:r>
        <w:rPr>
          <w:rFonts w:ascii="Times New Roman" w:hAnsi="Times New Roman" w:cs="Times New Roman" w:hint="eastAsia"/>
          <w:snapToGrid/>
          <w:color w:val="auto"/>
          <w:lang w:eastAsia="zh-CN" w:bidi="ar"/>
        </w:rPr>
        <w:t>、</w:t>
      </w:r>
      <w:r>
        <w:rPr>
          <w:rFonts w:ascii="Times New Roman" w:hAnsi="Times New Roman" w:cs="Times New Roman"/>
          <w:snapToGrid/>
          <w:color w:val="auto"/>
          <w:lang w:eastAsia="zh-CN" w:bidi="ar"/>
        </w:rPr>
        <w:t>PMMA</w:t>
      </w:r>
      <w:r>
        <w:rPr>
          <w:rFonts w:ascii="Times New Roman" w:hAnsi="Times New Roman" w:cs="Times New Roman" w:hint="eastAsia"/>
          <w:snapToGrid/>
          <w:color w:val="auto"/>
          <w:vertAlign w:val="superscript"/>
          <w:lang w:eastAsia="zh-CN" w:bidi="ar"/>
        </w:rPr>
        <w:t>[</w:t>
      </w:r>
      <w:r>
        <w:rPr>
          <w:rFonts w:ascii="Times New Roman" w:hAnsi="Times New Roman" w:cs="Times New Roman"/>
          <w:snapToGrid/>
          <w:color w:val="auto"/>
          <w:vertAlign w:val="superscript"/>
          <w:lang w:eastAsia="zh-CN" w:bidi="ar"/>
        </w:rPr>
        <w:t>12]</w:t>
      </w:r>
      <w:r>
        <w:rPr>
          <w:rFonts w:ascii="Times New Roman" w:hAnsi="Times New Roman" w:cs="Times New Roman" w:hint="eastAsia"/>
          <w:snapToGrid/>
          <w:color w:val="auto"/>
          <w:lang w:eastAsia="zh-CN" w:bidi="ar"/>
        </w:rPr>
        <w:t>、</w:t>
      </w:r>
      <w:r>
        <w:rPr>
          <w:rFonts w:ascii="Times New Roman" w:hAnsi="Times New Roman" w:cs="Times New Roman"/>
          <w:snapToGrid/>
          <w:color w:val="auto"/>
          <w:lang w:eastAsia="zh-CN" w:bidi="ar"/>
        </w:rPr>
        <w:t>Teflon</w:t>
      </w:r>
      <w:r>
        <w:rPr>
          <w:rFonts w:ascii="Times New Roman" w:hAnsi="Times New Roman" w:cs="Times New Roman" w:hint="eastAsia"/>
          <w:snapToGrid/>
          <w:color w:val="auto"/>
          <w:vertAlign w:val="superscript"/>
          <w:lang w:eastAsia="zh-CN" w:bidi="ar"/>
        </w:rPr>
        <w:t>[</w:t>
      </w:r>
      <w:r>
        <w:rPr>
          <w:rFonts w:ascii="Times New Roman" w:hAnsi="Times New Roman" w:cs="Times New Roman"/>
          <w:snapToGrid/>
          <w:color w:val="auto"/>
          <w:vertAlign w:val="superscript"/>
          <w:lang w:eastAsia="zh-CN" w:bidi="ar"/>
        </w:rPr>
        <w:t>13]</w:t>
      </w:r>
      <w:r>
        <w:rPr>
          <w:rFonts w:ascii="Times New Roman" w:hAnsi="Times New Roman" w:cs="Times New Roman" w:hint="eastAsia"/>
          <w:snapToGrid/>
          <w:color w:val="auto"/>
          <w:lang w:eastAsia="zh-CN" w:bidi="ar"/>
        </w:rPr>
        <w:t>、</w:t>
      </w:r>
      <w:r>
        <w:rPr>
          <w:rFonts w:ascii="Times New Roman" w:hAnsi="Times New Roman" w:cs="Times New Roman"/>
          <w:snapToGrid/>
          <w:color w:val="auto"/>
          <w:lang w:eastAsia="zh-CN" w:bidi="ar"/>
        </w:rPr>
        <w:t>HDPE</w:t>
      </w:r>
      <w:r>
        <w:rPr>
          <w:rFonts w:ascii="Times New Roman" w:hAnsi="Times New Roman" w:cs="Times New Roman" w:hint="eastAsia"/>
          <w:snapToGrid/>
          <w:color w:val="auto"/>
          <w:vertAlign w:val="superscript"/>
          <w:lang w:eastAsia="zh-CN" w:bidi="ar"/>
        </w:rPr>
        <w:t>[</w:t>
      </w:r>
      <w:r>
        <w:rPr>
          <w:rFonts w:ascii="Times New Roman" w:hAnsi="Times New Roman" w:cs="Times New Roman"/>
          <w:snapToGrid/>
          <w:color w:val="auto"/>
          <w:vertAlign w:val="superscript"/>
          <w:lang w:eastAsia="zh-CN" w:bidi="ar"/>
        </w:rPr>
        <w:t>14]</w:t>
      </w:r>
      <w:r>
        <w:rPr>
          <w:rFonts w:ascii="Times New Roman" w:hAnsi="Times New Roman" w:cs="Times New Roman" w:hint="eastAsia"/>
          <w:snapToGrid/>
          <w:color w:val="auto"/>
          <w:lang w:eastAsia="zh-CN" w:bidi="ar"/>
        </w:rPr>
        <w:t>与</w:t>
      </w:r>
      <w:r>
        <w:rPr>
          <w:rFonts w:ascii="Times New Roman" w:hAnsi="Times New Roman" w:cs="Times New Roman"/>
          <w:snapToGrid/>
          <w:color w:val="auto"/>
          <w:lang w:eastAsia="zh-CN" w:bidi="ar"/>
        </w:rPr>
        <w:t>Zeonex</w:t>
      </w:r>
      <w:r>
        <w:rPr>
          <w:rFonts w:ascii="Times New Roman" w:hAnsi="Times New Roman" w:cs="Times New Roman" w:hint="eastAsia"/>
          <w:snapToGrid/>
          <w:color w:val="auto"/>
          <w:vertAlign w:val="superscript"/>
          <w:lang w:eastAsia="zh-CN" w:bidi="ar"/>
        </w:rPr>
        <w:t>[</w:t>
      </w:r>
      <w:r>
        <w:rPr>
          <w:rFonts w:ascii="Times New Roman" w:hAnsi="Times New Roman" w:cs="Times New Roman"/>
          <w:snapToGrid/>
          <w:color w:val="auto"/>
          <w:vertAlign w:val="superscript"/>
          <w:lang w:eastAsia="zh-CN" w:bidi="ar"/>
        </w:rPr>
        <w:t>15]</w:t>
      </w:r>
      <w:r>
        <w:rPr>
          <w:rFonts w:ascii="Times New Roman" w:hAnsi="Times New Roman" w:cs="Times New Roman" w:hint="eastAsia"/>
          <w:snapToGrid/>
          <w:color w:val="auto"/>
          <w:lang w:eastAsia="zh-CN" w:bidi="ar"/>
        </w:rPr>
        <w:t>等，它们被广泛用于构建太赫兹成像与传感系统中的信号传输通道</w:t>
      </w:r>
      <w:r>
        <w:rPr>
          <w:rFonts w:ascii="Times New Roman" w:hAnsi="Times New Roman" w:cs="Times New Roman" w:hint="eastAsia"/>
          <w:snapToGrid/>
          <w:color w:val="auto"/>
          <w:vertAlign w:val="superscript"/>
          <w:lang w:eastAsia="zh-CN" w:bidi="ar"/>
        </w:rPr>
        <w:t>[</w:t>
      </w:r>
      <w:r>
        <w:rPr>
          <w:rFonts w:ascii="Times New Roman" w:hAnsi="Times New Roman" w:cs="Times New Roman"/>
          <w:snapToGrid/>
          <w:color w:val="auto"/>
          <w:vertAlign w:val="superscript"/>
          <w:lang w:eastAsia="zh-CN" w:bidi="ar"/>
        </w:rPr>
        <w:t>16]</w:t>
      </w:r>
      <w:r>
        <w:rPr>
          <w:rFonts w:ascii="Times New Roman" w:hAnsi="Times New Roman" w:cs="Times New Roman" w:hint="eastAsia"/>
          <w:snapToGrid/>
          <w:color w:val="auto"/>
          <w:lang w:eastAsia="zh-CN" w:bidi="ar"/>
        </w:rPr>
        <w:t>。</w:t>
      </w:r>
    </w:p>
    <w:p w14:paraId="658608ED" w14:textId="77777777" w:rsidR="003162D1" w:rsidRDefault="00FF0CC3">
      <w:pPr>
        <w:pStyle w:val="a5"/>
        <w:ind w:firstLineChars="200" w:firstLine="420"/>
        <w:jc w:val="both"/>
        <w:rPr>
          <w:rFonts w:ascii="Times New Roman" w:hAnsi="Times New Roman" w:cs="Times New Roman"/>
          <w:snapToGrid/>
          <w:color w:val="auto"/>
          <w:lang w:eastAsia="zh-CN" w:bidi="ar"/>
        </w:rPr>
      </w:pPr>
      <w:r>
        <w:rPr>
          <w:rFonts w:ascii="Times New Roman" w:hAnsi="Times New Roman" w:cs="Times New Roman" w:hint="eastAsia"/>
          <w:snapToGrid/>
          <w:color w:val="auto"/>
          <w:lang w:eastAsia="zh-CN" w:bidi="ar"/>
        </w:rPr>
        <w:t>然而，现有空芯反谐振光纤在结构设计、双折射性能与机械强度等方面仍存在明显不足。在制备工艺上，传统堆积拉丝法</w:t>
      </w:r>
      <w:r>
        <w:rPr>
          <w:rFonts w:ascii="Times New Roman" w:hAnsi="Times New Roman" w:cs="Times New Roman" w:hint="eastAsia"/>
          <w:snapToGrid/>
          <w:color w:val="auto"/>
          <w:vertAlign w:val="superscript"/>
          <w:lang w:eastAsia="zh-CN" w:bidi="ar"/>
        </w:rPr>
        <w:t>[</w:t>
      </w:r>
      <w:r>
        <w:rPr>
          <w:rFonts w:ascii="Times New Roman" w:hAnsi="Times New Roman" w:cs="Times New Roman"/>
          <w:snapToGrid/>
          <w:color w:val="auto"/>
          <w:vertAlign w:val="superscript"/>
          <w:lang w:eastAsia="zh-CN" w:bidi="ar"/>
        </w:rPr>
        <w:t>17]</w:t>
      </w:r>
      <w:r>
        <w:rPr>
          <w:rFonts w:ascii="Times New Roman" w:hAnsi="Times New Roman" w:cs="Times New Roman" w:hint="eastAsia"/>
          <w:snapToGrid/>
          <w:color w:val="auto"/>
          <w:lang w:eastAsia="zh-CN" w:bidi="ar"/>
        </w:rPr>
        <w:t>通常局限于圆形、半圆形或直板等简单构型，难以实现复杂截面设计；而</w:t>
      </w:r>
      <w:r>
        <w:rPr>
          <w:rFonts w:ascii="Times New Roman" w:hAnsi="Times New Roman" w:cs="Times New Roman"/>
          <w:snapToGrid/>
          <w:color w:val="auto"/>
          <w:lang w:eastAsia="zh-CN" w:bidi="ar"/>
        </w:rPr>
        <w:t>3D</w:t>
      </w:r>
      <w:r>
        <w:rPr>
          <w:rFonts w:ascii="Times New Roman" w:hAnsi="Times New Roman" w:cs="Times New Roman" w:hint="eastAsia"/>
          <w:snapToGrid/>
          <w:color w:val="auto"/>
          <w:lang w:eastAsia="zh-CN" w:bidi="ar"/>
        </w:rPr>
        <w:t>打印技术</w:t>
      </w:r>
      <w:r>
        <w:rPr>
          <w:rFonts w:ascii="Times New Roman" w:hAnsi="Times New Roman" w:cs="Times New Roman" w:hint="eastAsia"/>
          <w:snapToGrid/>
          <w:color w:val="auto"/>
          <w:vertAlign w:val="superscript"/>
          <w:lang w:eastAsia="zh-CN" w:bidi="ar"/>
        </w:rPr>
        <w:t>[</w:t>
      </w:r>
      <w:r>
        <w:rPr>
          <w:rFonts w:ascii="Times New Roman" w:hAnsi="Times New Roman" w:cs="Times New Roman"/>
          <w:snapToGrid/>
          <w:color w:val="auto"/>
          <w:vertAlign w:val="superscript"/>
          <w:lang w:eastAsia="zh-CN" w:bidi="ar"/>
        </w:rPr>
        <w:t>18]</w:t>
      </w:r>
      <w:r>
        <w:rPr>
          <w:rFonts w:ascii="Times New Roman" w:hAnsi="Times New Roman" w:cs="Times New Roman" w:hint="eastAsia"/>
          <w:snapToGrid/>
          <w:color w:val="auto"/>
          <w:lang w:eastAsia="zh-CN" w:bidi="ar"/>
        </w:rPr>
        <w:t>虽具备结构自由度高的优点，但在微米尺度下加工精度不足，材料选择受限，且表面粗糙度较高。在光学性能方面，仅依赖反谐振机制的空芯光纤难以实现高于</w:t>
      </w:r>
      <w:r>
        <w:rPr>
          <w:rFonts w:ascii="Times New Roman" w:hAnsi="Times New Roman" w:cs="Times New Roman"/>
          <w:snapToGrid/>
          <w:color w:val="auto"/>
          <w:lang w:eastAsia="zh-CN" w:bidi="ar"/>
        </w:rPr>
        <w:t>10⁻⁴</w:t>
      </w:r>
      <w:r>
        <w:rPr>
          <w:rFonts w:ascii="Times New Roman" w:hAnsi="Times New Roman" w:cs="Times New Roman" w:hint="eastAsia"/>
          <w:snapToGrid/>
          <w:color w:val="auto"/>
          <w:lang w:eastAsia="zh-CN" w:bidi="ar"/>
        </w:rPr>
        <w:t>量级的稳定双折射。此外，部分研究尝试在纤芯区域引入微结构以增强双折射（如提升至</w:t>
      </w:r>
      <w:r>
        <w:rPr>
          <w:rFonts w:ascii="Times New Roman" w:hAnsi="Times New Roman" w:cs="Times New Roman"/>
          <w:snapToGrid/>
          <w:color w:val="auto"/>
          <w:lang w:eastAsia="zh-CN" w:bidi="ar"/>
        </w:rPr>
        <w:t>10⁻²</w:t>
      </w:r>
      <w:r>
        <w:rPr>
          <w:rFonts w:ascii="Times New Roman" w:hAnsi="Times New Roman" w:cs="Times New Roman" w:hint="eastAsia"/>
          <w:snapToGrid/>
          <w:color w:val="auto"/>
          <w:lang w:eastAsia="zh-CN" w:bidi="ar"/>
        </w:rPr>
        <w:t>），但往往以牺牲机械强度和弯曲性能为代价，限制了其实际应用潜力。</w:t>
      </w:r>
    </w:p>
    <w:p w14:paraId="6A255E58" w14:textId="77777777" w:rsidR="003162D1" w:rsidRDefault="00FF0CC3">
      <w:pPr>
        <w:pStyle w:val="a5"/>
        <w:ind w:firstLineChars="200" w:firstLine="420"/>
        <w:jc w:val="both"/>
        <w:rPr>
          <w:rFonts w:ascii="Times New Roman" w:hAnsi="Times New Roman" w:cs="Times New Roman"/>
          <w:snapToGrid/>
          <w:color w:val="auto"/>
          <w:lang w:eastAsia="zh-CN" w:bidi="ar"/>
        </w:rPr>
      </w:pPr>
      <w:r>
        <w:rPr>
          <w:rFonts w:ascii="Times New Roman" w:hAnsi="Times New Roman" w:cs="Times New Roman" w:hint="eastAsia"/>
          <w:snapToGrid/>
          <w:color w:val="auto"/>
          <w:lang w:eastAsia="zh-CN" w:bidi="ar"/>
        </w:rPr>
        <w:t>针对上述问题，本文设计一种双圆环套管叠加双直板的空芯反谐振光纤结构。该设计在保证较高双折射的同时，兼顾加工可行性与机械鲁棒性，旨在为太赫兹波段的高性能光纤传输提供一种新的解决方案。</w:t>
      </w:r>
    </w:p>
    <w:p w14:paraId="36A1501A" w14:textId="77777777" w:rsidR="003162D1" w:rsidRDefault="003162D1">
      <w:pPr>
        <w:rPr>
          <w:rFonts w:asciiTheme="minorEastAsia" w:eastAsiaTheme="minorEastAsia" w:hAnsiTheme="minorEastAsia" w:cs="Times New Roman"/>
          <w:snapToGrid/>
          <w:color w:val="auto"/>
          <w:lang w:eastAsia="zh-CN" w:bidi="ar"/>
        </w:rPr>
      </w:pPr>
    </w:p>
    <w:p w14:paraId="658AD221" w14:textId="77777777" w:rsidR="003162D1" w:rsidRDefault="00FF0CC3">
      <w:pPr>
        <w:pStyle w:val="a5"/>
        <w:spacing w:before="98" w:line="213" w:lineRule="auto"/>
        <w:outlineLvl w:val="0"/>
        <w:rPr>
          <w:rFonts w:ascii="Times New Roman" w:hAnsi="Times New Roman" w:cs="Times New Roman"/>
          <w:b/>
          <w:bCs/>
          <w:snapToGrid/>
          <w:color w:val="auto"/>
          <w:sz w:val="24"/>
          <w:szCs w:val="24"/>
          <w:lang w:eastAsia="zh-CN" w:bidi="ar"/>
        </w:rPr>
      </w:pPr>
      <w:r>
        <w:rPr>
          <w:rFonts w:ascii="Times New Roman" w:hAnsi="Times New Roman" w:cs="Times New Roman" w:hint="eastAsia"/>
          <w:b/>
          <w:bCs/>
          <w:snapToGrid/>
          <w:color w:val="auto"/>
          <w:sz w:val="24"/>
          <w:szCs w:val="24"/>
          <w:lang w:eastAsia="zh-CN" w:bidi="ar"/>
        </w:rPr>
        <w:t>1</w:t>
      </w:r>
      <w:r>
        <w:rPr>
          <w:rFonts w:ascii="Times New Roman" w:hAnsi="Times New Roman" w:cs="Times New Roman"/>
          <w:b/>
          <w:bCs/>
          <w:snapToGrid/>
          <w:color w:val="auto"/>
          <w:sz w:val="24"/>
          <w:szCs w:val="24"/>
          <w:lang w:eastAsia="zh-CN" w:bidi="ar"/>
        </w:rPr>
        <w:t xml:space="preserve">  </w:t>
      </w:r>
      <w:r>
        <w:rPr>
          <w:rFonts w:ascii="Times New Roman" w:hAnsi="Times New Roman" w:cs="Times New Roman" w:hint="eastAsia"/>
          <w:b/>
          <w:bCs/>
          <w:snapToGrid/>
          <w:color w:val="auto"/>
          <w:sz w:val="24"/>
          <w:szCs w:val="24"/>
          <w:lang w:eastAsia="zh-CN" w:bidi="ar"/>
        </w:rPr>
        <w:t>光纤结构设计</w:t>
      </w:r>
    </w:p>
    <w:p w14:paraId="61E2DFE9" w14:textId="77777777" w:rsidR="003162D1" w:rsidRDefault="00FF0CC3">
      <w:pPr>
        <w:pStyle w:val="ac"/>
        <w:spacing w:beforeAutospacing="0" w:afterAutospacing="0"/>
        <w:ind w:firstLine="420"/>
        <w:jc w:val="both"/>
        <w:rPr>
          <w:rFonts w:ascii="宋体" w:eastAsia="宋体" w:hAnsi="宋体"/>
          <w:snapToGrid/>
          <w:color w:val="auto"/>
          <w:sz w:val="21"/>
          <w:lang w:bidi="ar"/>
        </w:rPr>
      </w:pPr>
      <w:r>
        <w:rPr>
          <w:rFonts w:ascii="Times New Roman" w:eastAsia="宋体" w:hAnsi="Times New Roman" w:hint="eastAsia"/>
          <w:snapToGrid/>
          <w:color w:val="auto"/>
          <w:sz w:val="21"/>
          <w:lang w:bidi="ar"/>
        </w:rPr>
        <w:t>在空芯光纤设计中，常见的结构元件包括圆环、半圆环和直板三种预制件</w:t>
      </w:r>
      <w:r>
        <w:rPr>
          <w:rFonts w:ascii="Times New Roman" w:hAnsi="Times New Roman" w:hint="eastAsia"/>
          <w:snapToGrid/>
          <w:color w:val="auto"/>
          <w:vertAlign w:val="superscript"/>
          <w:lang w:bidi="ar"/>
        </w:rPr>
        <w:t>[</w:t>
      </w:r>
      <w:r>
        <w:rPr>
          <w:rFonts w:ascii="Times New Roman" w:hAnsi="Times New Roman"/>
          <w:snapToGrid/>
          <w:color w:val="auto"/>
          <w:vertAlign w:val="superscript"/>
          <w:lang w:bidi="ar"/>
        </w:rPr>
        <w:t>19]</w:t>
      </w:r>
      <w:r>
        <w:rPr>
          <w:rFonts w:ascii="Times New Roman" w:eastAsia="宋体" w:hAnsi="Times New Roman" w:hint="eastAsia"/>
          <w:snapToGrid/>
          <w:color w:val="auto"/>
          <w:sz w:val="21"/>
          <w:lang w:bidi="ar"/>
        </w:rPr>
        <w:t>。其中，圆环结构需要精确控制半径和壁厚，依赖复杂的气压调控以避免结构粘连或失稳；而直板结构则因加工</w:t>
      </w:r>
      <w:r>
        <w:rPr>
          <w:rFonts w:ascii="Times New Roman" w:eastAsia="宋体" w:hAnsi="Times New Roman" w:hint="eastAsia"/>
          <w:snapToGrid/>
          <w:color w:val="auto"/>
          <w:sz w:val="21"/>
          <w:lang w:bidi="ar"/>
        </w:rPr>
        <w:lastRenderedPageBreak/>
        <w:t>稳定性高、几何控制精确，被广泛应用于空芯光纤和微结构光纤中，并已被证明具有优异的可行性与稳定性</w:t>
      </w:r>
      <w:r>
        <w:rPr>
          <w:rFonts w:ascii="Times New Roman" w:eastAsia="宋体" w:hAnsi="Times New Roman"/>
          <w:snapToGrid/>
          <w:color w:val="auto"/>
          <w:sz w:val="21"/>
          <w:vertAlign w:val="superscript"/>
          <w:lang w:bidi="ar"/>
        </w:rPr>
        <w:t>[</w:t>
      </w:r>
      <w:r>
        <w:rPr>
          <w:rFonts w:ascii="Times New Roman" w:eastAsia="宋体" w:hAnsi="Times New Roman" w:hint="eastAsia"/>
          <w:snapToGrid/>
          <w:color w:val="auto"/>
          <w:sz w:val="21"/>
          <w:vertAlign w:val="superscript"/>
          <w:lang w:bidi="ar"/>
        </w:rPr>
        <w:t>20</w:t>
      </w:r>
      <w:r>
        <w:rPr>
          <w:rFonts w:ascii="Times New Roman" w:eastAsia="宋体" w:hAnsi="Times New Roman"/>
          <w:snapToGrid/>
          <w:color w:val="auto"/>
          <w:sz w:val="21"/>
          <w:vertAlign w:val="superscript"/>
          <w:lang w:bidi="ar"/>
        </w:rPr>
        <w:t>]</w:t>
      </w:r>
      <w:r>
        <w:rPr>
          <w:rFonts w:ascii="Times New Roman" w:eastAsia="宋体" w:hAnsi="Times New Roman" w:hint="eastAsia"/>
          <w:snapToGrid/>
          <w:color w:val="auto"/>
          <w:sz w:val="21"/>
          <w:lang w:bidi="ar"/>
        </w:rPr>
        <w:t>。基于此，本文在传统反谐振光纤的基础上引入双直板结构，以实现加工简便、结构稳固且具有高双折射特性的光纤设计。本文设计的双圆套管双直板空芯反谐振光纤结构如图</w:t>
      </w:r>
      <w:r>
        <w:rPr>
          <w:rFonts w:ascii="Times New Roman" w:eastAsia="宋体" w:hAnsi="Times New Roman"/>
          <w:snapToGrid/>
          <w:color w:val="auto"/>
          <w:sz w:val="21"/>
          <w:lang w:bidi="ar"/>
        </w:rPr>
        <w:t>1</w:t>
      </w:r>
      <w:r>
        <w:rPr>
          <w:rFonts w:ascii="Times New Roman" w:eastAsia="宋体" w:hAnsi="Times New Roman" w:hint="eastAsia"/>
          <w:snapToGrid/>
          <w:color w:val="auto"/>
          <w:sz w:val="21"/>
          <w:lang w:bidi="ar"/>
        </w:rPr>
        <w:t>所示。</w:t>
      </w:r>
    </w:p>
    <w:p w14:paraId="40498A07" w14:textId="77777777" w:rsidR="003162D1" w:rsidRDefault="00FF0CC3">
      <w:pPr>
        <w:jc w:val="center"/>
      </w:pPr>
      <w:r>
        <w:object w:dxaOrig="2060" w:dyaOrig="2180" w14:anchorId="6AE6BE2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2.9pt;height:109.1pt" o:ole="">
            <v:imagedata r:id="rId7" o:title=""/>
          </v:shape>
          <o:OLEObject Type="Embed" ProgID="Visio.Drawing.15" ShapeID="_x0000_i1025" DrawAspect="Content" ObjectID="_1823065516" r:id="rId8"/>
        </w:object>
      </w:r>
      <w:r>
        <w:rPr>
          <w:noProof/>
          <w:snapToGrid/>
          <w:lang w:eastAsia="zh-CN"/>
        </w:rPr>
        <w:drawing>
          <wp:inline distT="0" distB="0" distL="0" distR="0">
            <wp:extent cx="1415415" cy="1313815"/>
            <wp:effectExtent l="0" t="0" r="6985" b="6985"/>
            <wp:docPr id="3" name="图片 3" descr="p2"/>
            <wp:cNvGraphicFramePr/>
            <a:graphic xmlns:a="http://schemas.openxmlformats.org/drawingml/2006/main">
              <a:graphicData uri="http://schemas.openxmlformats.org/drawingml/2006/picture">
                <pic:pic xmlns:pic="http://schemas.openxmlformats.org/drawingml/2006/picture">
                  <pic:nvPicPr>
                    <pic:cNvPr id="3" name="图片 3" descr="p2"/>
                    <pic:cNvPicPr/>
                  </pic:nvPicPr>
                  <pic:blipFill>
                    <a:blip r:embed="rId9"/>
                    <a:stretch>
                      <a:fillRect/>
                    </a:stretch>
                  </pic:blipFill>
                  <pic:spPr>
                    <a:xfrm>
                      <a:off x="0" y="0"/>
                      <a:ext cx="1415415" cy="1313815"/>
                    </a:xfrm>
                    <a:prstGeom prst="rect">
                      <a:avLst/>
                    </a:prstGeom>
                  </pic:spPr>
                </pic:pic>
              </a:graphicData>
            </a:graphic>
          </wp:inline>
        </w:drawing>
      </w:r>
    </w:p>
    <w:p w14:paraId="0C4E85E5" w14:textId="77777777" w:rsidR="003162D1" w:rsidRDefault="00FF0CC3">
      <w:pPr>
        <w:pStyle w:val="a5"/>
        <w:spacing w:before="69"/>
        <w:ind w:firstLineChars="2100" w:firstLine="3162"/>
        <w:textAlignment w:val="auto"/>
        <w:rPr>
          <w:rFonts w:ascii="Times New Roman" w:hAnsi="Times New Roman" w:cs="Times New Roman"/>
          <w:b/>
          <w:bCs/>
          <w:snapToGrid/>
          <w:color w:val="auto"/>
          <w:sz w:val="15"/>
          <w:szCs w:val="15"/>
          <w:lang w:eastAsia="zh-CN" w:bidi="ar"/>
        </w:rPr>
      </w:pPr>
      <w:r>
        <w:rPr>
          <w:rFonts w:ascii="Times New Roman" w:hAnsi="Times New Roman" w:cs="Times New Roman" w:hint="eastAsia"/>
          <w:b/>
          <w:bCs/>
          <w:snapToGrid/>
          <w:color w:val="auto"/>
          <w:sz w:val="15"/>
          <w:szCs w:val="15"/>
          <w:lang w:eastAsia="zh-CN" w:bidi="ar"/>
        </w:rPr>
        <w:t>（</w:t>
      </w:r>
      <w:r>
        <w:rPr>
          <w:rFonts w:ascii="Times New Roman" w:hAnsi="Times New Roman" w:cs="Times New Roman"/>
          <w:b/>
          <w:bCs/>
          <w:snapToGrid/>
          <w:color w:val="auto"/>
          <w:sz w:val="15"/>
          <w:szCs w:val="15"/>
          <w:lang w:eastAsia="zh-CN" w:bidi="ar"/>
        </w:rPr>
        <w:t>a</w:t>
      </w:r>
      <w:r>
        <w:rPr>
          <w:rFonts w:ascii="Times New Roman" w:hAnsi="Times New Roman" w:cs="Times New Roman"/>
          <w:b/>
          <w:bCs/>
          <w:snapToGrid/>
          <w:color w:val="auto"/>
          <w:sz w:val="15"/>
          <w:szCs w:val="15"/>
          <w:lang w:eastAsia="zh-CN" w:bidi="ar"/>
        </w:rPr>
        <w:t>）二维</w:t>
      </w:r>
      <w:r>
        <w:rPr>
          <w:rFonts w:ascii="Times New Roman" w:hAnsi="Times New Roman" w:cs="Times New Roman"/>
          <w:b/>
          <w:sz w:val="15"/>
          <w:szCs w:val="15"/>
          <w:lang w:eastAsia="zh-CN"/>
        </w:rPr>
        <w:t xml:space="preserve">                                 </w:t>
      </w:r>
      <w:r>
        <w:rPr>
          <w:rFonts w:ascii="Times New Roman" w:hAnsi="Times New Roman" w:cs="Times New Roman"/>
          <w:b/>
          <w:bCs/>
          <w:color w:val="auto"/>
          <w:sz w:val="15"/>
          <w:szCs w:val="15"/>
          <w:lang w:eastAsia="zh-CN" w:bidi="ar"/>
        </w:rPr>
        <w:t>（</w:t>
      </w:r>
      <w:r>
        <w:rPr>
          <w:rFonts w:ascii="Times New Roman" w:hAnsi="Times New Roman" w:cs="Times New Roman"/>
          <w:b/>
          <w:bCs/>
          <w:color w:val="auto"/>
          <w:sz w:val="15"/>
          <w:szCs w:val="15"/>
          <w:lang w:eastAsia="zh-CN" w:bidi="ar"/>
        </w:rPr>
        <w:t>b</w:t>
      </w:r>
      <w:r>
        <w:rPr>
          <w:rFonts w:ascii="Times New Roman" w:hAnsi="Times New Roman" w:cs="Times New Roman"/>
          <w:b/>
          <w:bCs/>
          <w:color w:val="auto"/>
          <w:sz w:val="15"/>
          <w:szCs w:val="15"/>
          <w:lang w:eastAsia="zh-CN" w:bidi="ar"/>
        </w:rPr>
        <w:t>）</w:t>
      </w:r>
      <w:r>
        <w:rPr>
          <w:rFonts w:ascii="Times New Roman" w:hAnsi="Times New Roman" w:cs="Times New Roman"/>
          <w:b/>
          <w:bCs/>
          <w:color w:val="auto"/>
          <w:sz w:val="15"/>
          <w:szCs w:val="15"/>
          <w:lang w:eastAsia="zh-CN" w:bidi="ar"/>
        </w:rPr>
        <w:t xml:space="preserve">  </w:t>
      </w:r>
      <w:r>
        <w:rPr>
          <w:rFonts w:ascii="Times New Roman" w:hAnsi="Times New Roman" w:cs="Times New Roman"/>
          <w:b/>
          <w:bCs/>
          <w:snapToGrid/>
          <w:color w:val="auto"/>
          <w:sz w:val="15"/>
          <w:szCs w:val="15"/>
          <w:lang w:eastAsia="zh-CN" w:bidi="ar"/>
        </w:rPr>
        <w:t>三维截面</w:t>
      </w:r>
    </w:p>
    <w:p w14:paraId="3B735BD0" w14:textId="77777777" w:rsidR="003162D1" w:rsidRDefault="00FF0CC3">
      <w:pPr>
        <w:pStyle w:val="a5"/>
        <w:spacing w:before="69"/>
        <w:ind w:left="1076" w:firstLineChars="1800" w:firstLine="2711"/>
        <w:textAlignment w:val="auto"/>
        <w:rPr>
          <w:rFonts w:ascii="Times New Roman" w:hAnsi="Times New Roman" w:cs="Times New Roman"/>
          <w:b/>
          <w:bCs/>
          <w:snapToGrid/>
          <w:color w:val="auto"/>
          <w:sz w:val="15"/>
          <w:szCs w:val="15"/>
          <w:lang w:eastAsia="zh-CN" w:bidi="ar"/>
        </w:rPr>
      </w:pPr>
      <w:r>
        <w:rPr>
          <w:rFonts w:ascii="Times New Roman" w:hAnsi="Times New Roman" w:cs="Times New Roman"/>
          <w:b/>
          <w:bCs/>
          <w:snapToGrid/>
          <w:color w:val="auto"/>
          <w:sz w:val="15"/>
          <w:szCs w:val="15"/>
          <w:lang w:eastAsia="zh-CN" w:bidi="ar"/>
        </w:rPr>
        <w:t>图</w:t>
      </w:r>
      <w:r>
        <w:rPr>
          <w:rFonts w:ascii="Times New Roman" w:hAnsi="Times New Roman" w:cs="Times New Roman"/>
          <w:b/>
          <w:bCs/>
          <w:snapToGrid/>
          <w:color w:val="auto"/>
          <w:sz w:val="15"/>
          <w:szCs w:val="15"/>
          <w:lang w:eastAsia="zh-CN" w:bidi="ar"/>
        </w:rPr>
        <w:t xml:space="preserve">1  </w:t>
      </w:r>
      <w:r>
        <w:rPr>
          <w:rFonts w:ascii="Times New Roman" w:hAnsi="Times New Roman" w:cs="Times New Roman"/>
          <w:b/>
          <w:bCs/>
          <w:snapToGrid/>
          <w:color w:val="auto"/>
          <w:sz w:val="15"/>
          <w:szCs w:val="15"/>
          <w:lang w:eastAsia="zh-CN" w:bidi="ar"/>
        </w:rPr>
        <w:t>所提光纤</w:t>
      </w:r>
      <w:r>
        <w:rPr>
          <w:rFonts w:ascii="Times New Roman" w:hAnsi="Times New Roman" w:cs="Times New Roman" w:hint="eastAsia"/>
          <w:b/>
          <w:bCs/>
          <w:snapToGrid/>
          <w:color w:val="auto"/>
          <w:sz w:val="15"/>
          <w:szCs w:val="15"/>
          <w:lang w:eastAsia="zh-CN" w:bidi="ar"/>
        </w:rPr>
        <w:t>结构</w:t>
      </w:r>
    </w:p>
    <w:p w14:paraId="1DF09D68" w14:textId="77777777" w:rsidR="003162D1" w:rsidRDefault="003162D1">
      <w:pPr>
        <w:pStyle w:val="ac"/>
        <w:spacing w:beforeAutospacing="0" w:afterAutospacing="0"/>
        <w:jc w:val="center"/>
        <w:rPr>
          <w:rFonts w:ascii="宋体" w:eastAsia="宋体" w:hAnsi="宋体"/>
          <w:snapToGrid/>
          <w:color w:val="auto"/>
          <w:sz w:val="21"/>
          <w:lang w:bidi="ar"/>
        </w:rPr>
      </w:pPr>
    </w:p>
    <w:p w14:paraId="7BAC6442" w14:textId="77777777" w:rsidR="003162D1" w:rsidRDefault="00FF0CC3">
      <w:pPr>
        <w:pStyle w:val="a5"/>
        <w:ind w:firstLineChars="200" w:firstLine="420"/>
        <w:jc w:val="both"/>
        <w:rPr>
          <w:rFonts w:ascii="Times New Roman" w:hAnsi="Times New Roman"/>
          <w:snapToGrid/>
          <w:color w:val="auto"/>
          <w:lang w:eastAsia="zh-CN" w:bidi="ar"/>
        </w:rPr>
      </w:pPr>
      <w:r>
        <w:rPr>
          <w:rFonts w:ascii="Times New Roman" w:hAnsi="Times New Roman" w:hint="eastAsia"/>
          <w:snapToGrid/>
          <w:color w:val="auto"/>
          <w:lang w:eastAsia="zh-CN" w:bidi="ar"/>
        </w:rPr>
        <w:t>该光纤由</w:t>
      </w:r>
      <w:r>
        <w:rPr>
          <w:rFonts w:ascii="Times New Roman" w:hAnsi="Times New Roman"/>
          <w:snapToGrid/>
          <w:color w:val="auto"/>
          <w:lang w:eastAsia="zh-CN" w:bidi="ar"/>
        </w:rPr>
        <w:t>Topas</w:t>
      </w:r>
      <w:r>
        <w:rPr>
          <w:rFonts w:ascii="Times New Roman" w:hAnsi="Times New Roman" w:hint="eastAsia"/>
          <w:snapToGrid/>
          <w:color w:val="auto"/>
          <w:lang w:eastAsia="zh-CN" w:bidi="ar"/>
        </w:rPr>
        <w:t>材料与空气孔组成，其结构参数包括核心直径</w:t>
      </w:r>
      <w:r>
        <w:rPr>
          <w:rFonts w:ascii="Times New Roman" w:hAnsi="Times New Roman"/>
          <w:snapToGrid/>
          <w:color w:val="auto"/>
          <w:lang w:eastAsia="zh-CN" w:bidi="ar"/>
        </w:rPr>
        <w:t>d</w:t>
      </w:r>
      <w:r>
        <w:rPr>
          <w:rFonts w:ascii="Times New Roman" w:hAnsi="Times New Roman"/>
          <w:snapToGrid/>
          <w:color w:val="auto"/>
          <w:lang w:eastAsia="zh-CN" w:bidi="ar"/>
        </w:rPr>
        <w:t>、内外圆环直径</w:t>
      </w:r>
      <w:r>
        <w:rPr>
          <w:rFonts w:ascii="Times New Roman" w:hAnsi="Times New Roman"/>
          <w:snapToGrid/>
          <w:color w:val="auto"/>
          <w:lang w:eastAsia="zh-CN" w:bidi="ar"/>
        </w:rPr>
        <w:t>d</w:t>
      </w:r>
      <w:r>
        <w:rPr>
          <w:rFonts w:ascii="Times New Roman" w:hAnsi="Times New Roman"/>
          <w:snapToGrid/>
          <w:color w:val="auto"/>
          <w:vertAlign w:val="subscript"/>
          <w:lang w:eastAsia="zh-CN" w:bidi="ar"/>
        </w:rPr>
        <w:t>1</w:t>
      </w:r>
      <w:r>
        <w:rPr>
          <w:rFonts w:ascii="Times New Roman" w:hAnsi="Times New Roman"/>
          <w:snapToGrid/>
          <w:color w:val="auto"/>
          <w:lang w:eastAsia="zh-CN" w:bidi="ar"/>
        </w:rPr>
        <w:t>与</w:t>
      </w:r>
      <w:r>
        <w:rPr>
          <w:rFonts w:ascii="Times New Roman" w:hAnsi="Times New Roman"/>
          <w:snapToGrid/>
          <w:color w:val="auto"/>
          <w:lang w:eastAsia="zh-CN" w:bidi="ar"/>
        </w:rPr>
        <w:t>d</w:t>
      </w:r>
      <w:r>
        <w:rPr>
          <w:rFonts w:ascii="Times New Roman" w:hAnsi="Times New Roman"/>
          <w:snapToGrid/>
          <w:color w:val="auto"/>
          <w:vertAlign w:val="subscript"/>
          <w:lang w:eastAsia="zh-CN" w:bidi="ar"/>
        </w:rPr>
        <w:t>2</w:t>
      </w:r>
      <w:r>
        <w:rPr>
          <w:rFonts w:ascii="Times New Roman" w:hAnsi="Times New Roman"/>
          <w:snapToGrid/>
          <w:color w:val="auto"/>
          <w:lang w:eastAsia="zh-CN" w:bidi="ar"/>
        </w:rPr>
        <w:t>、直板厚度</w:t>
      </w:r>
      <w:r>
        <w:rPr>
          <w:rFonts w:ascii="Times New Roman" w:hAnsi="Times New Roman"/>
          <w:snapToGrid/>
          <w:color w:val="auto"/>
          <w:lang w:eastAsia="zh-CN" w:bidi="ar"/>
        </w:rPr>
        <w:t>t</w:t>
      </w:r>
      <w:r>
        <w:rPr>
          <w:rFonts w:ascii="Times New Roman" w:hAnsi="Times New Roman"/>
          <w:snapToGrid/>
          <w:color w:val="auto"/>
          <w:vertAlign w:val="subscript"/>
          <w:lang w:eastAsia="zh-CN" w:bidi="ar"/>
        </w:rPr>
        <w:t>1</w:t>
      </w:r>
      <w:r>
        <w:rPr>
          <w:rFonts w:ascii="Times New Roman" w:hAnsi="Times New Roman"/>
          <w:snapToGrid/>
          <w:color w:val="auto"/>
          <w:lang w:eastAsia="zh-CN" w:bidi="ar"/>
        </w:rPr>
        <w:t>、圆环壁厚</w:t>
      </w:r>
      <w:r>
        <w:rPr>
          <w:rFonts w:ascii="Times New Roman" w:hAnsi="Times New Roman"/>
          <w:snapToGrid/>
          <w:color w:val="auto"/>
          <w:lang w:eastAsia="zh-CN" w:bidi="ar"/>
        </w:rPr>
        <w:t>t</w:t>
      </w:r>
      <w:r>
        <w:rPr>
          <w:rFonts w:ascii="Times New Roman" w:hAnsi="Times New Roman"/>
          <w:snapToGrid/>
          <w:color w:val="auto"/>
          <w:vertAlign w:val="subscript"/>
          <w:lang w:eastAsia="zh-CN" w:bidi="ar"/>
        </w:rPr>
        <w:t>2</w:t>
      </w:r>
      <w:r>
        <w:rPr>
          <w:rFonts w:ascii="Times New Roman" w:hAnsi="Times New Roman"/>
          <w:snapToGrid/>
          <w:color w:val="auto"/>
          <w:lang w:eastAsia="zh-CN" w:bidi="ar"/>
        </w:rPr>
        <w:t>以及直板与核心的间距</w:t>
      </w:r>
      <w:r>
        <w:rPr>
          <w:rFonts w:ascii="Times New Roman" w:hAnsi="Times New Roman"/>
          <w:i/>
          <w:snapToGrid/>
          <w:color w:val="auto"/>
          <w:lang w:eastAsia="zh-CN" w:bidi="ar"/>
        </w:rPr>
        <w:t>D</w:t>
      </w:r>
      <w:r>
        <w:rPr>
          <w:rFonts w:ascii="Times New Roman" w:hAnsi="Times New Roman"/>
          <w:snapToGrid/>
          <w:color w:val="auto"/>
          <w:lang w:eastAsia="zh-CN" w:bidi="ar"/>
        </w:rPr>
        <w:t>等。</w:t>
      </w:r>
      <w:r>
        <w:rPr>
          <w:rFonts w:ascii="Times New Roman" w:hAnsi="Times New Roman" w:hint="eastAsia"/>
          <w:snapToGrid/>
          <w:color w:val="auto"/>
          <w:lang w:eastAsia="zh-CN" w:bidi="ar"/>
        </w:rPr>
        <w:t>这些几何参数共同决定了光纤的模式分布、反谐振条件及损耗性能。</w:t>
      </w:r>
      <w:r>
        <w:rPr>
          <w:rFonts w:ascii="Times New Roman" w:hAnsi="Times New Roman"/>
          <w:snapToGrid/>
          <w:color w:val="auto"/>
          <w:lang w:eastAsia="zh-CN" w:bidi="ar"/>
        </w:rPr>
        <w:t>双直板的引入在</w:t>
      </w:r>
      <w:r>
        <w:rPr>
          <w:rFonts w:ascii="Times New Roman" w:hAnsi="Times New Roman"/>
          <w:i/>
          <w:snapToGrid/>
          <w:color w:val="auto"/>
          <w:lang w:eastAsia="zh-CN" w:bidi="ar"/>
        </w:rPr>
        <w:t>x</w:t>
      </w:r>
      <w:r>
        <w:rPr>
          <w:rFonts w:ascii="Times New Roman" w:hAnsi="Times New Roman"/>
          <w:snapToGrid/>
          <w:color w:val="auto"/>
          <w:lang w:eastAsia="zh-CN" w:bidi="ar"/>
        </w:rPr>
        <w:t>、</w:t>
      </w:r>
      <w:r>
        <w:rPr>
          <w:rFonts w:ascii="Times New Roman" w:hAnsi="Times New Roman"/>
          <w:i/>
          <w:snapToGrid/>
          <w:color w:val="auto"/>
          <w:lang w:eastAsia="zh-CN" w:bidi="ar"/>
        </w:rPr>
        <w:t>y</w:t>
      </w:r>
      <w:r>
        <w:rPr>
          <w:rFonts w:ascii="Times New Roman" w:hAnsi="Times New Roman"/>
          <w:snapToGrid/>
          <w:color w:val="auto"/>
          <w:lang w:eastAsia="zh-CN" w:bidi="ar"/>
        </w:rPr>
        <w:t>方向上形成了几何非对称性，从而有效增强了光纤的双折射性能，有利于偏振态的稳定传输。减小核心尺寸</w:t>
      </w:r>
      <w:r>
        <w:rPr>
          <w:rFonts w:ascii="Times New Roman" w:hAnsi="Times New Roman"/>
          <w:snapToGrid/>
          <w:color w:val="auto"/>
          <w:lang w:eastAsia="zh-CN" w:bidi="ar"/>
        </w:rPr>
        <w:t>D</w:t>
      </w:r>
      <w:r>
        <w:rPr>
          <w:rFonts w:ascii="Times New Roman" w:hAnsi="Times New Roman"/>
          <w:snapToGrid/>
          <w:color w:val="auto"/>
          <w:lang w:eastAsia="zh-CN" w:bidi="ar"/>
        </w:rPr>
        <w:t>可以进一步提升双折射特性，但也会导致光场与包层的耦合增强，增加散射损耗；而壁厚</w:t>
      </w:r>
      <w:r>
        <w:rPr>
          <w:rFonts w:ascii="Times New Roman" w:hAnsi="Times New Roman"/>
          <w:snapToGrid/>
          <w:color w:val="auto"/>
          <w:lang w:eastAsia="zh-CN" w:bidi="ar"/>
        </w:rPr>
        <w:t>t</w:t>
      </w:r>
      <w:r>
        <w:rPr>
          <w:rFonts w:ascii="Times New Roman" w:hAnsi="Times New Roman"/>
          <w:snapToGrid/>
          <w:color w:val="auto"/>
          <w:vertAlign w:val="subscript"/>
          <w:lang w:eastAsia="zh-CN" w:bidi="ar"/>
        </w:rPr>
        <w:t>1</w:t>
      </w:r>
      <w:r>
        <w:rPr>
          <w:rFonts w:ascii="Times New Roman" w:hAnsi="Times New Roman"/>
          <w:snapToGrid/>
          <w:color w:val="auto"/>
          <w:lang w:eastAsia="zh-CN" w:bidi="ar"/>
        </w:rPr>
        <w:t>、</w:t>
      </w:r>
      <w:r>
        <w:rPr>
          <w:rFonts w:ascii="Times New Roman" w:hAnsi="Times New Roman"/>
          <w:snapToGrid/>
          <w:color w:val="auto"/>
          <w:lang w:eastAsia="zh-CN" w:bidi="ar"/>
        </w:rPr>
        <w:t>t</w:t>
      </w:r>
      <w:r>
        <w:rPr>
          <w:rFonts w:ascii="Times New Roman" w:hAnsi="Times New Roman"/>
          <w:snapToGrid/>
          <w:color w:val="auto"/>
          <w:vertAlign w:val="subscript"/>
          <w:lang w:eastAsia="zh-CN" w:bidi="ar"/>
        </w:rPr>
        <w:t>2</w:t>
      </w:r>
      <w:r>
        <w:rPr>
          <w:rFonts w:ascii="Times New Roman" w:hAnsi="Times New Roman"/>
          <w:snapToGrid/>
          <w:color w:val="auto"/>
          <w:lang w:eastAsia="zh-CN" w:bidi="ar"/>
        </w:rPr>
        <w:t>的调控则直接影响反谐振效应及材料损耗。</w:t>
      </w:r>
      <w:r>
        <w:rPr>
          <w:rFonts w:ascii="Times New Roman" w:hAnsi="Times New Roman" w:hint="eastAsia"/>
          <w:snapToGrid/>
          <w:color w:val="auto"/>
          <w:lang w:eastAsia="zh-CN" w:bidi="ar"/>
        </w:rPr>
        <w:t>为兼顾性能与加工可行性，本文依据文献</w:t>
      </w:r>
      <w:r>
        <w:rPr>
          <w:rFonts w:ascii="Times New Roman" w:hAnsi="Times New Roman"/>
          <w:snapToGrid/>
          <w:color w:val="auto"/>
          <w:lang w:eastAsia="zh-CN" w:bidi="ar"/>
        </w:rPr>
        <w:t>[7]</w:t>
      </w:r>
      <w:r>
        <w:rPr>
          <w:rFonts w:ascii="Times New Roman" w:hAnsi="Times New Roman" w:hint="eastAsia"/>
          <w:snapToGrid/>
          <w:color w:val="auto"/>
          <w:lang w:eastAsia="zh-CN" w:bidi="ar"/>
        </w:rPr>
        <w:t>提出的最佳外层与内层半径比值为</w:t>
      </w:r>
      <w:r>
        <w:rPr>
          <w:rFonts w:ascii="Times New Roman" w:hAnsi="Times New Roman"/>
          <w:snapToGrid/>
          <w:color w:val="auto"/>
          <w:lang w:eastAsia="zh-CN" w:bidi="ar"/>
        </w:rPr>
        <w:t>0.5</w:t>
      </w:r>
      <w:r>
        <w:rPr>
          <w:rFonts w:ascii="Times New Roman" w:hAnsi="Times New Roman" w:hint="eastAsia"/>
          <w:snapToGrid/>
          <w:color w:val="auto"/>
          <w:lang w:eastAsia="zh-CN" w:bidi="ar"/>
        </w:rPr>
        <w:t>的设计准则，采用统一的圆环壁厚，从而简化制造过程并降低成本。由于太赫兹波段的光纤通常需要较大的结构尺寸，传统拉丝法难以实现，因此本文采用</w:t>
      </w:r>
      <w:r>
        <w:rPr>
          <w:rFonts w:ascii="Times New Roman" w:hAnsi="Times New Roman"/>
          <w:snapToGrid/>
          <w:color w:val="auto"/>
          <w:lang w:eastAsia="zh-CN" w:bidi="ar"/>
        </w:rPr>
        <w:t>3D</w:t>
      </w:r>
      <w:r>
        <w:rPr>
          <w:rFonts w:ascii="Times New Roman" w:hAnsi="Times New Roman" w:hint="eastAsia"/>
          <w:snapToGrid/>
          <w:color w:val="auto"/>
          <w:lang w:eastAsia="zh-CN" w:bidi="ar"/>
        </w:rPr>
        <w:t>打印技术进行制造</w:t>
      </w:r>
      <w:r>
        <w:rPr>
          <w:rFonts w:ascii="Times New Roman" w:hAnsi="Times New Roman"/>
          <w:snapToGrid/>
          <w:color w:val="auto"/>
          <w:vertAlign w:val="superscript"/>
          <w:lang w:eastAsia="zh-CN" w:bidi="ar"/>
        </w:rPr>
        <w:t>[</w:t>
      </w:r>
      <w:r>
        <w:rPr>
          <w:rFonts w:ascii="Times New Roman" w:hAnsi="Times New Roman" w:hint="eastAsia"/>
          <w:snapToGrid/>
          <w:color w:val="auto"/>
          <w:vertAlign w:val="superscript"/>
          <w:lang w:eastAsia="zh-CN" w:bidi="ar"/>
        </w:rPr>
        <w:t>21</w:t>
      </w:r>
      <w:r>
        <w:rPr>
          <w:rFonts w:ascii="Times New Roman" w:hAnsi="Times New Roman"/>
          <w:snapToGrid/>
          <w:color w:val="auto"/>
          <w:vertAlign w:val="superscript"/>
          <w:lang w:eastAsia="zh-CN" w:bidi="ar"/>
        </w:rPr>
        <w:t>]</w:t>
      </w:r>
      <w:r>
        <w:rPr>
          <w:rFonts w:ascii="Times New Roman" w:hAnsi="Times New Roman" w:hint="eastAsia"/>
          <w:snapToGrid/>
          <w:color w:val="auto"/>
          <w:lang w:eastAsia="zh-CN" w:bidi="ar"/>
        </w:rPr>
        <w:t>。该技术已被广泛应用于太赫兹空芯反谐振光纤的制备</w:t>
      </w:r>
      <w:r>
        <w:rPr>
          <w:rFonts w:ascii="Times New Roman" w:hAnsi="Times New Roman"/>
          <w:snapToGrid/>
          <w:color w:val="auto"/>
          <w:vertAlign w:val="superscript"/>
          <w:lang w:eastAsia="zh-CN" w:bidi="ar"/>
        </w:rPr>
        <w:t>[22-23]</w:t>
      </w:r>
      <w:r>
        <w:rPr>
          <w:rFonts w:ascii="Times New Roman" w:hAnsi="Times New Roman" w:hint="eastAsia"/>
          <w:snapToGrid/>
          <w:color w:val="auto"/>
          <w:lang w:eastAsia="zh-CN" w:bidi="ar"/>
        </w:rPr>
        <w:t>，本文所设计的双直板结构也非常适合通过这种叠加制造技术实现</w:t>
      </w:r>
      <w:r>
        <w:rPr>
          <w:rFonts w:ascii="Times New Roman" w:hAnsi="Times New Roman"/>
          <w:snapToGrid/>
          <w:color w:val="auto"/>
          <w:vertAlign w:val="superscript"/>
          <w:lang w:eastAsia="zh-CN" w:bidi="ar"/>
        </w:rPr>
        <w:t>[24-25]</w:t>
      </w:r>
      <w:r>
        <w:rPr>
          <w:rFonts w:ascii="Times New Roman" w:hAnsi="Times New Roman" w:hint="eastAsia"/>
          <w:snapToGrid/>
          <w:color w:val="auto"/>
          <w:lang w:eastAsia="zh-CN" w:bidi="ar"/>
        </w:rPr>
        <w:t>。此外，利用</w:t>
      </w:r>
      <w:r>
        <w:rPr>
          <w:rFonts w:ascii="Times New Roman" w:hAnsi="Times New Roman"/>
          <w:snapToGrid/>
          <w:color w:val="auto"/>
          <w:lang w:eastAsia="zh-CN" w:bidi="ar"/>
        </w:rPr>
        <w:t>Topas</w:t>
      </w:r>
      <w:r>
        <w:rPr>
          <w:rFonts w:ascii="Times New Roman" w:hAnsi="Times New Roman" w:hint="eastAsia"/>
          <w:snapToGrid/>
          <w:color w:val="auto"/>
          <w:lang w:eastAsia="zh-CN" w:bidi="ar"/>
        </w:rPr>
        <w:t>材料进行</w:t>
      </w:r>
      <w:r>
        <w:rPr>
          <w:rFonts w:ascii="Times New Roman" w:hAnsi="Times New Roman"/>
          <w:snapToGrid/>
          <w:color w:val="auto"/>
          <w:lang w:eastAsia="zh-CN" w:bidi="ar"/>
        </w:rPr>
        <w:t>3D</w:t>
      </w:r>
      <w:r>
        <w:rPr>
          <w:rFonts w:ascii="Times New Roman" w:hAnsi="Times New Roman" w:hint="eastAsia"/>
          <w:snapToGrid/>
          <w:color w:val="auto"/>
          <w:lang w:eastAsia="zh-CN" w:bidi="ar"/>
        </w:rPr>
        <w:t>打印的实验已证实，该方法具备良好的可制造性与结构一致性</w:t>
      </w:r>
      <w:r>
        <w:rPr>
          <w:rFonts w:ascii="Times New Roman" w:hAnsi="Times New Roman"/>
          <w:snapToGrid/>
          <w:color w:val="auto"/>
          <w:vertAlign w:val="superscript"/>
          <w:lang w:eastAsia="zh-CN" w:bidi="ar"/>
        </w:rPr>
        <w:t>[26]</w:t>
      </w:r>
      <w:r>
        <w:rPr>
          <w:rFonts w:ascii="Times New Roman" w:hAnsi="Times New Roman" w:hint="eastAsia"/>
          <w:snapToGrid/>
          <w:color w:val="auto"/>
          <w:lang w:eastAsia="zh-CN" w:bidi="ar"/>
        </w:rPr>
        <w:t>。</w:t>
      </w:r>
    </w:p>
    <w:p w14:paraId="1F8F2D17" w14:textId="77777777" w:rsidR="003162D1" w:rsidRDefault="003162D1">
      <w:pPr>
        <w:pStyle w:val="ac"/>
        <w:spacing w:beforeAutospacing="0" w:afterAutospacing="0"/>
        <w:jc w:val="both"/>
        <w:rPr>
          <w:rFonts w:ascii="Times New Roman" w:eastAsia="宋体" w:hAnsi="Times New Roman"/>
          <w:snapToGrid/>
          <w:color w:val="auto"/>
          <w:sz w:val="21"/>
          <w:lang w:bidi="ar"/>
        </w:rPr>
      </w:pPr>
    </w:p>
    <w:p w14:paraId="52C1A199" w14:textId="77777777" w:rsidR="003162D1" w:rsidRDefault="00FF0CC3">
      <w:pPr>
        <w:pStyle w:val="a5"/>
        <w:spacing w:before="97" w:line="212" w:lineRule="auto"/>
        <w:outlineLvl w:val="0"/>
        <w:rPr>
          <w:rFonts w:ascii="Times New Roman" w:hAnsi="Times New Roman" w:cs="Times New Roman"/>
          <w:b/>
          <w:bCs/>
          <w:snapToGrid/>
          <w:color w:val="auto"/>
          <w:sz w:val="24"/>
          <w:szCs w:val="24"/>
          <w:lang w:eastAsia="zh-CN" w:bidi="ar"/>
        </w:rPr>
      </w:pPr>
      <w:r>
        <w:rPr>
          <w:rFonts w:ascii="Times New Roman" w:eastAsia="黑体" w:hAnsi="Times New Roman" w:cs="Times New Roman" w:hint="eastAsia"/>
          <w:b/>
          <w:bCs/>
          <w:snapToGrid/>
          <w:color w:val="auto"/>
          <w:sz w:val="24"/>
          <w:szCs w:val="24"/>
          <w:lang w:eastAsia="zh-CN" w:bidi="ar"/>
        </w:rPr>
        <w:t>2</w:t>
      </w:r>
      <w:r>
        <w:rPr>
          <w:rFonts w:ascii="Times New Roman" w:eastAsia="黑体" w:hAnsi="Times New Roman" w:cs="Times New Roman"/>
          <w:b/>
          <w:bCs/>
          <w:snapToGrid/>
          <w:color w:val="auto"/>
          <w:sz w:val="24"/>
          <w:szCs w:val="24"/>
          <w:lang w:eastAsia="zh-CN" w:bidi="ar"/>
        </w:rPr>
        <w:t xml:space="preserve"> </w:t>
      </w:r>
      <w:r>
        <w:rPr>
          <w:rFonts w:ascii="Times New Roman" w:hAnsi="Times New Roman" w:cs="Times New Roman" w:hint="eastAsia"/>
          <w:b/>
          <w:bCs/>
          <w:snapToGrid/>
          <w:color w:val="auto"/>
          <w:sz w:val="24"/>
          <w:szCs w:val="24"/>
          <w:lang w:eastAsia="zh-CN" w:bidi="ar"/>
        </w:rPr>
        <w:t>理论分析与仿真方法</w:t>
      </w:r>
    </w:p>
    <w:p w14:paraId="4FEDDCB5" w14:textId="77777777" w:rsidR="003162D1" w:rsidRDefault="00FF0CC3">
      <w:pPr>
        <w:pStyle w:val="a5"/>
        <w:spacing w:before="97" w:line="212" w:lineRule="auto"/>
        <w:outlineLvl w:val="0"/>
        <w:rPr>
          <w:rFonts w:ascii="Times New Roman" w:hAnsi="Times New Roman" w:cs="Times New Roman"/>
          <w:b/>
          <w:bCs/>
          <w:snapToGrid/>
          <w:color w:val="auto"/>
          <w:sz w:val="24"/>
          <w:szCs w:val="24"/>
          <w:lang w:eastAsia="zh-CN" w:bidi="ar"/>
        </w:rPr>
      </w:pPr>
      <w:r>
        <w:rPr>
          <w:rFonts w:ascii="Times New Roman" w:hAnsi="Times New Roman" w:cs="Times New Roman" w:hint="eastAsia"/>
          <w:b/>
          <w:bCs/>
          <w:snapToGrid/>
          <w:color w:val="auto"/>
          <w:sz w:val="24"/>
          <w:szCs w:val="24"/>
          <w:lang w:eastAsia="zh-CN" w:bidi="ar"/>
        </w:rPr>
        <w:t xml:space="preserve">2.1 </w:t>
      </w:r>
      <w:r>
        <w:rPr>
          <w:rFonts w:ascii="Times New Roman" w:hAnsi="Times New Roman" w:cs="Times New Roman" w:hint="eastAsia"/>
          <w:b/>
          <w:bCs/>
          <w:snapToGrid/>
          <w:color w:val="auto"/>
          <w:sz w:val="24"/>
          <w:szCs w:val="24"/>
          <w:lang w:eastAsia="zh-CN" w:bidi="ar"/>
        </w:rPr>
        <w:t>理论</w:t>
      </w:r>
      <w:r>
        <w:rPr>
          <w:rFonts w:ascii="Times New Roman" w:hAnsi="Times New Roman" w:cs="Times New Roman"/>
          <w:b/>
          <w:bCs/>
          <w:snapToGrid/>
          <w:color w:val="auto"/>
          <w:sz w:val="24"/>
          <w:szCs w:val="24"/>
          <w:lang w:eastAsia="zh-CN" w:bidi="ar"/>
        </w:rPr>
        <w:t>分析</w:t>
      </w:r>
    </w:p>
    <w:p w14:paraId="7AB61C07" w14:textId="77777777" w:rsidR="003162D1" w:rsidRDefault="00FF0CC3">
      <w:pPr>
        <w:pStyle w:val="a5"/>
        <w:ind w:firstLineChars="200" w:firstLine="420"/>
        <w:jc w:val="both"/>
        <w:rPr>
          <w:rFonts w:ascii="Times New Roman" w:hAnsi="Times New Roman" w:cs="Times New Roman"/>
          <w:snapToGrid/>
          <w:color w:val="auto"/>
          <w:lang w:eastAsia="zh-CN" w:bidi="ar"/>
        </w:rPr>
      </w:pPr>
      <w:r>
        <w:rPr>
          <w:rFonts w:ascii="Times New Roman" w:hAnsi="Times New Roman" w:cs="Times New Roman" w:hint="eastAsia"/>
          <w:snapToGrid/>
          <w:color w:val="auto"/>
          <w:lang w:eastAsia="zh-CN" w:bidi="ar"/>
        </w:rPr>
        <w:t>本文提出的双圆套管双直板空芯反谐振光纤，其结构非对称性是实现高双折射的关键。双直板结构在</w:t>
      </w:r>
      <w:r>
        <w:rPr>
          <w:rFonts w:ascii="Times New Roman" w:hAnsi="Times New Roman" w:cs="Times New Roman"/>
          <w:snapToGrid/>
          <w:color w:val="auto"/>
          <w:lang w:eastAsia="zh-CN" w:bidi="ar"/>
        </w:rPr>
        <w:t>x</w:t>
      </w:r>
      <w:r>
        <w:rPr>
          <w:rFonts w:ascii="Times New Roman" w:hAnsi="Times New Roman" w:cs="Times New Roman" w:hint="eastAsia"/>
          <w:snapToGrid/>
          <w:color w:val="auto"/>
          <w:lang w:eastAsia="zh-CN" w:bidi="ar"/>
        </w:rPr>
        <w:t>和</w:t>
      </w:r>
      <w:r>
        <w:rPr>
          <w:rFonts w:ascii="Times New Roman" w:hAnsi="Times New Roman" w:cs="Times New Roman"/>
          <w:snapToGrid/>
          <w:color w:val="auto"/>
          <w:lang w:eastAsia="zh-CN" w:bidi="ar"/>
        </w:rPr>
        <w:t>y</w:t>
      </w:r>
      <w:r>
        <w:rPr>
          <w:rFonts w:ascii="Times New Roman" w:hAnsi="Times New Roman" w:cs="Times New Roman" w:hint="eastAsia"/>
          <w:snapToGrid/>
          <w:color w:val="auto"/>
          <w:lang w:eastAsia="zh-CN" w:bidi="ar"/>
        </w:rPr>
        <w:t>方向引入了几何差异，使两个正交偏振模式的有效折射率产生显著区别，从而增强了双折射效应。基于该结构特点，以下将分析其导波机理及相关性能参数。</w:t>
      </w:r>
    </w:p>
    <w:p w14:paraId="34AE0965" w14:textId="77777777" w:rsidR="003162D1" w:rsidRDefault="00FF0CC3">
      <w:pPr>
        <w:pStyle w:val="a5"/>
        <w:ind w:firstLineChars="200" w:firstLine="420"/>
        <w:jc w:val="both"/>
        <w:rPr>
          <w:rFonts w:ascii="Times New Roman" w:hAnsi="Times New Roman" w:cs="Times New Roman"/>
          <w:snapToGrid/>
          <w:color w:val="auto"/>
          <w:lang w:eastAsia="zh-CN" w:bidi="ar"/>
        </w:rPr>
      </w:pPr>
      <w:r>
        <w:rPr>
          <w:rFonts w:ascii="Times New Roman" w:hAnsi="Times New Roman" w:cs="Times New Roman" w:hint="eastAsia"/>
          <w:snapToGrid/>
          <w:color w:val="auto"/>
          <w:lang w:eastAsia="zh-CN" w:bidi="ar"/>
        </w:rPr>
        <w:t>在低损耗空芯光纤中，光场通常呈圆形分布。这是因为圆对称结构能更好地维持光模式的稳定性，使光波在传播过程中均匀分布于纤芯内部，不易被纤芯与包层边界散射或吸收。这种圆对称性有助于形成高斯光束分布，即光场能量集中于中心并向外逐渐衰减，从而较好地保持能量集中于纤芯，减少与包层边界的相互</w:t>
      </w:r>
      <w:r>
        <w:rPr>
          <w:rFonts w:ascii="Times New Roman" w:hAnsi="Times New Roman" w:cs="Times New Roman" w:hint="eastAsia"/>
          <w:snapToGrid/>
          <w:color w:val="auto"/>
          <w:lang w:eastAsia="zh-CN" w:bidi="ar"/>
        </w:rPr>
        <w:t>作用，降低散射损耗。</w:t>
      </w:r>
    </w:p>
    <w:p w14:paraId="6DDCBC32" w14:textId="77777777" w:rsidR="003162D1" w:rsidRDefault="00FF0CC3">
      <w:pPr>
        <w:pStyle w:val="a5"/>
        <w:ind w:firstLineChars="200" w:firstLine="420"/>
        <w:jc w:val="both"/>
        <w:rPr>
          <w:rFonts w:ascii="Times New Roman" w:hAnsi="Times New Roman" w:cs="Times New Roman"/>
          <w:snapToGrid/>
          <w:color w:val="auto"/>
          <w:lang w:eastAsia="zh-CN" w:bidi="ar"/>
        </w:rPr>
      </w:pPr>
      <w:r>
        <w:rPr>
          <w:rFonts w:ascii="Times New Roman" w:hAnsi="Times New Roman" w:cs="Times New Roman" w:hint="eastAsia"/>
          <w:snapToGrid/>
          <w:color w:val="auto"/>
          <w:lang w:eastAsia="zh-CN" w:bidi="ar"/>
        </w:rPr>
        <w:t>另一方面，大多数空芯保偏光纤则利用几何结构的不对称性来引入保偏特性。在此类结构中，非圆对称的光场实现了偏振模式的有效分离，两个正交方向上的折射率差异导致不同偏振态的光以不同速度在纤芯中传播，产生双折射效应。双折射大小通常表示为不同偏振方向的有效折射率之差，计算公式如下：</w:t>
      </w:r>
    </w:p>
    <w:p w14:paraId="482CC293" w14:textId="77777777" w:rsidR="003162D1" w:rsidRDefault="00FF0CC3">
      <w:pPr>
        <w:pStyle w:val="a5"/>
        <w:ind w:firstLineChars="1700" w:firstLine="3570"/>
        <w:jc w:val="both"/>
        <w:rPr>
          <w:rFonts w:ascii="Times New Roman" w:hAnsi="Times New Roman" w:cs="Times New Roman"/>
          <w:snapToGrid/>
          <w:color w:val="auto"/>
          <w:lang w:eastAsia="zh-CN" w:bidi="ar"/>
        </w:rPr>
      </w:pPr>
      <w:r>
        <w:rPr>
          <w:rFonts w:hint="eastAsia"/>
          <w:snapToGrid/>
          <w:color w:val="auto"/>
          <w:lang w:eastAsia="zh-CN" w:bidi="ar"/>
        </w:rPr>
        <w:t>△</w:t>
      </w:r>
      <w:r>
        <w:rPr>
          <w:rFonts w:ascii="Times New Roman" w:hAnsi="Times New Roman" w:cs="Times New Roman"/>
          <w:snapToGrid/>
          <w:color w:val="auto"/>
          <w:lang w:eastAsia="zh-CN" w:bidi="ar"/>
        </w:rPr>
        <w:t>n=n</w:t>
      </w:r>
      <w:r>
        <w:rPr>
          <w:rFonts w:ascii="Times New Roman" w:hAnsi="Times New Roman" w:cs="Times New Roman"/>
          <w:snapToGrid/>
          <w:color w:val="auto"/>
          <w:vertAlign w:val="subscript"/>
          <w:lang w:eastAsia="zh-CN" w:bidi="ar"/>
        </w:rPr>
        <w:t>〢</w:t>
      </w:r>
      <w:r>
        <w:rPr>
          <w:rFonts w:ascii="Times New Roman" w:hAnsi="Times New Roman" w:cs="Times New Roman"/>
          <w:snapToGrid/>
          <w:color w:val="auto"/>
          <w:lang w:eastAsia="zh-CN" w:bidi="ar"/>
        </w:rPr>
        <w:t>-n</w:t>
      </w:r>
      <w:r>
        <w:rPr>
          <w:rFonts w:hint="eastAsia"/>
          <w:snapToGrid/>
          <w:color w:val="auto"/>
          <w:vertAlign w:val="subscript"/>
          <w:lang w:eastAsia="zh-CN" w:bidi="ar"/>
        </w:rPr>
        <w:t>⊥</w:t>
      </w:r>
      <w:r>
        <w:rPr>
          <w:rFonts w:ascii="Times New Roman" w:hAnsi="Times New Roman" w:cs="Times New Roman"/>
          <w:snapToGrid/>
          <w:color w:val="auto"/>
          <w:vertAlign w:val="subscript"/>
          <w:lang w:eastAsia="zh-CN" w:bidi="ar"/>
        </w:rPr>
        <w:t xml:space="preserve">                                                                                                                  </w:t>
      </w:r>
      <w:r>
        <w:rPr>
          <w:rFonts w:ascii="Times New Roman" w:hAnsi="Times New Roman" w:cs="Times New Roman"/>
          <w:snapToGrid/>
          <w:color w:val="auto"/>
          <w:lang w:eastAsia="zh-CN" w:bidi="ar"/>
        </w:rPr>
        <w:t>（</w:t>
      </w:r>
      <w:r>
        <w:rPr>
          <w:rFonts w:ascii="Times New Roman" w:hAnsi="Times New Roman" w:cs="Times New Roman"/>
          <w:snapToGrid/>
          <w:color w:val="auto"/>
          <w:lang w:eastAsia="zh-CN" w:bidi="ar"/>
        </w:rPr>
        <w:t>1</w:t>
      </w:r>
      <w:r>
        <w:rPr>
          <w:rFonts w:ascii="Times New Roman" w:hAnsi="Times New Roman" w:cs="Times New Roman"/>
          <w:snapToGrid/>
          <w:color w:val="auto"/>
          <w:lang w:eastAsia="zh-CN" w:bidi="ar"/>
        </w:rPr>
        <w:t>）</w:t>
      </w:r>
    </w:p>
    <w:p w14:paraId="403261FE" w14:textId="77777777" w:rsidR="003162D1" w:rsidRDefault="00FF0CC3">
      <w:pPr>
        <w:jc w:val="both"/>
        <w:rPr>
          <w:rFonts w:asciiTheme="minorEastAsia" w:eastAsiaTheme="minorEastAsia" w:hAnsiTheme="minorEastAsia"/>
          <w:snapToGrid/>
          <w:color w:val="auto"/>
          <w:lang w:eastAsia="zh-CN" w:bidi="ar"/>
        </w:rPr>
      </w:pPr>
      <w:r>
        <w:rPr>
          <w:rFonts w:asciiTheme="minorEastAsia" w:eastAsiaTheme="minorEastAsia" w:hAnsiTheme="minorEastAsia" w:cs="Times New Roman" w:hint="eastAsia"/>
          <w:snapToGrid/>
          <w:color w:val="auto"/>
          <w:lang w:eastAsia="zh-CN" w:bidi="ar"/>
        </w:rPr>
        <w:t>其中</w:t>
      </w:r>
      <w:r>
        <w:rPr>
          <w:rFonts w:asciiTheme="minorEastAsia" w:eastAsiaTheme="minorEastAsia" w:hAnsiTheme="minorEastAsia" w:cs="微软雅黑" w:hint="eastAsia"/>
          <w:snapToGrid/>
          <w:color w:val="auto"/>
          <w:lang w:eastAsia="zh-CN" w:bidi="ar"/>
        </w:rPr>
        <w:t>，</w:t>
      </w:r>
      <w:r>
        <w:rPr>
          <w:rFonts w:asciiTheme="minorEastAsia" w:eastAsiaTheme="minorEastAsia" w:hAnsiTheme="minorEastAsia" w:cs="Cambria Math" w:hint="eastAsia"/>
          <w:snapToGrid/>
          <w:color w:val="auto"/>
          <w:lang w:eastAsia="zh-CN" w:bidi="ar"/>
        </w:rPr>
        <w:t>△</w:t>
      </w:r>
      <w:r>
        <w:rPr>
          <w:rFonts w:asciiTheme="minorEastAsia" w:eastAsiaTheme="minorEastAsia" w:hAnsiTheme="minorEastAsia" w:cs="Times New Roman" w:hint="eastAsia"/>
          <w:snapToGrid/>
          <w:color w:val="auto"/>
          <w:lang w:eastAsia="zh-CN" w:bidi="ar"/>
        </w:rPr>
        <w:t xml:space="preserve">n </w:t>
      </w:r>
      <w:r>
        <w:rPr>
          <w:rFonts w:asciiTheme="minorEastAsia" w:eastAsiaTheme="minorEastAsia" w:hAnsiTheme="minorEastAsia" w:cs="Times New Roman" w:hint="eastAsia"/>
          <w:snapToGrid/>
          <w:color w:val="auto"/>
          <w:lang w:eastAsia="zh-CN" w:bidi="ar"/>
        </w:rPr>
        <w:t>为</w:t>
      </w:r>
      <w:r>
        <w:rPr>
          <w:rFonts w:asciiTheme="minorEastAsia" w:eastAsiaTheme="minorEastAsia" w:hAnsiTheme="minorEastAsia" w:cs="微软雅黑" w:hint="eastAsia"/>
          <w:snapToGrid/>
          <w:color w:val="auto"/>
          <w:lang w:eastAsia="zh-CN" w:bidi="ar"/>
        </w:rPr>
        <w:t>光纤的双折射大小，</w:t>
      </w:r>
      <w:r>
        <w:rPr>
          <w:rFonts w:asciiTheme="minorEastAsia" w:eastAsiaTheme="minorEastAsia" w:hAnsiTheme="minorEastAsia" w:cs="Times New Roman" w:hint="eastAsia"/>
          <w:snapToGrid/>
          <w:color w:val="auto"/>
          <w:lang w:eastAsia="zh-CN" w:bidi="ar"/>
        </w:rPr>
        <w:t>n</w:t>
      </w:r>
      <w:r>
        <w:rPr>
          <w:rFonts w:asciiTheme="minorEastAsia" w:eastAsiaTheme="minorEastAsia" w:hAnsiTheme="minorEastAsia" w:cs="微软雅黑" w:hint="eastAsia"/>
          <w:snapToGrid/>
          <w:color w:val="auto"/>
          <w:vertAlign w:val="subscript"/>
          <w:lang w:eastAsia="zh-CN" w:bidi="ar"/>
        </w:rPr>
        <w:t>〢</w:t>
      </w:r>
      <w:r>
        <w:rPr>
          <w:rFonts w:asciiTheme="minorEastAsia" w:eastAsiaTheme="minorEastAsia" w:hAnsiTheme="minorEastAsia" w:cs="微软雅黑" w:hint="eastAsia"/>
          <w:snapToGrid/>
          <w:color w:val="auto"/>
          <w:lang w:eastAsia="zh-CN" w:bidi="ar"/>
        </w:rPr>
        <w:t>为沿光纤核心轴方向的折射率，</w:t>
      </w:r>
      <w:r>
        <w:rPr>
          <w:rFonts w:asciiTheme="minorEastAsia" w:eastAsiaTheme="minorEastAsia" w:hAnsiTheme="minorEastAsia" w:cs="Times New Roman" w:hint="eastAsia"/>
          <w:snapToGrid/>
          <w:color w:val="auto"/>
          <w:lang w:eastAsia="zh-CN" w:bidi="ar"/>
        </w:rPr>
        <w:t>n</w:t>
      </w:r>
      <w:r>
        <w:rPr>
          <w:rFonts w:asciiTheme="minorEastAsia" w:eastAsiaTheme="minorEastAsia" w:hAnsiTheme="minorEastAsia" w:cs="微软雅黑" w:hint="eastAsia"/>
          <w:snapToGrid/>
          <w:color w:val="auto"/>
          <w:vertAlign w:val="subscript"/>
          <w:lang w:eastAsia="zh-CN" w:bidi="ar"/>
        </w:rPr>
        <w:t>⊥</w:t>
      </w:r>
      <w:r>
        <w:rPr>
          <w:rFonts w:asciiTheme="minorEastAsia" w:eastAsiaTheme="minorEastAsia" w:hAnsiTheme="minorEastAsia" w:cs="Times New Roman" w:hint="eastAsia"/>
          <w:snapToGrid/>
          <w:color w:val="auto"/>
          <w:vertAlign w:val="subscript"/>
          <w:lang w:eastAsia="zh-CN" w:bidi="ar"/>
        </w:rPr>
        <w:t xml:space="preserve"> </w:t>
      </w:r>
      <w:r>
        <w:rPr>
          <w:rFonts w:asciiTheme="minorEastAsia" w:eastAsiaTheme="minorEastAsia" w:hAnsiTheme="minorEastAsia" w:cs="微软雅黑" w:hint="eastAsia"/>
          <w:snapToGrid/>
          <w:color w:val="auto"/>
          <w:lang w:eastAsia="zh-CN" w:bidi="ar"/>
        </w:rPr>
        <w:t>为沿光纤截面平面方向的折射率。然而，非圆对称结构往往会增强光场与纤芯边界的相互作用，从而引入更大的散射损耗。为在低损耗前提下利用几何不对称性增强双折射，本文在现有低损耗太赫兹光纤仿真结构基础上，引入了两个平</w:t>
      </w:r>
      <w:r>
        <w:rPr>
          <w:rFonts w:asciiTheme="minorEastAsia" w:eastAsiaTheme="minorEastAsia" w:hAnsiTheme="minorEastAsia" w:cs="微软雅黑" w:hint="eastAsia"/>
          <w:snapToGrid/>
          <w:color w:val="auto"/>
          <w:lang w:eastAsia="zh-CN" w:bidi="ar"/>
        </w:rPr>
        <w:t>行直板。该设计旨在改变光纤的对称性，同时控制损耗水平。双直板结构增大了壁面附近的能量分数差异，在提升双折射的同时也可能增加材料损耗，因此需在二者之间取得平衡。在反谐振导光机制中，包层内的圆环与直板等薄壁结构通过满足反谐振条件，将光场限制于空芯中传输。反谐振条件与壁厚密切相关，对于厚度为</w:t>
      </w:r>
      <w:r>
        <w:rPr>
          <w:rFonts w:asciiTheme="minorEastAsia" w:eastAsiaTheme="minorEastAsia" w:hAnsiTheme="minorEastAsia" w:cs="Times New Roman" w:hint="eastAsia"/>
          <w:snapToGrid/>
          <w:color w:val="auto"/>
          <w:lang w:eastAsia="zh-CN" w:bidi="ar"/>
        </w:rPr>
        <w:t>t</w:t>
      </w:r>
      <w:r>
        <w:rPr>
          <w:rFonts w:asciiTheme="minorEastAsia" w:eastAsiaTheme="minorEastAsia" w:hAnsiTheme="minorEastAsia" w:cs="微软雅黑" w:hint="eastAsia"/>
          <w:snapToGrid/>
          <w:color w:val="auto"/>
          <w:lang w:eastAsia="zh-CN" w:bidi="ar"/>
        </w:rPr>
        <w:t>的壁结构，其反谐振频率可表示为</w:t>
      </w:r>
    </w:p>
    <w:p w14:paraId="2F25C519" w14:textId="77777777" w:rsidR="003162D1" w:rsidRDefault="00FF0CC3">
      <w:pPr>
        <w:pStyle w:val="MTDisplayEquation"/>
        <w:ind w:firstLineChars="1500" w:firstLine="3150"/>
        <w:rPr>
          <w:lang w:bidi="ar"/>
        </w:rPr>
      </w:pPr>
      <w:r>
        <w:rPr>
          <w:position w:val="-34"/>
        </w:rPr>
        <w:object w:dxaOrig="2813" w:dyaOrig="720" w14:anchorId="722E1115">
          <v:shape id="_x0000_i1026" type="#_x0000_t75" style="width:140.45pt;height:36.2pt" o:ole="">
            <v:imagedata r:id="rId10" o:title=""/>
          </v:shape>
          <o:OLEObject Type="Embed" ProgID="Equation.DSMT4" ShapeID="_x0000_i1026" DrawAspect="Content" ObjectID="_1823065517" r:id="rId11"/>
        </w:object>
      </w:r>
      <w:r>
        <w:rPr>
          <w:lang w:bidi="ar"/>
        </w:rPr>
        <w:t xml:space="preserve">                                      </w:t>
      </w:r>
      <w:r>
        <w:rPr>
          <w:rFonts w:ascii="Times New Roman" w:eastAsia="宋体" w:hAnsi="Times New Roman"/>
          <w:lang w:bidi="ar"/>
        </w:rPr>
        <w:t xml:space="preserve">     </w:t>
      </w:r>
      <w:r>
        <w:rPr>
          <w:rFonts w:ascii="微软雅黑" w:eastAsia="微软雅黑" w:hAnsi="微软雅黑" w:cs="微软雅黑" w:hint="eastAsia"/>
          <w:color w:val="auto"/>
          <w:lang w:bidi="ar"/>
        </w:rPr>
        <w:t>（</w:t>
      </w:r>
      <w:r>
        <w:rPr>
          <w:rFonts w:ascii="Times New Roman" w:hAnsi="Times New Roman"/>
          <w:color w:val="auto"/>
          <w:lang w:bidi="ar"/>
        </w:rPr>
        <w:t>2</w:t>
      </w:r>
      <w:r>
        <w:rPr>
          <w:rFonts w:ascii="微软雅黑" w:eastAsia="微软雅黑" w:hAnsi="微软雅黑" w:cs="微软雅黑" w:hint="eastAsia"/>
          <w:color w:val="auto"/>
          <w:lang w:bidi="ar"/>
        </w:rPr>
        <w:t>）</w:t>
      </w:r>
    </w:p>
    <w:p w14:paraId="34DD1BDC" w14:textId="77777777" w:rsidR="003162D1" w:rsidRDefault="00FF0CC3">
      <w:pPr>
        <w:pStyle w:val="ac"/>
        <w:spacing w:beforeAutospacing="0" w:afterAutospacing="0"/>
        <w:ind w:firstLineChars="200" w:firstLine="420"/>
        <w:jc w:val="both"/>
        <w:rPr>
          <w:rFonts w:ascii="Times New Roman" w:eastAsia="宋体" w:hAnsi="Times New Roman"/>
          <w:snapToGrid/>
          <w:color w:val="auto"/>
          <w:sz w:val="21"/>
          <w:lang w:bidi="ar"/>
        </w:rPr>
      </w:pPr>
      <w:r>
        <w:rPr>
          <w:rFonts w:ascii="Times New Roman" w:eastAsia="宋体" w:hAnsi="Times New Roman"/>
          <w:snapToGrid/>
          <w:color w:val="auto"/>
          <w:sz w:val="21"/>
          <w:lang w:bidi="ar"/>
        </w:rPr>
        <w:lastRenderedPageBreak/>
        <w:t>本文中，直板厚度</w:t>
      </w:r>
      <w:r>
        <w:rPr>
          <w:rFonts w:ascii="Times New Roman" w:eastAsia="宋体" w:hAnsi="Times New Roman"/>
          <w:snapToGrid/>
          <w:color w:val="auto"/>
          <w:sz w:val="21"/>
          <w:lang w:bidi="ar"/>
        </w:rPr>
        <w:t> t</w:t>
      </w:r>
      <w:r>
        <w:rPr>
          <w:rFonts w:ascii="Times New Roman" w:eastAsia="宋体" w:hAnsi="Times New Roman"/>
          <w:snapToGrid/>
          <w:color w:val="auto"/>
          <w:sz w:val="21"/>
          <w:vertAlign w:val="subscript"/>
          <w:lang w:bidi="ar"/>
        </w:rPr>
        <w:t>1</w:t>
      </w:r>
      <w:r>
        <w:rPr>
          <w:rFonts w:ascii="Times New Roman" w:eastAsia="宋体" w:hAnsi="Times New Roman"/>
          <w:snapToGrid/>
          <w:color w:val="auto"/>
          <w:sz w:val="21"/>
          <w:lang w:bidi="ar"/>
        </w:rPr>
        <w:t>与圆环壁厚</w:t>
      </w:r>
      <w:r>
        <w:rPr>
          <w:rFonts w:ascii="Times New Roman" w:eastAsia="宋体" w:hAnsi="Times New Roman"/>
          <w:snapToGrid/>
          <w:color w:val="auto"/>
          <w:sz w:val="21"/>
          <w:lang w:bidi="ar"/>
        </w:rPr>
        <w:t> t</w:t>
      </w:r>
      <w:r>
        <w:rPr>
          <w:rFonts w:ascii="Times New Roman" w:eastAsia="宋体" w:hAnsi="Times New Roman"/>
          <w:snapToGrid/>
          <w:color w:val="auto"/>
          <w:sz w:val="21"/>
          <w:vertAlign w:val="subscript"/>
          <w:lang w:bidi="ar"/>
        </w:rPr>
        <w:t>2</w:t>
      </w:r>
      <w:r>
        <w:rPr>
          <w:rFonts w:ascii="Times New Roman" w:eastAsia="宋体" w:hAnsi="Times New Roman"/>
          <w:snapToGrid/>
          <w:color w:val="auto"/>
          <w:sz w:val="21"/>
          <w:lang w:bidi="ar"/>
        </w:rPr>
        <w:t>共同决定了光纤在目标太赫兹频段的反谐振特性。通过合理设计</w:t>
      </w:r>
      <w:r>
        <w:rPr>
          <w:rFonts w:ascii="Times New Roman" w:eastAsia="宋体" w:hAnsi="Times New Roman"/>
          <w:snapToGrid/>
          <w:color w:val="auto"/>
          <w:sz w:val="21"/>
          <w:lang w:bidi="ar"/>
        </w:rPr>
        <w:t> t</w:t>
      </w:r>
      <w:r>
        <w:rPr>
          <w:rFonts w:ascii="Times New Roman" w:eastAsia="宋体" w:hAnsi="Times New Roman"/>
          <w:snapToGrid/>
          <w:color w:val="auto"/>
          <w:sz w:val="21"/>
          <w:vertAlign w:val="subscript"/>
          <w:lang w:bidi="ar"/>
        </w:rPr>
        <w:t>1</w:t>
      </w:r>
      <w:r>
        <w:rPr>
          <w:rFonts w:ascii="Times New Roman" w:eastAsia="宋体" w:hAnsi="Times New Roman"/>
          <w:snapToGrid/>
          <w:color w:val="auto"/>
          <w:sz w:val="21"/>
          <w:lang w:bidi="ar"/>
        </w:rPr>
        <w:t>与</w:t>
      </w:r>
      <w:r>
        <w:rPr>
          <w:rFonts w:ascii="Times New Roman" w:eastAsia="宋体" w:hAnsi="Times New Roman"/>
          <w:snapToGrid/>
          <w:color w:val="auto"/>
          <w:sz w:val="21"/>
          <w:lang w:bidi="ar"/>
        </w:rPr>
        <w:t> t</w:t>
      </w:r>
      <w:r>
        <w:rPr>
          <w:rFonts w:ascii="Times New Roman" w:eastAsia="宋体" w:hAnsi="Times New Roman"/>
          <w:snapToGrid/>
          <w:color w:val="auto"/>
          <w:sz w:val="21"/>
          <w:vertAlign w:val="subscript"/>
          <w:lang w:bidi="ar"/>
        </w:rPr>
        <w:t>2</w:t>
      </w:r>
      <w:r>
        <w:rPr>
          <w:rFonts w:ascii="Times New Roman" w:eastAsia="宋体" w:hAnsi="Times New Roman"/>
          <w:snapToGrid/>
          <w:color w:val="auto"/>
          <w:sz w:val="21"/>
          <w:lang w:bidi="ar"/>
        </w:rPr>
        <w:t>，可在特定频段形成强反射，抑制光泄漏，从而降低限制损耗。</w:t>
      </w:r>
    </w:p>
    <w:p w14:paraId="17F0B1EC" w14:textId="77777777" w:rsidR="003162D1" w:rsidRDefault="00FF0CC3">
      <w:pPr>
        <w:pStyle w:val="ac"/>
        <w:spacing w:beforeAutospacing="0" w:afterAutospacing="0"/>
        <w:ind w:firstLineChars="200" w:firstLine="420"/>
        <w:jc w:val="both"/>
        <w:rPr>
          <w:rFonts w:asciiTheme="minorEastAsia" w:eastAsiaTheme="minorEastAsia" w:hAnsiTheme="minorEastAsia"/>
          <w:snapToGrid/>
          <w:color w:val="auto"/>
          <w:sz w:val="21"/>
          <w:lang w:bidi="ar"/>
        </w:rPr>
      </w:pPr>
      <w:r>
        <w:rPr>
          <w:rFonts w:ascii="Times New Roman" w:eastAsia="宋体" w:hAnsi="Times New Roman" w:hint="eastAsia"/>
          <w:snapToGrid/>
          <w:color w:val="auto"/>
          <w:sz w:val="21"/>
          <w:lang w:bidi="ar"/>
        </w:rPr>
        <w:t>在材料选择方面，</w:t>
      </w:r>
      <w:r>
        <w:rPr>
          <w:rFonts w:ascii="Times New Roman" w:eastAsia="宋体" w:hAnsi="Times New Roman"/>
          <w:snapToGrid/>
          <w:color w:val="auto"/>
          <w:sz w:val="21"/>
          <w:lang w:bidi="ar"/>
        </w:rPr>
        <w:t xml:space="preserve">Topas </w:t>
      </w:r>
      <w:r>
        <w:rPr>
          <w:rFonts w:ascii="Times New Roman" w:eastAsia="宋体" w:hAnsi="Times New Roman" w:hint="eastAsia"/>
          <w:snapToGrid/>
          <w:color w:val="auto"/>
          <w:sz w:val="21"/>
          <w:lang w:bidi="ar"/>
        </w:rPr>
        <w:t>因其在太赫兹频段的优良性能成为本文首选材料。与其他候选材料（如</w:t>
      </w:r>
      <w:r>
        <w:rPr>
          <w:rFonts w:ascii="Times New Roman" w:eastAsia="宋体" w:hAnsi="Times New Roman"/>
          <w:snapToGrid/>
          <w:color w:val="auto"/>
          <w:sz w:val="21"/>
          <w:lang w:bidi="ar"/>
        </w:rPr>
        <w:t xml:space="preserve"> PMMA </w:t>
      </w:r>
      <w:r>
        <w:rPr>
          <w:rFonts w:ascii="Times New Roman" w:eastAsia="宋体" w:hAnsi="Times New Roman" w:hint="eastAsia"/>
          <w:snapToGrid/>
          <w:color w:val="auto"/>
          <w:sz w:val="21"/>
          <w:lang w:bidi="ar"/>
        </w:rPr>
        <w:t>和特氟龙）相比，</w:t>
      </w:r>
      <w:r>
        <w:rPr>
          <w:rFonts w:ascii="Times New Roman" w:eastAsia="宋体" w:hAnsi="Times New Roman"/>
          <w:snapToGrid/>
          <w:color w:val="auto"/>
          <w:sz w:val="21"/>
          <w:lang w:bidi="ar"/>
        </w:rPr>
        <w:t xml:space="preserve">Topas </w:t>
      </w:r>
      <w:r>
        <w:rPr>
          <w:rFonts w:ascii="Times New Roman" w:eastAsia="宋体" w:hAnsi="Times New Roman" w:hint="eastAsia"/>
          <w:snapToGrid/>
          <w:color w:val="auto"/>
          <w:sz w:val="21"/>
          <w:lang w:bidi="ar"/>
        </w:rPr>
        <w:t>在</w:t>
      </w:r>
      <w:r>
        <w:rPr>
          <w:rFonts w:ascii="Times New Roman" w:eastAsia="宋体" w:hAnsi="Times New Roman"/>
          <w:snapToGrid/>
          <w:color w:val="auto"/>
          <w:sz w:val="21"/>
          <w:lang w:bidi="ar"/>
        </w:rPr>
        <w:t xml:space="preserve"> 0.1~1.5 THz </w:t>
      </w:r>
      <w:r>
        <w:rPr>
          <w:rFonts w:ascii="Times New Roman" w:eastAsia="宋体" w:hAnsi="Times New Roman" w:hint="eastAsia"/>
          <w:snapToGrid/>
          <w:color w:val="auto"/>
          <w:sz w:val="21"/>
          <w:lang w:bidi="ar"/>
        </w:rPr>
        <w:t>频段内具有较低的材料损耗和较为稳定的折射率</w:t>
      </w:r>
      <w:r>
        <w:rPr>
          <w:rFonts w:ascii="Times New Roman" w:eastAsia="宋体" w:hAnsi="Times New Roman"/>
          <w:snapToGrid/>
          <w:color w:val="auto"/>
          <w:sz w:val="21"/>
          <w:lang w:bidi="ar"/>
        </w:rPr>
        <w:t>n=1.5258</w:t>
      </w:r>
      <w:r>
        <w:rPr>
          <w:rFonts w:ascii="Times New Roman" w:eastAsia="宋体" w:hAnsi="Times New Roman"/>
          <w:snapToGrid/>
          <w:color w:val="auto"/>
          <w:sz w:val="21"/>
          <w:lang w:bidi="ar"/>
        </w:rPr>
        <w:t>。此外，</w:t>
      </w:r>
      <w:r>
        <w:rPr>
          <w:rFonts w:asciiTheme="minorEastAsia" w:eastAsiaTheme="minorEastAsia" w:hAnsiTheme="minorEastAsia" w:cs="微软雅黑" w:hint="eastAsia"/>
          <w:color w:val="0F1115"/>
          <w:sz w:val="21"/>
          <w:shd w:val="clear" w:color="auto" w:fill="FFFFFF"/>
        </w:rPr>
        <w:t>其材料损耗与频率近似呈线性关系，可表示为</w:t>
      </w:r>
      <w:r>
        <w:rPr>
          <w:rFonts w:ascii="Times New Roman" w:eastAsia="宋体" w:hAnsi="Times New Roman"/>
          <w:snapToGrid/>
          <w:color w:val="auto"/>
          <w:sz w:val="21"/>
          <w:lang w:bidi="ar"/>
        </w:rPr>
        <w:t>α</w:t>
      </w:r>
      <w:r>
        <w:rPr>
          <w:rFonts w:ascii="Times New Roman" w:eastAsia="宋体" w:hAnsi="Times New Roman"/>
          <w:snapToGrid/>
          <w:color w:val="auto"/>
          <w:sz w:val="21"/>
          <w:vertAlign w:val="subscript"/>
          <w:lang w:bidi="ar"/>
        </w:rPr>
        <w:t>EML</w:t>
      </w:r>
      <w:r>
        <w:rPr>
          <w:rFonts w:ascii="Times New Roman" w:eastAsia="宋体" w:hAnsi="Times New Roman"/>
          <w:snapToGrid/>
          <w:color w:val="auto"/>
          <w:sz w:val="21"/>
          <w:lang w:bidi="ar"/>
        </w:rPr>
        <w:t>=0.36</w:t>
      </w:r>
      <w:r>
        <w:rPr>
          <w:rFonts w:ascii="Times New Roman" w:eastAsia="宋体" w:hAnsi="Times New Roman"/>
          <w:snapToGrid/>
          <w:color w:val="auto"/>
          <w:sz w:val="21"/>
          <w:lang w:bidi="ar"/>
        </w:rPr>
        <w:t>（</w:t>
      </w:r>
      <w:r>
        <w:rPr>
          <w:rFonts w:ascii="Times New Roman" w:eastAsia="宋体" w:hAnsi="Times New Roman"/>
          <w:snapToGrid/>
          <w:color w:val="auto"/>
          <w:sz w:val="21"/>
          <w:lang w:bidi="ar"/>
        </w:rPr>
        <w:t>f−0.4</w:t>
      </w:r>
      <w:r>
        <w:rPr>
          <w:rFonts w:ascii="Times New Roman" w:eastAsia="宋体" w:hAnsi="Times New Roman"/>
          <w:snapToGrid/>
          <w:color w:val="auto"/>
          <w:sz w:val="21"/>
          <w:lang w:bidi="ar"/>
        </w:rPr>
        <w:t>）</w:t>
      </w:r>
      <w:r>
        <w:rPr>
          <w:rFonts w:ascii="Times New Roman" w:eastAsia="宋体" w:hAnsi="Times New Roman"/>
          <w:snapToGrid/>
          <w:color w:val="auto"/>
          <w:sz w:val="21"/>
          <w:lang w:bidi="ar"/>
        </w:rPr>
        <w:t>+0.06</w:t>
      </w:r>
      <w:r>
        <w:rPr>
          <w:rFonts w:ascii="Times New Roman" w:eastAsia="宋体" w:hAnsi="Times New Roman"/>
          <w:snapToGrid/>
          <w:color w:val="auto"/>
          <w:sz w:val="21"/>
          <w:vertAlign w:val="superscript"/>
          <w:lang w:bidi="ar"/>
        </w:rPr>
        <w:t>[21]</w:t>
      </w:r>
      <w:r>
        <w:rPr>
          <w:rFonts w:ascii="Times New Roman" w:eastAsia="宋体" w:hAnsi="Times New Roman" w:hint="eastAsia"/>
          <w:snapToGrid/>
          <w:color w:val="auto"/>
          <w:sz w:val="21"/>
          <w:lang w:bidi="ar"/>
        </w:rPr>
        <w:t>，</w:t>
      </w:r>
      <w:r>
        <w:rPr>
          <w:rFonts w:asciiTheme="minorEastAsia" w:eastAsiaTheme="minorEastAsia" w:hAnsiTheme="minorEastAsia" w:cs="微软雅黑" w:hint="eastAsia"/>
          <w:color w:val="0F1115"/>
          <w:sz w:val="21"/>
          <w:shd w:val="clear" w:color="auto" w:fill="FFFFFF"/>
        </w:rPr>
        <w:t>表明其在太赫兹波段内的损耗相对可控。</w:t>
      </w:r>
    </w:p>
    <w:p w14:paraId="07E67465" w14:textId="77777777" w:rsidR="003162D1" w:rsidRDefault="00FF0CC3">
      <w:pPr>
        <w:pStyle w:val="ac"/>
        <w:spacing w:beforeAutospacing="0" w:afterAutospacing="0"/>
        <w:ind w:firstLineChars="200" w:firstLine="420"/>
        <w:jc w:val="both"/>
        <w:rPr>
          <w:rFonts w:ascii="Times New Roman" w:eastAsia="宋体" w:hAnsi="Times New Roman"/>
          <w:snapToGrid/>
          <w:color w:val="auto"/>
          <w:sz w:val="21"/>
          <w:lang w:bidi="ar"/>
        </w:rPr>
      </w:pPr>
      <w:r>
        <w:rPr>
          <w:rFonts w:ascii="Times New Roman" w:eastAsia="宋体" w:hAnsi="Times New Roman"/>
          <w:snapToGrid/>
          <w:color w:val="auto"/>
          <w:sz w:val="21"/>
          <w:lang w:bidi="ar"/>
        </w:rPr>
        <w:t>光</w:t>
      </w:r>
      <w:r>
        <w:rPr>
          <w:rFonts w:ascii="Times New Roman" w:eastAsia="宋体" w:hAnsi="Times New Roman" w:hint="eastAsia"/>
          <w:snapToGrid/>
          <w:color w:val="auto"/>
          <w:sz w:val="21"/>
          <w:lang w:bidi="ar"/>
        </w:rPr>
        <w:t>光纤中的反谐振导光机制依赖于包层中薄壁圆环对光场的反射作用。当满足反谐振条件时，光场被限制在空芯中传播，从而显著降低泄漏损耗。通过合理设计包层厚度与圆环尺寸，可在目标频段形成强反谐振效应，确保高效传输。</w:t>
      </w:r>
    </w:p>
    <w:p w14:paraId="0588F625" w14:textId="77777777" w:rsidR="003162D1" w:rsidRDefault="00FF0CC3">
      <w:pPr>
        <w:pStyle w:val="ac"/>
        <w:spacing w:beforeAutospacing="0" w:afterAutospacing="0"/>
        <w:jc w:val="both"/>
        <w:rPr>
          <w:rFonts w:ascii="Times New Roman" w:eastAsia="宋体" w:hAnsi="Times New Roman"/>
          <w:b/>
          <w:snapToGrid/>
          <w:color w:val="auto"/>
          <w:sz w:val="21"/>
          <w:lang w:bidi="ar"/>
        </w:rPr>
      </w:pPr>
      <w:r>
        <w:rPr>
          <w:rFonts w:ascii="Times New Roman" w:eastAsia="宋体" w:hAnsi="Times New Roman" w:hint="eastAsia"/>
          <w:b/>
          <w:snapToGrid/>
          <w:color w:val="auto"/>
          <w:sz w:val="21"/>
          <w:lang w:bidi="ar"/>
        </w:rPr>
        <w:t>2</w:t>
      </w:r>
      <w:r>
        <w:rPr>
          <w:rFonts w:ascii="Times New Roman" w:eastAsia="宋体" w:hAnsi="Times New Roman"/>
          <w:b/>
          <w:snapToGrid/>
          <w:color w:val="auto"/>
          <w:sz w:val="21"/>
          <w:lang w:bidi="ar"/>
        </w:rPr>
        <w:t xml:space="preserve">.2 </w:t>
      </w:r>
      <w:r>
        <w:rPr>
          <w:rFonts w:ascii="Times New Roman" w:eastAsia="宋体" w:hAnsi="Times New Roman" w:hint="eastAsia"/>
          <w:b/>
          <w:snapToGrid/>
          <w:color w:val="auto"/>
          <w:sz w:val="21"/>
          <w:lang w:bidi="ar"/>
        </w:rPr>
        <w:t>仿真方法</w:t>
      </w:r>
    </w:p>
    <w:p w14:paraId="2F0BE903" w14:textId="77777777" w:rsidR="003162D1" w:rsidRDefault="00FF0CC3">
      <w:pPr>
        <w:pStyle w:val="a5"/>
        <w:ind w:firstLineChars="200" w:firstLine="420"/>
        <w:jc w:val="both"/>
        <w:rPr>
          <w:rFonts w:ascii="Times New Roman" w:hAnsi="Times New Roman" w:cs="Times New Roman"/>
          <w:snapToGrid/>
          <w:color w:val="auto"/>
          <w:lang w:eastAsia="zh-CN" w:bidi="ar"/>
        </w:rPr>
      </w:pPr>
      <w:r>
        <w:rPr>
          <w:rFonts w:ascii="Times New Roman" w:hAnsi="Times New Roman" w:cs="Times New Roman" w:hint="eastAsia"/>
          <w:snapToGrid/>
          <w:color w:val="auto"/>
          <w:lang w:eastAsia="zh-CN" w:bidi="ar"/>
        </w:rPr>
        <w:t>本文采用有限元法进行数值模拟，以确保结果的精度与可靠性。在模型边界处设置完美匹配层，用于吸收外向辐射波，避免反射干扰。为保障仿真收敛，空气区域与</w:t>
      </w:r>
      <w:r>
        <w:rPr>
          <w:rFonts w:ascii="Times New Roman" w:hAnsi="Times New Roman" w:cs="Times New Roman"/>
          <w:snapToGrid/>
          <w:color w:val="auto"/>
          <w:lang w:eastAsia="zh-CN" w:bidi="ar"/>
        </w:rPr>
        <w:t xml:space="preserve"> Topas </w:t>
      </w:r>
      <w:r>
        <w:rPr>
          <w:rFonts w:ascii="Times New Roman" w:hAnsi="Times New Roman" w:cs="Times New Roman" w:hint="eastAsia"/>
          <w:snapToGrid/>
          <w:color w:val="auto"/>
          <w:lang w:eastAsia="zh-CN" w:bidi="ar"/>
        </w:rPr>
        <w:t>材料区域分别采用λ</w:t>
      </w:r>
      <w:r>
        <w:rPr>
          <w:rFonts w:ascii="Times New Roman" w:hAnsi="Times New Roman" w:cs="Times New Roman"/>
          <w:snapToGrid/>
          <w:color w:val="auto"/>
          <w:lang w:eastAsia="zh-CN" w:bidi="ar"/>
        </w:rPr>
        <w:t xml:space="preserve">/4 </w:t>
      </w:r>
      <w:r>
        <w:rPr>
          <w:rFonts w:ascii="Times New Roman" w:hAnsi="Times New Roman" w:cs="Times New Roman" w:hint="eastAsia"/>
          <w:snapToGrid/>
          <w:color w:val="auto"/>
          <w:lang w:eastAsia="zh-CN" w:bidi="ar"/>
        </w:rPr>
        <w:t>与λ</w:t>
      </w:r>
      <w:r>
        <w:rPr>
          <w:rFonts w:ascii="Times New Roman" w:hAnsi="Times New Roman" w:cs="Times New Roman"/>
          <w:snapToGrid/>
          <w:color w:val="auto"/>
          <w:lang w:eastAsia="zh-CN" w:bidi="ar"/>
        </w:rPr>
        <w:t xml:space="preserve">/10 </w:t>
      </w:r>
      <w:r>
        <w:rPr>
          <w:rFonts w:ascii="Times New Roman" w:hAnsi="Times New Roman" w:cs="Times New Roman" w:hint="eastAsia"/>
          <w:snapToGrid/>
          <w:color w:val="auto"/>
          <w:lang w:eastAsia="zh-CN" w:bidi="ar"/>
        </w:rPr>
        <w:t>的网格划分尺度。针对完美匹配层区域，参考了文献</w:t>
      </w:r>
      <w:r>
        <w:rPr>
          <w:rFonts w:ascii="Times New Roman" w:hAnsi="Times New Roman" w:cs="Times New Roman"/>
          <w:snapToGrid/>
          <w:color w:val="auto"/>
          <w:vertAlign w:val="superscript"/>
          <w:lang w:eastAsia="zh-CN" w:bidi="ar"/>
        </w:rPr>
        <w:t>[27–28]</w:t>
      </w:r>
      <w:r>
        <w:rPr>
          <w:rFonts w:ascii="Times New Roman" w:hAnsi="Times New Roman" w:cs="Times New Roman" w:hint="eastAsia"/>
          <w:snapToGrid/>
          <w:color w:val="auto"/>
          <w:lang w:eastAsia="zh-CN" w:bidi="ar"/>
        </w:rPr>
        <w:t>中的经验参数对吸收边界进行优化，使数值解与已报道的实验结果相符</w:t>
      </w:r>
      <w:r>
        <w:rPr>
          <w:rFonts w:ascii="Times New Roman" w:hAnsi="Times New Roman" w:cs="Times New Roman"/>
          <w:snapToGrid/>
          <w:color w:val="auto"/>
          <w:vertAlign w:val="superscript"/>
          <w:lang w:eastAsia="zh-CN" w:bidi="ar"/>
        </w:rPr>
        <w:t>[25,29]</w:t>
      </w:r>
      <w:r>
        <w:rPr>
          <w:rFonts w:ascii="Times New Roman" w:hAnsi="Times New Roman" w:cs="Times New Roman" w:hint="eastAsia"/>
          <w:snapToGrid/>
          <w:color w:val="auto"/>
          <w:lang w:eastAsia="zh-CN" w:bidi="ar"/>
        </w:rPr>
        <w:t>。</w:t>
      </w:r>
    </w:p>
    <w:p w14:paraId="5F07F801" w14:textId="77777777" w:rsidR="003162D1" w:rsidRDefault="003162D1">
      <w:pPr>
        <w:pStyle w:val="a5"/>
        <w:ind w:firstLine="200"/>
        <w:jc w:val="both"/>
        <w:rPr>
          <w:rFonts w:ascii="Times New Roman" w:hAnsi="Times New Roman" w:cs="Times New Roman"/>
          <w:snapToGrid/>
          <w:color w:val="auto"/>
          <w:lang w:eastAsia="zh-CN" w:bidi="ar"/>
        </w:rPr>
      </w:pPr>
    </w:p>
    <w:p w14:paraId="4FC23161" w14:textId="77777777" w:rsidR="003162D1" w:rsidRDefault="00FF0CC3">
      <w:pPr>
        <w:pStyle w:val="a5"/>
        <w:spacing w:before="98" w:line="213" w:lineRule="auto"/>
        <w:outlineLvl w:val="0"/>
        <w:rPr>
          <w:rFonts w:ascii="Times New Roman" w:hAnsi="Times New Roman" w:cs="Times New Roman"/>
          <w:b/>
          <w:bCs/>
          <w:snapToGrid/>
          <w:color w:val="auto"/>
          <w:sz w:val="24"/>
          <w:szCs w:val="24"/>
          <w:lang w:eastAsia="zh-CN" w:bidi="ar"/>
        </w:rPr>
      </w:pPr>
      <w:r>
        <w:rPr>
          <w:rFonts w:ascii="Times New Roman" w:hAnsi="Times New Roman" w:cs="Times New Roman"/>
          <w:b/>
          <w:bCs/>
          <w:snapToGrid/>
          <w:color w:val="auto"/>
          <w:sz w:val="24"/>
          <w:szCs w:val="24"/>
          <w:lang w:eastAsia="zh-CN" w:bidi="ar"/>
        </w:rPr>
        <w:t xml:space="preserve">3  </w:t>
      </w:r>
      <w:r>
        <w:rPr>
          <w:rFonts w:hint="eastAsia"/>
          <w:b/>
          <w:bCs/>
          <w:sz w:val="24"/>
          <w:szCs w:val="24"/>
          <w:lang w:eastAsia="zh-CN"/>
        </w:rPr>
        <w:t>参数优化与性能分析</w:t>
      </w:r>
    </w:p>
    <w:p w14:paraId="3CE72BE9" w14:textId="77777777" w:rsidR="003162D1" w:rsidRDefault="00FF0CC3">
      <w:pPr>
        <w:pStyle w:val="a5"/>
        <w:spacing w:before="69"/>
        <w:rPr>
          <w:rFonts w:ascii="Times New Roman" w:hAnsi="Times New Roman" w:cs="Times New Roman"/>
          <w:b/>
          <w:bCs/>
          <w:snapToGrid/>
          <w:color w:val="auto"/>
          <w:sz w:val="15"/>
          <w:szCs w:val="15"/>
          <w:lang w:eastAsia="zh-CN" w:bidi="ar"/>
        </w:rPr>
      </w:pPr>
      <w:r>
        <w:rPr>
          <w:rFonts w:ascii="Times New Roman" w:hAnsi="Times New Roman" w:cs="Times New Roman"/>
          <w:b/>
          <w:bCs/>
          <w:lang w:eastAsia="zh-CN"/>
        </w:rPr>
        <w:t>3.1</w:t>
      </w:r>
      <w:r>
        <w:rPr>
          <w:rFonts w:hint="eastAsia"/>
          <w:b/>
          <w:bCs/>
          <w:sz w:val="14"/>
          <w:szCs w:val="14"/>
          <w:lang w:eastAsia="zh-CN"/>
        </w:rPr>
        <w:t> </w:t>
      </w:r>
      <w:r>
        <w:rPr>
          <w:rFonts w:hint="eastAsia"/>
          <w:b/>
          <w:bCs/>
          <w:lang w:eastAsia="zh-CN"/>
        </w:rPr>
        <w:t>关键几何参数优化</w:t>
      </w:r>
    </w:p>
    <w:p w14:paraId="6A71B003" w14:textId="77777777" w:rsidR="003162D1" w:rsidRDefault="00FF0CC3">
      <w:pPr>
        <w:pStyle w:val="ac"/>
        <w:spacing w:beforeAutospacing="0" w:afterAutospacing="0"/>
        <w:ind w:firstLineChars="200" w:firstLine="420"/>
        <w:jc w:val="both"/>
        <w:rPr>
          <w:rFonts w:ascii="Times New Roman" w:eastAsia="宋体" w:hAnsi="Times New Roman"/>
          <w:snapToGrid/>
          <w:color w:val="auto"/>
          <w:sz w:val="21"/>
          <w:lang w:bidi="ar"/>
        </w:rPr>
      </w:pPr>
      <w:r>
        <w:rPr>
          <w:rFonts w:ascii="Times New Roman" w:eastAsia="宋体" w:hAnsi="Times New Roman"/>
          <w:snapToGrid/>
          <w:color w:val="auto"/>
          <w:sz w:val="21"/>
          <w:lang w:bidi="ar"/>
        </w:rPr>
        <w:t>本文基于文献</w:t>
      </w:r>
      <w:r>
        <w:rPr>
          <w:rFonts w:ascii="Times New Roman" w:eastAsia="宋体" w:hAnsi="Times New Roman"/>
          <w:snapToGrid/>
          <w:color w:val="auto"/>
          <w:sz w:val="21"/>
          <w:lang w:bidi="ar"/>
        </w:rPr>
        <w:t>[20]</w:t>
      </w:r>
      <w:r>
        <w:rPr>
          <w:rFonts w:ascii="Times New Roman" w:eastAsia="宋体" w:hAnsi="Times New Roman"/>
          <w:snapToGrid/>
          <w:color w:val="auto"/>
          <w:sz w:val="21"/>
          <w:lang w:bidi="ar"/>
        </w:rPr>
        <w:t>所提供的基础模型及优化参数，该模型为实现最小化损耗给出了初步的结构设定。初始阶段，将内、外圆环直径</w:t>
      </w:r>
      <w:r>
        <w:rPr>
          <w:rFonts w:ascii="Times New Roman" w:eastAsia="宋体" w:hAnsi="Times New Roman"/>
          <w:snapToGrid/>
          <w:color w:val="auto"/>
          <w:sz w:val="21"/>
          <w:lang w:bidi="ar"/>
        </w:rPr>
        <w:t>d₁</w:t>
      </w:r>
      <w:r>
        <w:rPr>
          <w:rFonts w:ascii="Times New Roman" w:eastAsia="宋体" w:hAnsi="Times New Roman"/>
          <w:snapToGrid/>
          <w:color w:val="auto"/>
          <w:sz w:val="21"/>
          <w:lang w:bidi="ar"/>
        </w:rPr>
        <w:t>、</w:t>
      </w:r>
      <w:r>
        <w:rPr>
          <w:rFonts w:ascii="Times New Roman" w:eastAsia="宋体" w:hAnsi="Times New Roman"/>
          <w:snapToGrid/>
          <w:color w:val="auto"/>
          <w:sz w:val="21"/>
          <w:lang w:bidi="ar"/>
        </w:rPr>
        <w:t>d₂</w:t>
      </w:r>
      <w:r>
        <w:rPr>
          <w:rFonts w:ascii="Times New Roman" w:eastAsia="宋体" w:hAnsi="Times New Roman"/>
          <w:snapToGrid/>
          <w:color w:val="auto"/>
          <w:sz w:val="21"/>
          <w:lang w:bidi="ar"/>
        </w:rPr>
        <w:t>与圆环壁厚</w:t>
      </w:r>
      <w:r>
        <w:rPr>
          <w:rFonts w:ascii="Times New Roman" w:eastAsia="宋体" w:hAnsi="Times New Roman"/>
          <w:snapToGrid/>
          <w:color w:val="auto"/>
          <w:sz w:val="21"/>
          <w:lang w:bidi="ar"/>
        </w:rPr>
        <w:t>t₂</w:t>
      </w:r>
      <w:r>
        <w:rPr>
          <w:rFonts w:ascii="Times New Roman" w:eastAsia="宋体" w:hAnsi="Times New Roman"/>
          <w:snapToGrid/>
          <w:color w:val="auto"/>
          <w:sz w:val="21"/>
          <w:lang w:bidi="ar"/>
        </w:rPr>
        <w:t>分别固定为</w:t>
      </w:r>
      <w:r>
        <w:rPr>
          <w:rFonts w:ascii="Times New Roman" w:eastAsia="宋体" w:hAnsi="Times New Roman"/>
          <w:snapToGrid/>
          <w:color w:val="auto"/>
          <w:sz w:val="21"/>
          <w:lang w:bidi="ar"/>
        </w:rPr>
        <w:t>2.6 mm</w:t>
      </w:r>
      <w:r>
        <w:rPr>
          <w:rFonts w:ascii="Times New Roman" w:eastAsia="宋体" w:hAnsi="Times New Roman"/>
          <w:snapToGrid/>
          <w:color w:val="auto"/>
          <w:sz w:val="21"/>
          <w:lang w:bidi="ar"/>
        </w:rPr>
        <w:t>、</w:t>
      </w:r>
      <w:r>
        <w:rPr>
          <w:rFonts w:ascii="Times New Roman" w:eastAsia="宋体" w:hAnsi="Times New Roman"/>
          <w:snapToGrid/>
          <w:color w:val="auto"/>
          <w:sz w:val="21"/>
          <w:lang w:bidi="ar"/>
        </w:rPr>
        <w:t>1.3 mm</w:t>
      </w:r>
      <w:r>
        <w:rPr>
          <w:rFonts w:ascii="Times New Roman" w:eastAsia="宋体" w:hAnsi="Times New Roman"/>
          <w:snapToGrid/>
          <w:color w:val="auto"/>
          <w:sz w:val="21"/>
          <w:lang w:bidi="ar"/>
        </w:rPr>
        <w:t>和</w:t>
      </w:r>
      <w:r>
        <w:rPr>
          <w:rFonts w:ascii="Times New Roman" w:eastAsia="宋体" w:hAnsi="Times New Roman"/>
          <w:snapToGrid/>
          <w:color w:val="auto"/>
          <w:sz w:val="21"/>
          <w:lang w:bidi="ar"/>
        </w:rPr>
        <w:t>0.09 mm</w:t>
      </w:r>
      <w:r>
        <w:rPr>
          <w:rFonts w:ascii="Times New Roman" w:eastAsia="宋体" w:hAnsi="Times New Roman"/>
          <w:snapToGrid/>
          <w:color w:val="auto"/>
          <w:sz w:val="21"/>
          <w:lang w:bidi="ar"/>
        </w:rPr>
        <w:t>。为进一步改善传输特性，本文针对包层直径</w:t>
      </w:r>
      <w:r>
        <w:rPr>
          <w:rFonts w:ascii="Times New Roman" w:eastAsia="宋体" w:hAnsi="Times New Roman"/>
          <w:snapToGrid/>
          <w:color w:val="auto"/>
          <w:sz w:val="21"/>
          <w:lang w:bidi="ar"/>
        </w:rPr>
        <w:t xml:space="preserve"> d</w:t>
      </w:r>
      <w:r>
        <w:rPr>
          <w:rFonts w:ascii="Times New Roman" w:eastAsia="宋体" w:hAnsi="Times New Roman"/>
          <w:snapToGrid/>
          <w:color w:val="auto"/>
          <w:sz w:val="21"/>
          <w:lang w:bidi="ar"/>
        </w:rPr>
        <w:t>、板间距</w:t>
      </w:r>
      <w:r>
        <w:rPr>
          <w:rFonts w:ascii="Times New Roman" w:eastAsia="宋体" w:hAnsi="Times New Roman"/>
          <w:snapToGrid/>
          <w:color w:val="auto"/>
          <w:sz w:val="21"/>
          <w:lang w:bidi="ar"/>
        </w:rPr>
        <w:t xml:space="preserve"> D </w:t>
      </w:r>
      <w:r>
        <w:rPr>
          <w:rFonts w:ascii="Times New Roman" w:eastAsia="宋体" w:hAnsi="Times New Roman"/>
          <w:snapToGrid/>
          <w:color w:val="auto"/>
          <w:sz w:val="21"/>
          <w:lang w:bidi="ar"/>
        </w:rPr>
        <w:t>与板厚度</w:t>
      </w:r>
      <w:r>
        <w:rPr>
          <w:rFonts w:ascii="Times New Roman" w:eastAsia="宋体" w:hAnsi="Times New Roman"/>
          <w:snapToGrid/>
          <w:color w:val="auto"/>
          <w:sz w:val="21"/>
          <w:lang w:bidi="ar"/>
        </w:rPr>
        <w:t xml:space="preserve"> t</w:t>
      </w:r>
      <w:r>
        <w:rPr>
          <w:rFonts w:ascii="Times New Roman" w:eastAsia="宋体" w:hAnsi="Times New Roman"/>
          <w:snapToGrid/>
          <w:color w:val="auto"/>
          <w:sz w:val="21"/>
          <w:vertAlign w:val="subscript"/>
          <w:lang w:bidi="ar"/>
        </w:rPr>
        <w:t>1</w:t>
      </w:r>
      <w:r>
        <w:rPr>
          <w:rFonts w:ascii="Times New Roman" w:eastAsia="宋体" w:hAnsi="Times New Roman"/>
          <w:snapToGrid/>
          <w:color w:val="auto"/>
          <w:sz w:val="21"/>
          <w:lang w:bidi="ar"/>
        </w:rPr>
        <w:t>进行了系统优化。图</w:t>
      </w:r>
      <w:r>
        <w:rPr>
          <w:rFonts w:ascii="Times New Roman" w:eastAsia="宋体" w:hAnsi="Times New Roman"/>
          <w:snapToGrid/>
          <w:color w:val="auto"/>
          <w:sz w:val="21"/>
          <w:lang w:bidi="ar"/>
        </w:rPr>
        <w:t xml:space="preserve">2(a) </w:t>
      </w:r>
      <w:r>
        <w:rPr>
          <w:rFonts w:ascii="Times New Roman" w:eastAsia="宋体" w:hAnsi="Times New Roman"/>
          <w:snapToGrid/>
          <w:color w:val="auto"/>
          <w:sz w:val="21"/>
          <w:lang w:bidi="ar"/>
        </w:rPr>
        <w:t>与图</w:t>
      </w:r>
      <w:r>
        <w:rPr>
          <w:rFonts w:ascii="Times New Roman" w:eastAsia="宋体" w:hAnsi="Times New Roman"/>
          <w:snapToGrid/>
          <w:color w:val="auto"/>
          <w:sz w:val="21"/>
          <w:lang w:bidi="ar"/>
        </w:rPr>
        <w:t xml:space="preserve">2(b) </w:t>
      </w:r>
      <w:r>
        <w:rPr>
          <w:rFonts w:ascii="Times New Roman" w:eastAsia="宋体" w:hAnsi="Times New Roman"/>
          <w:snapToGrid/>
          <w:color w:val="auto"/>
          <w:sz w:val="21"/>
          <w:lang w:bidi="ar"/>
        </w:rPr>
        <w:t>分别</w:t>
      </w:r>
      <w:r>
        <w:rPr>
          <w:rFonts w:ascii="Times New Roman" w:eastAsia="宋体" w:hAnsi="Times New Roman" w:hint="eastAsia"/>
          <w:snapToGrid/>
          <w:color w:val="auto"/>
          <w:sz w:val="21"/>
          <w:lang w:bidi="ar"/>
        </w:rPr>
        <w:t>展示了优化前后光纤在损耗与双折射性能方面的对比示意。随着</w:t>
      </w:r>
      <w:r>
        <w:rPr>
          <w:rFonts w:ascii="Times New Roman" w:eastAsia="宋体" w:hAnsi="Times New Roman" w:hint="eastAsia"/>
          <w:snapToGrid/>
          <w:color w:val="auto"/>
          <w:sz w:val="21"/>
          <w:lang w:bidi="ar"/>
        </w:rPr>
        <w:t>D</w:t>
      </w:r>
      <w:r>
        <w:rPr>
          <w:rFonts w:ascii="Times New Roman" w:eastAsia="宋体" w:hAnsi="Times New Roman" w:hint="eastAsia"/>
          <w:snapToGrid/>
          <w:color w:val="auto"/>
          <w:sz w:val="21"/>
          <w:lang w:bidi="ar"/>
        </w:rPr>
        <w:t>逐渐增大，光纤的总损耗、材料损耗与限制损耗均呈下降趋势，同时双折射值也逐渐减小。这一变化规律与结构的几何对称性密切相关：当板间距较大时，光纤结构趋于对称，</w:t>
      </w:r>
      <w:r>
        <w:rPr>
          <w:rFonts w:ascii="Times New Roman" w:eastAsia="宋体" w:hAnsi="Times New Roman"/>
          <w:snapToGrid/>
          <w:color w:val="auto"/>
          <w:sz w:val="21"/>
          <w:highlight w:val="yellow"/>
          <w:lang w:bidi="ar"/>
        </w:rPr>
        <w:t>x</w:t>
      </w:r>
      <w:r>
        <w:rPr>
          <w:rFonts w:ascii="Times New Roman" w:eastAsia="宋体" w:hAnsi="Times New Roman" w:hint="eastAsia"/>
          <w:snapToGrid/>
          <w:color w:val="auto"/>
          <w:sz w:val="21"/>
          <w:highlight w:val="yellow"/>
          <w:lang w:bidi="ar"/>
        </w:rPr>
        <w:t>与</w:t>
      </w:r>
      <w:r>
        <w:rPr>
          <w:rFonts w:ascii="Times New Roman" w:eastAsia="宋体" w:hAnsi="Times New Roman"/>
          <w:snapToGrid/>
          <w:color w:val="auto"/>
          <w:sz w:val="21"/>
          <w:highlight w:val="yellow"/>
          <w:lang w:bidi="ar"/>
        </w:rPr>
        <w:t>y</w:t>
      </w:r>
      <w:r>
        <w:rPr>
          <w:rFonts w:ascii="Times New Roman" w:eastAsia="宋体" w:hAnsi="Times New Roman" w:hint="eastAsia"/>
          <w:snapToGrid/>
          <w:color w:val="auto"/>
          <w:sz w:val="21"/>
          <w:highlight w:val="yellow"/>
          <w:lang w:bidi="ar"/>
        </w:rPr>
        <w:t>偏振方向</w:t>
      </w:r>
      <w:r>
        <w:rPr>
          <w:rFonts w:ascii="Times New Roman" w:eastAsia="宋体" w:hAnsi="Times New Roman" w:hint="eastAsia"/>
          <w:snapToGrid/>
          <w:color w:val="auto"/>
          <w:sz w:val="21"/>
          <w:lang w:bidi="ar"/>
        </w:rPr>
        <w:t>的模式分布差异减弱，导致双折射下降；同时，光场在空芯区域分布更为均匀，模式能量主要被限制在中心区域，包层泄漏减弱，从而有效降低了限制损耗。然而，随着板间距进一步减小，结构的不对称性显著增强，两侧直板对光场的约束作用变强，使模式场在纤芯内产生压缩效应。这种压缩一方面增大了</w:t>
      </w:r>
      <w:r>
        <w:rPr>
          <w:rFonts w:ascii="Times New Roman" w:eastAsia="宋体" w:hAnsi="Times New Roman"/>
          <w:snapToGrid/>
          <w:color w:val="auto"/>
          <w:sz w:val="21"/>
          <w:highlight w:val="yellow"/>
          <w:lang w:bidi="ar"/>
        </w:rPr>
        <w:t>x</w:t>
      </w:r>
      <w:r>
        <w:rPr>
          <w:rFonts w:ascii="Times New Roman" w:eastAsia="宋体" w:hAnsi="Times New Roman" w:hint="eastAsia"/>
          <w:snapToGrid/>
          <w:color w:val="auto"/>
          <w:sz w:val="21"/>
          <w:highlight w:val="yellow"/>
          <w:lang w:bidi="ar"/>
        </w:rPr>
        <w:t>与</w:t>
      </w:r>
      <w:r>
        <w:rPr>
          <w:rFonts w:ascii="Times New Roman" w:eastAsia="宋体" w:hAnsi="Times New Roman"/>
          <w:snapToGrid/>
          <w:color w:val="auto"/>
          <w:sz w:val="21"/>
          <w:highlight w:val="yellow"/>
          <w:lang w:bidi="ar"/>
        </w:rPr>
        <w:t>y</w:t>
      </w:r>
      <w:r>
        <w:rPr>
          <w:rFonts w:ascii="Times New Roman" w:eastAsia="宋体" w:hAnsi="Times New Roman" w:hint="eastAsia"/>
          <w:snapToGrid/>
          <w:color w:val="auto"/>
          <w:sz w:val="21"/>
          <w:highlight w:val="yellow"/>
          <w:lang w:bidi="ar"/>
        </w:rPr>
        <w:t>偏振模式</w:t>
      </w:r>
      <w:r>
        <w:rPr>
          <w:rFonts w:ascii="Times New Roman" w:eastAsia="宋体" w:hAnsi="Times New Roman" w:hint="eastAsia"/>
          <w:snapToGrid/>
          <w:color w:val="auto"/>
          <w:sz w:val="21"/>
          <w:lang w:bidi="ar"/>
        </w:rPr>
        <w:t>的</w:t>
      </w:r>
      <w:r>
        <w:rPr>
          <w:rFonts w:ascii="Times New Roman" w:eastAsia="宋体" w:hAnsi="Times New Roman" w:hint="eastAsia"/>
          <w:snapToGrid/>
          <w:color w:val="auto"/>
          <w:sz w:val="21"/>
          <w:lang w:bidi="ar"/>
        </w:rPr>
        <w:t>分离度，从而提升双折射性能；另一方面，光场更靠近包层壁面，导致部分能量泄露至</w:t>
      </w:r>
      <w:r>
        <w:rPr>
          <w:rFonts w:ascii="Times New Roman" w:eastAsia="宋体" w:hAnsi="Times New Roman"/>
          <w:snapToGrid/>
          <w:color w:val="auto"/>
          <w:sz w:val="21"/>
          <w:lang w:bidi="ar"/>
        </w:rPr>
        <w:t>Topas</w:t>
      </w:r>
      <w:r>
        <w:rPr>
          <w:rFonts w:ascii="Times New Roman" w:eastAsia="宋体" w:hAnsi="Times New Roman" w:hint="eastAsia"/>
          <w:snapToGrid/>
          <w:color w:val="auto"/>
          <w:sz w:val="21"/>
          <w:lang w:bidi="ar"/>
        </w:rPr>
        <w:t>材料中，引起材料吸收损耗与限制损耗显著上升，最终造成总损耗增加。因此，板间距</w:t>
      </w:r>
      <w:r>
        <w:rPr>
          <w:rFonts w:ascii="Times New Roman" w:eastAsia="宋体" w:hAnsi="Times New Roman"/>
          <w:snapToGrid/>
          <w:color w:val="auto"/>
          <w:sz w:val="21"/>
          <w:lang w:bidi="ar"/>
        </w:rPr>
        <w:t>D</w:t>
      </w:r>
      <w:r>
        <w:rPr>
          <w:rFonts w:ascii="Times New Roman" w:eastAsia="宋体" w:hAnsi="Times New Roman" w:hint="eastAsia"/>
          <w:snapToGrid/>
          <w:color w:val="auto"/>
          <w:sz w:val="21"/>
          <w:lang w:bidi="ar"/>
        </w:rPr>
        <w:t>在光纤设计中需谨慎控制：过大将削弱双折射，过小则会引入额外损耗。</w:t>
      </w:r>
    </w:p>
    <w:p w14:paraId="22C25893" w14:textId="77777777" w:rsidR="003162D1" w:rsidRDefault="00FF0CC3">
      <w:pPr>
        <w:pStyle w:val="ac"/>
        <w:spacing w:beforeAutospacing="0" w:afterAutospacing="0"/>
        <w:ind w:firstLineChars="200" w:firstLine="420"/>
        <w:jc w:val="both"/>
        <w:rPr>
          <w:rFonts w:ascii="Times New Roman" w:eastAsia="宋体" w:hAnsi="Times New Roman"/>
          <w:snapToGrid/>
          <w:color w:val="auto"/>
          <w:sz w:val="21"/>
          <w:lang w:bidi="ar"/>
        </w:rPr>
      </w:pPr>
      <w:r>
        <w:rPr>
          <w:rFonts w:ascii="Times New Roman" w:eastAsia="宋体" w:hAnsi="Times New Roman" w:hint="eastAsia"/>
          <w:snapToGrid/>
          <w:color w:val="auto"/>
          <w:sz w:val="21"/>
          <w:lang w:bidi="ar"/>
        </w:rPr>
        <w:t>综合分析表明，合理调控板间距</w:t>
      </w:r>
      <w:r>
        <w:rPr>
          <w:rFonts w:ascii="Times New Roman" w:eastAsia="宋体" w:hAnsi="Times New Roman"/>
          <w:snapToGrid/>
          <w:color w:val="auto"/>
          <w:sz w:val="21"/>
          <w:lang w:bidi="ar"/>
        </w:rPr>
        <w:t>D</w:t>
      </w:r>
      <w:r>
        <w:rPr>
          <w:rFonts w:ascii="Times New Roman" w:eastAsia="宋体" w:hAnsi="Times New Roman" w:hint="eastAsia"/>
          <w:snapToGrid/>
          <w:color w:val="auto"/>
          <w:sz w:val="21"/>
          <w:lang w:bidi="ar"/>
        </w:rPr>
        <w:t>可在低损耗与高双折射之间实现最佳平衡。通过优化</w:t>
      </w:r>
      <w:r>
        <w:rPr>
          <w:rFonts w:ascii="Times New Roman" w:eastAsia="宋体" w:hAnsi="Times New Roman"/>
          <w:snapToGrid/>
          <w:color w:val="auto"/>
          <w:sz w:val="21"/>
          <w:lang w:bidi="ar"/>
        </w:rPr>
        <w:t>D</w:t>
      </w:r>
      <w:r>
        <w:rPr>
          <w:rFonts w:ascii="Times New Roman" w:eastAsia="宋体" w:hAnsi="Times New Roman" w:hint="eastAsia"/>
          <w:snapToGrid/>
          <w:color w:val="auto"/>
          <w:sz w:val="21"/>
          <w:lang w:bidi="ar"/>
        </w:rPr>
        <w:t>参数，使结构在反谐振条件下保持强约束效应，同时避免光场过度耦合至包层区域，能够显著改善光场的局域性与偏振保持特性。该结果为后续参数优化与器件性能提升提供了重要设计依据，也验证了本文所提双直板结构在几何可调</w:t>
      </w:r>
      <w:r>
        <w:rPr>
          <w:rFonts w:ascii="Times New Roman" w:eastAsia="宋体" w:hAnsi="Times New Roman" w:hint="eastAsia"/>
          <w:snapToGrid/>
          <w:color w:val="auto"/>
          <w:sz w:val="21"/>
          <w:lang w:bidi="ar"/>
        </w:rPr>
        <w:t>性方面的灵活优势。</w:t>
      </w:r>
    </w:p>
    <w:p w14:paraId="3E237AA4" w14:textId="6DE70929" w:rsidR="003162D1" w:rsidRDefault="00FF0CC3">
      <w:pPr>
        <w:pStyle w:val="ac"/>
        <w:spacing w:beforeAutospacing="0" w:afterAutospacing="0"/>
        <w:ind w:firstLineChars="200" w:firstLine="420"/>
        <w:jc w:val="both"/>
        <w:rPr>
          <w:rFonts w:ascii="Times New Roman" w:hAnsi="Times New Roman"/>
          <w:snapToGrid/>
          <w:color w:val="auto"/>
          <w:sz w:val="21"/>
          <w:lang w:bidi="ar"/>
        </w:rPr>
      </w:pPr>
      <w:r>
        <w:rPr>
          <w:rFonts w:ascii="Times New Roman" w:eastAsia="宋体" w:hAnsi="Times New Roman" w:hint="eastAsia"/>
          <w:snapToGrid/>
          <w:color w:val="auto"/>
          <w:sz w:val="21"/>
          <w:lang w:bidi="ar"/>
        </w:rPr>
        <w:t>为避免模式场畸变并维持较高的双折射水平，本文最终确定最优板间距</w:t>
      </w:r>
      <w:r>
        <w:rPr>
          <w:rFonts w:ascii="Times New Roman" w:eastAsia="宋体" w:hAnsi="Times New Roman"/>
          <w:snapToGrid/>
          <w:color w:val="auto"/>
          <w:sz w:val="21"/>
          <w:lang w:bidi="ar"/>
        </w:rPr>
        <w:t>D</w:t>
      </w:r>
      <w:r>
        <w:rPr>
          <w:rFonts w:ascii="Times New Roman" w:eastAsia="宋体" w:hAnsi="Times New Roman" w:hint="eastAsia"/>
          <w:snapToGrid/>
          <w:color w:val="auto"/>
          <w:sz w:val="21"/>
          <w:lang w:bidi="ar"/>
        </w:rPr>
        <w:t>为</w:t>
      </w:r>
      <w:r>
        <w:rPr>
          <w:rFonts w:ascii="Times New Roman" w:eastAsia="宋体" w:hAnsi="Times New Roman"/>
          <w:snapToGrid/>
          <w:color w:val="auto"/>
          <w:sz w:val="21"/>
          <w:lang w:bidi="ar"/>
        </w:rPr>
        <w:t>1.0 mm</w:t>
      </w:r>
      <w:r>
        <w:rPr>
          <w:rFonts w:ascii="Times New Roman" w:eastAsia="宋体" w:hAnsi="Times New Roman" w:hint="eastAsia"/>
          <w:snapToGrid/>
          <w:color w:val="auto"/>
          <w:sz w:val="21"/>
          <w:lang w:bidi="ar"/>
        </w:rPr>
        <w:t>，包层直径</w:t>
      </w:r>
      <w:r>
        <w:rPr>
          <w:rFonts w:ascii="Times New Roman" w:eastAsia="宋体" w:hAnsi="Times New Roman"/>
          <w:snapToGrid/>
          <w:color w:val="auto"/>
          <w:sz w:val="21"/>
          <w:lang w:bidi="ar"/>
        </w:rPr>
        <w:t>d</w:t>
      </w:r>
      <w:r>
        <w:rPr>
          <w:rFonts w:ascii="Times New Roman" w:eastAsia="宋体" w:hAnsi="Times New Roman" w:hint="eastAsia"/>
          <w:snapToGrid/>
          <w:color w:val="auto"/>
          <w:sz w:val="21"/>
          <w:lang w:bidi="ar"/>
        </w:rPr>
        <w:t>为</w:t>
      </w:r>
      <w:r>
        <w:rPr>
          <w:rFonts w:ascii="Times New Roman" w:eastAsia="宋体" w:hAnsi="Times New Roman"/>
          <w:snapToGrid/>
          <w:color w:val="auto"/>
          <w:sz w:val="21"/>
          <w:lang w:bidi="ar"/>
        </w:rPr>
        <w:t>8.2 mm</w:t>
      </w:r>
      <w:r>
        <w:rPr>
          <w:rFonts w:ascii="Times New Roman" w:eastAsia="宋体" w:hAnsi="Times New Roman" w:hint="eastAsia"/>
          <w:snapToGrid/>
          <w:color w:val="auto"/>
          <w:sz w:val="21"/>
          <w:lang w:bidi="ar"/>
        </w:rPr>
        <w:t>。</w:t>
      </w:r>
      <w:r>
        <w:rPr>
          <w:rFonts w:ascii="Times New Roman" w:eastAsia="宋体" w:hAnsi="Times New Roman" w:hint="eastAsia"/>
          <w:snapToGrid/>
          <w:color w:val="auto"/>
          <w:sz w:val="21"/>
          <w:lang w:bidi="ar"/>
        </w:rPr>
        <w:t>随着</w:t>
      </w:r>
      <w:r>
        <w:rPr>
          <w:rFonts w:ascii="Times New Roman" w:eastAsia="宋体" w:hAnsi="Times New Roman" w:hint="eastAsia"/>
          <w:snapToGrid/>
          <w:color w:val="auto"/>
          <w:sz w:val="21"/>
          <w:highlight w:val="yellow"/>
          <w:lang w:bidi="ar"/>
        </w:rPr>
        <w:t>板厚度</w:t>
      </w:r>
      <w:r>
        <w:rPr>
          <w:rFonts w:ascii="Times New Roman" w:eastAsia="宋体" w:hAnsi="Times New Roman"/>
          <w:snapToGrid/>
          <w:color w:val="auto"/>
          <w:sz w:val="21"/>
          <w:highlight w:val="yellow"/>
          <w:lang w:bidi="ar"/>
        </w:rPr>
        <w:t>t₁</w:t>
      </w:r>
      <w:r>
        <w:rPr>
          <w:rFonts w:ascii="Times New Roman" w:eastAsia="宋体" w:hAnsi="Times New Roman" w:hint="eastAsia"/>
          <w:snapToGrid/>
          <w:color w:val="auto"/>
          <w:sz w:val="21"/>
          <w:highlight w:val="yellow"/>
          <w:lang w:bidi="ar"/>
        </w:rPr>
        <w:t>的增加，</w:t>
      </w:r>
      <w:r>
        <w:rPr>
          <w:rFonts w:ascii="Times New Roman" w:eastAsia="宋体" w:hAnsi="Times New Roman" w:hint="eastAsia"/>
          <w:snapToGrid/>
          <w:color w:val="auto"/>
          <w:sz w:val="21"/>
          <w:lang w:bidi="ar"/>
        </w:rPr>
        <w:t>总</w:t>
      </w:r>
      <w:r>
        <w:rPr>
          <w:rFonts w:ascii="Times New Roman" w:eastAsia="宋体" w:hAnsi="Times New Roman" w:hint="eastAsia"/>
          <w:snapToGrid/>
          <w:color w:val="auto"/>
          <w:sz w:val="21"/>
          <w:lang w:bidi="ar"/>
        </w:rPr>
        <w:t>损耗与双折射均呈现上升趋势。仿真结果表明，当</w:t>
      </w:r>
      <w:r>
        <w:rPr>
          <w:rFonts w:ascii="Times New Roman" w:eastAsia="宋体" w:hAnsi="Times New Roman"/>
          <w:snapToGrid/>
          <w:color w:val="auto"/>
          <w:sz w:val="21"/>
          <w:lang w:bidi="ar"/>
        </w:rPr>
        <w:t>t₁</w:t>
      </w:r>
      <w:r>
        <w:rPr>
          <w:rFonts w:ascii="Times New Roman" w:eastAsia="宋体" w:hAnsi="Times New Roman" w:hint="eastAsia"/>
          <w:snapToGrid/>
          <w:color w:val="auto"/>
          <w:sz w:val="21"/>
          <w:lang w:bidi="ar"/>
        </w:rPr>
        <w:t>达到</w:t>
      </w:r>
      <w:r>
        <w:rPr>
          <w:rFonts w:ascii="Times New Roman" w:eastAsia="宋体" w:hAnsi="Times New Roman"/>
          <w:snapToGrid/>
          <w:color w:val="auto"/>
          <w:sz w:val="21"/>
          <w:lang w:bidi="ar"/>
        </w:rPr>
        <w:t>0.12 mm</w:t>
      </w:r>
      <w:r>
        <w:rPr>
          <w:rFonts w:ascii="Times New Roman" w:eastAsia="宋体" w:hAnsi="Times New Roman" w:hint="eastAsia"/>
          <w:snapToGrid/>
          <w:color w:val="auto"/>
          <w:sz w:val="21"/>
          <w:lang w:bidi="ar"/>
        </w:rPr>
        <w:t>时，光纤双折射取得最佳值，其峰值为</w:t>
      </w:r>
      <w:r>
        <w:rPr>
          <w:rFonts w:ascii="Times New Roman" w:eastAsia="宋体" w:hAnsi="Times New Roman"/>
          <w:snapToGrid/>
          <w:color w:val="auto"/>
          <w:sz w:val="21"/>
          <w:lang w:bidi="ar"/>
        </w:rPr>
        <w:t xml:space="preserve"> 4.5</w:t>
      </w:r>
      <w:r>
        <w:rPr>
          <w:rFonts w:ascii="Times New Roman" w:eastAsia="宋体" w:hAnsi="Times New Roman" w:hint="eastAsia"/>
          <w:snapToGrid/>
          <w:color w:val="auto"/>
          <w:sz w:val="21"/>
          <w:lang w:bidi="ar"/>
        </w:rPr>
        <w:t>×</w:t>
      </w:r>
      <w:r>
        <w:rPr>
          <w:rFonts w:ascii="Times New Roman" w:eastAsia="宋体" w:hAnsi="Times New Roman"/>
          <w:snapToGrid/>
          <w:color w:val="auto"/>
          <w:sz w:val="21"/>
          <w:lang w:bidi="ar"/>
        </w:rPr>
        <w:t>10</w:t>
      </w:r>
      <w:r>
        <w:rPr>
          <w:rFonts w:ascii="Times New Roman" w:eastAsia="宋体" w:hAnsi="Times New Roman"/>
          <w:snapToGrid/>
          <w:color w:val="auto"/>
          <w:sz w:val="21"/>
          <w:vertAlign w:val="superscript"/>
          <w:lang w:bidi="ar"/>
        </w:rPr>
        <w:t>−</w:t>
      </w:r>
      <w:r>
        <w:rPr>
          <w:rFonts w:ascii="Times New Roman" w:eastAsia="宋体" w:hAnsi="Times New Roman"/>
          <w:snapToGrid/>
          <w:color w:val="auto"/>
          <w:sz w:val="21"/>
          <w:vertAlign w:val="superscript"/>
          <w:lang w:bidi="ar"/>
        </w:rPr>
        <w:t>4</w:t>
      </w:r>
      <w:r>
        <w:rPr>
          <w:rFonts w:ascii="Times New Roman" w:eastAsia="宋体" w:hAnsi="Times New Roman" w:hint="eastAsia"/>
          <w:snapToGrid/>
          <w:color w:val="auto"/>
          <w:sz w:val="21"/>
          <w:lang w:bidi="ar"/>
        </w:rPr>
        <w:t>，总损耗分别为</w:t>
      </w:r>
      <w:r>
        <w:rPr>
          <w:rFonts w:ascii="Times New Roman" w:eastAsia="宋体" w:hAnsi="Times New Roman"/>
          <w:snapToGrid/>
          <w:color w:val="auto"/>
          <w:sz w:val="21"/>
          <w:lang w:bidi="ar"/>
        </w:rPr>
        <w:t>1.7 dB/m</w:t>
      </w:r>
      <w:r>
        <w:rPr>
          <w:rFonts w:ascii="Times New Roman" w:eastAsia="宋体" w:hAnsi="Times New Roman" w:hint="eastAsia"/>
          <w:snapToGrid/>
          <w:color w:val="auto"/>
          <w:sz w:val="21"/>
          <w:lang w:bidi="ar"/>
        </w:rPr>
        <w:t>（</w:t>
      </w:r>
      <w:r>
        <w:rPr>
          <w:rFonts w:ascii="Times New Roman" w:eastAsia="宋体" w:hAnsi="Times New Roman"/>
          <w:snapToGrid/>
          <w:color w:val="auto"/>
          <w:sz w:val="21"/>
          <w:highlight w:val="yellow"/>
          <w:lang w:bidi="ar"/>
        </w:rPr>
        <w:t>x</w:t>
      </w:r>
      <w:r>
        <w:rPr>
          <w:rFonts w:ascii="Times New Roman" w:eastAsia="宋体" w:hAnsi="Times New Roman" w:hint="eastAsia"/>
          <w:snapToGrid/>
          <w:color w:val="auto"/>
          <w:sz w:val="21"/>
          <w:highlight w:val="yellow"/>
          <w:lang w:bidi="ar"/>
        </w:rPr>
        <w:t>偏振）和</w:t>
      </w:r>
      <w:r>
        <w:rPr>
          <w:rFonts w:ascii="Times New Roman" w:eastAsia="宋体" w:hAnsi="Times New Roman"/>
          <w:snapToGrid/>
          <w:color w:val="auto"/>
          <w:sz w:val="21"/>
          <w:highlight w:val="yellow"/>
          <w:lang w:bidi="ar"/>
        </w:rPr>
        <w:t>1.2 dB/m</w:t>
      </w:r>
      <w:r>
        <w:rPr>
          <w:rFonts w:ascii="Times New Roman" w:eastAsia="宋体" w:hAnsi="Times New Roman" w:hint="eastAsia"/>
          <w:snapToGrid/>
          <w:color w:val="auto"/>
          <w:sz w:val="21"/>
          <w:highlight w:val="yellow"/>
          <w:lang w:bidi="ar"/>
        </w:rPr>
        <w:t>（</w:t>
      </w:r>
      <w:r>
        <w:rPr>
          <w:rFonts w:ascii="Times New Roman" w:eastAsia="宋体" w:hAnsi="Times New Roman"/>
          <w:snapToGrid/>
          <w:color w:val="auto"/>
          <w:sz w:val="21"/>
          <w:highlight w:val="yellow"/>
          <w:lang w:bidi="ar"/>
        </w:rPr>
        <w:t>y</w:t>
      </w:r>
      <w:r>
        <w:rPr>
          <w:rFonts w:ascii="Times New Roman" w:eastAsia="宋体" w:hAnsi="Times New Roman" w:hint="eastAsia"/>
          <w:snapToGrid/>
          <w:color w:val="auto"/>
          <w:sz w:val="21"/>
          <w:highlight w:val="yellow"/>
          <w:lang w:bidi="ar"/>
        </w:rPr>
        <w:t>偏振）</w:t>
      </w:r>
      <w:r>
        <w:rPr>
          <w:rFonts w:ascii="Times New Roman" w:eastAsia="宋体" w:hAnsi="Times New Roman" w:hint="eastAsia"/>
          <w:snapToGrid/>
          <w:color w:val="auto"/>
          <w:sz w:val="21"/>
          <w:lang w:bidi="ar"/>
        </w:rPr>
        <w:t>。板厚度</w:t>
      </w:r>
      <w:r>
        <w:rPr>
          <w:rFonts w:ascii="Times New Roman" w:eastAsia="宋体" w:hAnsi="Times New Roman"/>
          <w:snapToGrid/>
          <w:color w:val="auto"/>
          <w:sz w:val="21"/>
          <w:lang w:bidi="ar"/>
        </w:rPr>
        <w:t>t₁</w:t>
      </w:r>
      <w:r>
        <w:rPr>
          <w:rFonts w:ascii="Times New Roman" w:eastAsia="宋体" w:hAnsi="Times New Roman" w:hint="eastAsia"/>
          <w:snapToGrid/>
          <w:color w:val="auto"/>
          <w:sz w:val="21"/>
          <w:lang w:bidi="ar"/>
        </w:rPr>
        <w:t>的增加会引起结构有效模场变化，导致共振频率向低频偏移，该现象可通过反谐振频率公式</w:t>
      </w:r>
      <w:r>
        <w:rPr>
          <w:rFonts w:ascii="Times New Roman" w:hAnsi="Times New Roman" w:hint="eastAsia"/>
          <w:snapToGrid/>
          <w:color w:val="auto"/>
          <w:sz w:val="21"/>
          <w:lang w:bidi="ar"/>
        </w:rPr>
        <w:t>f</w:t>
      </w:r>
      <w:r>
        <w:rPr>
          <w:rFonts w:ascii="Times New Roman" w:hAnsi="Times New Roman"/>
          <w:snapToGrid/>
          <w:color w:val="auto"/>
          <w:sz w:val="21"/>
          <w:vertAlign w:val="subscript"/>
          <w:lang w:bidi="ar"/>
        </w:rPr>
        <w:t>c</w:t>
      </w:r>
      <w:r>
        <w:rPr>
          <w:rFonts w:hint="eastAsia"/>
          <w:snapToGrid/>
          <w:color w:val="auto"/>
          <w:sz w:val="21"/>
          <w:lang w:bidi="ar"/>
        </w:rPr>
        <w:t>≈</w:t>
      </w:r>
      <m:oMath>
        <m:f>
          <m:fPr>
            <m:ctrlPr>
              <w:rPr>
                <w:rFonts w:ascii="Cambria Math" w:eastAsia="Cambria Math" w:hAnsi="Cambria Math"/>
                <w:snapToGrid/>
                <w:color w:val="auto"/>
                <w:sz w:val="21"/>
                <w:lang w:bidi="ar"/>
              </w:rPr>
            </m:ctrlPr>
          </m:fPr>
          <m:num>
            <m:r>
              <m:rPr>
                <m:sty m:val="p"/>
              </m:rPr>
              <w:rPr>
                <w:rFonts w:ascii="Cambria Math" w:eastAsia="Cambria Math" w:hAnsi="Cambria Math"/>
                <w:snapToGrid/>
                <w:color w:val="auto"/>
                <w:sz w:val="21"/>
                <w:lang w:bidi="ar"/>
              </w:rPr>
              <m:t>c</m:t>
            </m:r>
          </m:num>
          <m:den>
            <m:r>
              <m:rPr>
                <m:sty m:val="p"/>
              </m:rPr>
              <w:rPr>
                <w:rFonts w:ascii="Cambria Math" w:eastAsia="Cambria Math" w:hAnsi="Cambria Math"/>
                <w:snapToGrid/>
                <w:color w:val="auto"/>
                <w:sz w:val="21"/>
                <w:lang w:bidi="ar"/>
              </w:rPr>
              <m:t>2</m:t>
            </m:r>
            <m:r>
              <w:rPr>
                <w:rFonts w:ascii="Cambria Math" w:eastAsia="Cambria Math" w:hAnsi="Cambria Math"/>
                <w:snapToGrid/>
                <w:color w:val="auto"/>
                <w:sz w:val="21"/>
                <w:lang w:bidi="ar"/>
              </w:rPr>
              <m:t>t</m:t>
            </m:r>
            <m:rad>
              <m:radPr>
                <m:degHide m:val="1"/>
                <m:ctrlPr>
                  <w:rPr>
                    <w:rFonts w:ascii="Cambria Math" w:eastAsia="Cambria Math" w:hAnsi="Cambria Math"/>
                    <w:i/>
                    <w:snapToGrid/>
                    <w:color w:val="auto"/>
                    <w:sz w:val="21"/>
                    <w:lang w:bidi="ar"/>
                  </w:rPr>
                </m:ctrlPr>
              </m:radPr>
              <m:deg/>
              <m:e>
                <m:sSup>
                  <m:sSupPr>
                    <m:ctrlPr>
                      <w:rPr>
                        <w:rFonts w:ascii="Cambria Math" w:eastAsia="Cambria Math" w:hAnsi="Cambria Math"/>
                        <w:i/>
                        <w:snapToGrid/>
                        <w:color w:val="auto"/>
                        <w:sz w:val="21"/>
                        <w:lang w:bidi="ar"/>
                      </w:rPr>
                    </m:ctrlPr>
                  </m:sSupPr>
                  <m:e>
                    <m:r>
                      <w:rPr>
                        <w:rFonts w:ascii="Cambria Math" w:eastAsia="Cambria Math" w:hAnsi="Cambria Math"/>
                        <w:snapToGrid/>
                        <w:color w:val="auto"/>
                        <w:sz w:val="21"/>
                        <w:lang w:bidi="ar"/>
                      </w:rPr>
                      <m:t>n</m:t>
                    </m:r>
                  </m:e>
                  <m:sup>
                    <m:r>
                      <w:rPr>
                        <w:rFonts w:ascii="Cambria Math" w:eastAsia="Cambria Math" w:hAnsi="Cambria Math"/>
                        <w:snapToGrid/>
                        <w:color w:val="auto"/>
                        <w:sz w:val="21"/>
                        <w:lang w:bidi="ar"/>
                      </w:rPr>
                      <m:t xml:space="preserve">2 </m:t>
                    </m:r>
                  </m:sup>
                </m:sSup>
                <m:r>
                  <w:rPr>
                    <w:rFonts w:ascii="Cambria Math" w:eastAsia="Cambria Math" w:hAnsi="Cambria Math"/>
                    <w:snapToGrid/>
                    <w:color w:val="auto"/>
                    <w:sz w:val="21"/>
                    <w:lang w:bidi="ar"/>
                  </w:rPr>
                  <m:t>-</m:t>
                </m:r>
                <m:r>
                  <w:rPr>
                    <w:rFonts w:ascii="Cambria Math" w:eastAsia="Cambria Math" w:hAnsi="Cambria Math"/>
                    <w:snapToGrid/>
                    <w:color w:val="auto"/>
                    <w:sz w:val="21"/>
                    <w:lang w:bidi="ar"/>
                  </w:rPr>
                  <m:t>1</m:t>
                </m:r>
              </m:e>
            </m:rad>
          </m:den>
        </m:f>
      </m:oMath>
      <w:r>
        <w:rPr>
          <w:rFonts w:ascii="Times New Roman" w:hAnsi="Times New Roman"/>
          <w:snapToGrid/>
          <w:color w:val="auto"/>
          <w:sz w:val="21"/>
          <w:vertAlign w:val="superscript"/>
          <w:lang w:bidi="ar"/>
        </w:rPr>
        <w:t>[28]</w:t>
      </w:r>
      <w:r>
        <w:rPr>
          <w:rFonts w:ascii="Times New Roman" w:hAnsi="Times New Roman"/>
          <w:snapToGrid/>
          <w:color w:val="auto"/>
          <w:sz w:val="21"/>
          <w:lang w:bidi="ar"/>
        </w:rPr>
        <w:t>来进一步验证。</w:t>
      </w:r>
    </w:p>
    <w:p w14:paraId="7224CACE" w14:textId="77777777" w:rsidR="003162D1" w:rsidRDefault="00FF0CC3">
      <w:pPr>
        <w:pStyle w:val="ac"/>
        <w:jc w:val="center"/>
      </w:pPr>
      <w:r>
        <w:object w:dxaOrig="3447" w:dyaOrig="8327" w14:anchorId="2BE01D9D">
          <v:shape id="_x0000_i1027" type="#_x0000_t75" style="width:172.25pt;height:416.55pt" o:ole="">
            <v:imagedata r:id="rId12" o:title=""/>
          </v:shape>
          <o:OLEObject Type="Embed" ProgID="Visio.Drawing.15" ShapeID="_x0000_i1027" DrawAspect="Content" ObjectID="_1823065518" r:id="rId13"/>
        </w:object>
      </w:r>
      <w:r>
        <w:t xml:space="preserve"> </w:t>
      </w:r>
      <w:r>
        <w:object w:dxaOrig="3447" w:dyaOrig="8327" w14:anchorId="364C5FF5">
          <v:shape id="_x0000_i1028" type="#_x0000_t75" style="width:172.25pt;height:416.55pt" o:ole="">
            <v:imagedata r:id="rId14" o:title=""/>
          </v:shape>
          <o:OLEObject Type="Embed" ProgID="Visio.Drawing.15" ShapeID="_x0000_i1028" DrawAspect="Content" ObjectID="_1823065519" r:id="rId15"/>
        </w:object>
      </w:r>
    </w:p>
    <w:p w14:paraId="28ACC69D" w14:textId="77777777" w:rsidR="003162D1" w:rsidRDefault="00FF0CC3">
      <w:pPr>
        <w:pStyle w:val="ac"/>
        <w:spacing w:beforeAutospacing="0" w:afterAutospacing="0"/>
        <w:ind w:firstLineChars="1700" w:firstLine="2560"/>
        <w:rPr>
          <w:rFonts w:ascii="Times New Roman" w:hAnsi="Times New Roman"/>
          <w:b/>
          <w:bCs/>
          <w:color w:val="auto"/>
          <w:sz w:val="15"/>
          <w:szCs w:val="15"/>
        </w:rPr>
      </w:pPr>
      <w:r>
        <w:rPr>
          <w:rFonts w:ascii="Times New Roman" w:eastAsiaTheme="minorEastAsia" w:hAnsi="Times New Roman"/>
          <w:b/>
          <w:sz w:val="15"/>
          <w:szCs w:val="15"/>
        </w:rPr>
        <w:t>(a)</w:t>
      </w:r>
      <w:r>
        <w:rPr>
          <w:rFonts w:asciiTheme="minorEastAsia" w:eastAsiaTheme="minorEastAsia" w:hAnsiTheme="minorEastAsia" w:hint="eastAsia"/>
          <w:b/>
          <w:sz w:val="15"/>
          <w:szCs w:val="15"/>
        </w:rPr>
        <w:t>优化</w:t>
      </w:r>
      <w:r>
        <w:rPr>
          <w:rFonts w:asciiTheme="minorEastAsia" w:eastAsiaTheme="minorEastAsia" w:hAnsiTheme="minorEastAsia"/>
          <w:b/>
          <w:sz w:val="15"/>
          <w:szCs w:val="15"/>
        </w:rPr>
        <w:t>前</w:t>
      </w:r>
      <w:r>
        <w:rPr>
          <w:rFonts w:ascii="Times New Roman" w:eastAsiaTheme="minorEastAsia" w:hAnsi="Times New Roman"/>
          <w:b/>
        </w:rPr>
        <w:t xml:space="preserve">                                                </w:t>
      </w:r>
      <w:r>
        <w:rPr>
          <w:rFonts w:ascii="Times New Roman" w:eastAsiaTheme="minorEastAsia" w:hAnsi="Times New Roman" w:hint="eastAsia"/>
          <w:b/>
          <w:sz w:val="15"/>
          <w:szCs w:val="15"/>
        </w:rPr>
        <w:t>(</w:t>
      </w:r>
      <w:r>
        <w:rPr>
          <w:rFonts w:ascii="Times New Roman" w:eastAsiaTheme="minorEastAsia" w:hAnsi="Times New Roman"/>
          <w:b/>
          <w:sz w:val="15"/>
          <w:szCs w:val="15"/>
        </w:rPr>
        <w:t>b)</w:t>
      </w:r>
      <w:r>
        <w:rPr>
          <w:rFonts w:ascii="Times New Roman" w:eastAsiaTheme="minorEastAsia" w:hAnsi="Times New Roman" w:hint="eastAsia"/>
          <w:b/>
          <w:sz w:val="15"/>
          <w:szCs w:val="15"/>
        </w:rPr>
        <w:t>优化</w:t>
      </w:r>
      <w:r>
        <w:rPr>
          <w:rFonts w:ascii="Times New Roman" w:eastAsiaTheme="minorEastAsia" w:hAnsi="Times New Roman"/>
          <w:b/>
          <w:sz w:val="15"/>
          <w:szCs w:val="15"/>
        </w:rPr>
        <w:t>后</w:t>
      </w:r>
      <w:r>
        <w:rPr>
          <w:rFonts w:ascii="Times New Roman" w:eastAsiaTheme="minorEastAsia" w:hAnsi="Times New Roman"/>
          <w:b/>
          <w:sz w:val="15"/>
          <w:szCs w:val="15"/>
        </w:rPr>
        <w:t xml:space="preserve">   </w:t>
      </w:r>
    </w:p>
    <w:p w14:paraId="77A4B66A" w14:textId="77777777" w:rsidR="003162D1" w:rsidRDefault="00FF0CC3">
      <w:pPr>
        <w:pStyle w:val="ac"/>
        <w:spacing w:beforeAutospacing="0" w:afterAutospacing="0"/>
        <w:ind w:firstLineChars="2000" w:firstLine="3012"/>
        <w:rPr>
          <w:rFonts w:ascii="Times New Roman" w:hAnsi="Times New Roman"/>
          <w:b/>
          <w:bCs/>
          <w:color w:val="auto"/>
          <w:sz w:val="15"/>
          <w:szCs w:val="15"/>
        </w:rPr>
      </w:pPr>
      <w:r>
        <w:rPr>
          <w:rFonts w:asciiTheme="minorEastAsia" w:eastAsiaTheme="minorEastAsia" w:hAnsiTheme="minorEastAsia" w:cs="微软雅黑" w:hint="eastAsia"/>
          <w:b/>
          <w:bCs/>
          <w:color w:val="auto"/>
          <w:sz w:val="15"/>
          <w:szCs w:val="15"/>
        </w:rPr>
        <w:t>图</w:t>
      </w:r>
      <w:r>
        <w:rPr>
          <w:rFonts w:ascii="Times New Roman" w:eastAsiaTheme="minorEastAsia" w:hAnsi="Times New Roman"/>
          <w:b/>
          <w:bCs/>
          <w:color w:val="auto"/>
          <w:sz w:val="15"/>
          <w:szCs w:val="15"/>
        </w:rPr>
        <w:t>2</w:t>
      </w:r>
      <w:r>
        <w:rPr>
          <w:rFonts w:ascii="Times New Roman" w:hAnsi="Times New Roman"/>
          <w:b/>
          <w:bCs/>
          <w:color w:val="auto"/>
          <w:sz w:val="15"/>
          <w:szCs w:val="15"/>
        </w:rPr>
        <w:t xml:space="preserve">  </w:t>
      </w:r>
      <w:r>
        <w:rPr>
          <w:rFonts w:asciiTheme="minorEastAsia" w:eastAsiaTheme="minorEastAsia" w:hAnsiTheme="minorEastAsia" w:cs="微软雅黑" w:hint="eastAsia"/>
          <w:b/>
          <w:bCs/>
          <w:color w:val="auto"/>
          <w:sz w:val="15"/>
          <w:szCs w:val="15"/>
        </w:rPr>
        <w:t>光纤关键结构参数</w:t>
      </w:r>
      <w:r>
        <w:rPr>
          <w:rFonts w:asciiTheme="minorEastAsia" w:eastAsiaTheme="minorEastAsia" w:hAnsiTheme="minorEastAsia" w:hint="eastAsia"/>
          <w:b/>
          <w:bCs/>
          <w:color w:val="auto"/>
          <w:sz w:val="15"/>
          <w:szCs w:val="15"/>
        </w:rPr>
        <w:t>D</w:t>
      </w:r>
      <w:r>
        <w:rPr>
          <w:rFonts w:asciiTheme="minorEastAsia" w:eastAsiaTheme="minorEastAsia" w:hAnsiTheme="minorEastAsia" w:cs="微软雅黑" w:hint="eastAsia"/>
          <w:b/>
          <w:bCs/>
          <w:color w:val="auto"/>
          <w:sz w:val="15"/>
          <w:szCs w:val="15"/>
        </w:rPr>
        <w:t>优化对传输性能的影响</w:t>
      </w:r>
    </w:p>
    <w:p w14:paraId="04F6EF41" w14:textId="77777777" w:rsidR="003162D1" w:rsidRDefault="003162D1">
      <w:pPr>
        <w:pStyle w:val="a5"/>
        <w:ind w:left="1680" w:firstLineChars="550" w:firstLine="828"/>
        <w:rPr>
          <w:rFonts w:ascii="Times New Roman" w:hAnsi="Times New Roman" w:cs="Times New Roman"/>
          <w:b/>
          <w:bCs/>
          <w:color w:val="auto"/>
          <w:sz w:val="15"/>
          <w:szCs w:val="15"/>
          <w:lang w:eastAsia="zh-CN"/>
        </w:rPr>
      </w:pPr>
    </w:p>
    <w:p w14:paraId="10455613" w14:textId="77777777" w:rsidR="003162D1" w:rsidRDefault="00FF0CC3">
      <w:pPr>
        <w:pStyle w:val="a5"/>
        <w:ind w:right="102"/>
        <w:jc w:val="both"/>
        <w:rPr>
          <w:rFonts w:ascii="Times New Roman" w:hAnsi="Times New Roman" w:cs="Times New Roman"/>
          <w:snapToGrid/>
          <w:color w:val="auto"/>
          <w:lang w:eastAsia="zh-CN" w:bidi="ar"/>
        </w:rPr>
      </w:pPr>
      <w:r>
        <w:rPr>
          <w:rFonts w:ascii="Times New Roman" w:hAnsi="Times New Roman" w:cs="Times New Roman"/>
          <w:b/>
          <w:bCs/>
          <w:lang w:eastAsia="zh-CN"/>
        </w:rPr>
        <w:t>3.2</w:t>
      </w:r>
      <w:r>
        <w:rPr>
          <w:b/>
          <w:bCs/>
          <w:sz w:val="14"/>
          <w:szCs w:val="14"/>
          <w:lang w:eastAsia="zh-CN"/>
        </w:rPr>
        <w:t xml:space="preserve"> </w:t>
      </w:r>
      <w:r>
        <w:rPr>
          <w:rFonts w:hint="eastAsia"/>
          <w:b/>
          <w:bCs/>
          <w:lang w:eastAsia="zh-CN"/>
        </w:rPr>
        <w:t>宽带传输性能</w:t>
      </w:r>
    </w:p>
    <w:p w14:paraId="3D7A106C" w14:textId="77777777" w:rsidR="003162D1" w:rsidRDefault="00FF0CC3">
      <w:pPr>
        <w:pStyle w:val="a5"/>
        <w:ind w:right="102" w:firstLineChars="200" w:firstLine="420"/>
        <w:jc w:val="both"/>
        <w:rPr>
          <w:rFonts w:ascii="Times New Roman" w:hAnsi="Times New Roman"/>
          <w:snapToGrid/>
          <w:color w:val="auto"/>
          <w:lang w:eastAsia="zh-CN" w:bidi="ar"/>
        </w:rPr>
      </w:pPr>
      <w:r>
        <w:rPr>
          <w:rFonts w:ascii="Times New Roman" w:hAnsi="Times New Roman" w:hint="eastAsia"/>
          <w:snapToGrid/>
          <w:color w:val="auto"/>
          <w:lang w:eastAsia="zh-CN" w:bidi="ar"/>
        </w:rPr>
        <w:t>双折射、总损耗、材料损耗及限制损耗随频率的变化关系如图</w:t>
      </w:r>
      <w:r>
        <w:rPr>
          <w:rFonts w:ascii="Times New Roman" w:hAnsi="Times New Roman"/>
          <w:snapToGrid/>
          <w:color w:val="auto"/>
          <w:lang w:eastAsia="zh-CN" w:bidi="ar"/>
        </w:rPr>
        <w:t>3</w:t>
      </w:r>
      <w:r>
        <w:rPr>
          <w:rFonts w:ascii="Times New Roman" w:hAnsi="Times New Roman" w:hint="eastAsia"/>
          <w:snapToGrid/>
          <w:color w:val="auto"/>
          <w:lang w:eastAsia="zh-CN" w:bidi="ar"/>
        </w:rPr>
        <w:t>所示。可以看出，所设计的波导结构在</w:t>
      </w:r>
      <w:r>
        <w:rPr>
          <w:rFonts w:ascii="Times New Roman" w:hAnsi="Times New Roman"/>
          <w:snapToGrid/>
          <w:color w:val="auto"/>
          <w:lang w:eastAsia="zh-CN" w:bidi="ar"/>
        </w:rPr>
        <w:t>0.84~1.10 THz</w:t>
      </w:r>
      <w:r>
        <w:rPr>
          <w:rFonts w:ascii="Times New Roman" w:hAnsi="Times New Roman" w:hint="eastAsia"/>
          <w:snapToGrid/>
          <w:color w:val="auto"/>
          <w:lang w:eastAsia="zh-CN" w:bidi="ar"/>
        </w:rPr>
        <w:t>频率范围内表现出稳定的低损耗特性，整体损耗曲线变化平缓，说明该结构在较宽频带内具备良好的传输一致性。在整个工作频段内，光纤总损耗始终维持在较低水平，同时双折射值始终高于</w:t>
      </w:r>
      <w:r>
        <w:rPr>
          <w:rFonts w:ascii="Times New Roman" w:hAnsi="Times New Roman"/>
          <w:snapToGrid/>
          <w:color w:val="auto"/>
          <w:lang w:eastAsia="zh-CN" w:bidi="ar"/>
        </w:rPr>
        <w:t>10⁻⁴</w:t>
      </w:r>
      <w:r>
        <w:rPr>
          <w:rFonts w:ascii="Times New Roman" w:hAnsi="Times New Roman" w:hint="eastAsia"/>
          <w:snapToGrid/>
          <w:color w:val="auto"/>
          <w:lang w:eastAsia="zh-CN" w:bidi="ar"/>
        </w:rPr>
        <w:t>，体现出优异的偏振保持能力。具体而言，在</w:t>
      </w:r>
      <w:r>
        <w:rPr>
          <w:rFonts w:ascii="Times New Roman" w:hAnsi="Times New Roman"/>
          <w:snapToGrid/>
          <w:color w:val="auto"/>
          <w:lang w:eastAsia="zh-CN" w:bidi="ar"/>
        </w:rPr>
        <w:t>0.88~1.07 THz</w:t>
      </w:r>
      <w:r>
        <w:rPr>
          <w:rFonts w:ascii="Times New Roman" w:hAnsi="Times New Roman" w:hint="eastAsia"/>
          <w:snapToGrid/>
          <w:color w:val="auto"/>
          <w:lang w:eastAsia="zh-CN" w:bidi="ar"/>
        </w:rPr>
        <w:t>的主工作区间内，两种正交偏振模式的总损耗均低于</w:t>
      </w:r>
      <w:r>
        <w:rPr>
          <w:rFonts w:ascii="Times New Roman" w:hAnsi="Times New Roman"/>
          <w:snapToGrid/>
          <w:color w:val="auto"/>
          <w:lang w:eastAsia="zh-CN" w:bidi="ar"/>
        </w:rPr>
        <w:t>5 dB/m</w:t>
      </w:r>
      <w:r>
        <w:rPr>
          <w:rFonts w:ascii="Times New Roman" w:hAnsi="Times New Roman" w:hint="eastAsia"/>
          <w:snapToGrid/>
          <w:color w:val="auto"/>
          <w:lang w:eastAsia="zh-CN" w:bidi="ar"/>
        </w:rPr>
        <w:t>，且二者损耗差异极小，表明该结构能够有效抑制模式间耦合与偏振相关损耗。</w:t>
      </w:r>
    </w:p>
    <w:p w14:paraId="0F39B8B7" w14:textId="77777777" w:rsidR="003162D1" w:rsidRDefault="00FF0CC3">
      <w:pPr>
        <w:pStyle w:val="a5"/>
        <w:ind w:right="102" w:firstLineChars="200" w:firstLine="420"/>
        <w:jc w:val="both"/>
        <w:rPr>
          <w:lang w:eastAsia="zh-CN"/>
        </w:rPr>
      </w:pPr>
      <w:r>
        <w:rPr>
          <w:rFonts w:ascii="Times New Roman" w:hAnsi="Times New Roman" w:hint="eastAsia"/>
          <w:snapToGrid/>
          <w:color w:val="auto"/>
          <w:lang w:eastAsia="zh-CN" w:bidi="ar"/>
        </w:rPr>
        <w:t>宽带低损耗特性的实现主要得益于双直板空芯反谐振结构的优化设计。直板的引入有效增强了光场的反射约束能力，使反谐振条件在更宽的频率范围内得以满足，从而抑制了模式泄漏。此外，几何非对称性所引起的高双折射特性，使得</w:t>
      </w:r>
      <w:r>
        <w:rPr>
          <w:rFonts w:ascii="Times New Roman" w:hAnsi="Times New Roman"/>
          <w:snapToGrid/>
          <w:color w:val="auto"/>
          <w:highlight w:val="yellow"/>
          <w:lang w:eastAsia="zh-CN" w:bidi="ar"/>
        </w:rPr>
        <w:t>x</w:t>
      </w:r>
      <w:r>
        <w:rPr>
          <w:rFonts w:ascii="Times New Roman" w:hAnsi="Times New Roman" w:hint="eastAsia"/>
          <w:snapToGrid/>
          <w:color w:val="auto"/>
          <w:highlight w:val="yellow"/>
          <w:lang w:eastAsia="zh-CN" w:bidi="ar"/>
        </w:rPr>
        <w:t>与</w:t>
      </w:r>
      <w:r>
        <w:rPr>
          <w:rFonts w:ascii="Times New Roman" w:hAnsi="Times New Roman"/>
          <w:snapToGrid/>
          <w:color w:val="auto"/>
          <w:highlight w:val="yellow"/>
          <w:lang w:eastAsia="zh-CN" w:bidi="ar"/>
        </w:rPr>
        <w:t>y</w:t>
      </w:r>
      <w:r>
        <w:rPr>
          <w:rFonts w:ascii="Times New Roman" w:hAnsi="Times New Roman" w:hint="eastAsia"/>
          <w:snapToGrid/>
          <w:color w:val="auto"/>
          <w:highlight w:val="yellow"/>
          <w:lang w:eastAsia="zh-CN" w:bidi="ar"/>
        </w:rPr>
        <w:t>偏振模式</w:t>
      </w:r>
      <w:r>
        <w:rPr>
          <w:rFonts w:ascii="Times New Roman" w:hAnsi="Times New Roman" w:hint="eastAsia"/>
          <w:snapToGrid/>
          <w:color w:val="auto"/>
          <w:lang w:eastAsia="zh-CN" w:bidi="ar"/>
        </w:rPr>
        <w:t>在传输过程中保持稳定分离，进一步提升了系统的偏振保持性能。</w:t>
      </w:r>
    </w:p>
    <w:p w14:paraId="2597DC4F" w14:textId="77777777" w:rsidR="003162D1" w:rsidRDefault="00FF0CC3">
      <w:pPr>
        <w:spacing w:before="213" w:line="211" w:lineRule="auto"/>
        <w:jc w:val="center"/>
        <w:rPr>
          <w:rFonts w:ascii="Times New Roman" w:eastAsia="宋体" w:hAnsi="Times New Roman" w:cs="Times New Roman"/>
          <w:snapToGrid/>
          <w:color w:val="auto"/>
          <w:lang w:eastAsia="zh-CN" w:bidi="ar"/>
        </w:rPr>
      </w:pPr>
      <w:r>
        <w:object w:dxaOrig="4500" w:dyaOrig="6607" w14:anchorId="0B2726B9">
          <v:shape id="_x0000_i1029" type="#_x0000_t75" style="width:224.85pt;height:330.4pt" o:ole="">
            <v:imagedata r:id="rId16" o:title=""/>
          </v:shape>
          <o:OLEObject Type="Embed" ProgID="Visio.Drawing.15" ShapeID="_x0000_i1029" DrawAspect="Content" ObjectID="_1823065520" r:id="rId17"/>
        </w:object>
      </w:r>
    </w:p>
    <w:p w14:paraId="15C1CEE6" w14:textId="77777777" w:rsidR="003162D1" w:rsidRDefault="00FF0CC3">
      <w:pPr>
        <w:pStyle w:val="a5"/>
        <w:spacing w:before="69"/>
        <w:ind w:left="1076" w:firstLineChars="1900" w:firstLine="2861"/>
        <w:rPr>
          <w:rFonts w:ascii="Times New Roman" w:hAnsi="Times New Roman" w:cs="Times New Roman"/>
          <w:b/>
          <w:bCs/>
          <w:snapToGrid/>
          <w:color w:val="auto"/>
          <w:sz w:val="15"/>
          <w:szCs w:val="15"/>
          <w:lang w:eastAsia="zh-CN" w:bidi="ar"/>
        </w:rPr>
      </w:pPr>
      <w:r>
        <w:rPr>
          <w:rFonts w:ascii="Times New Roman" w:hAnsi="Times New Roman" w:cs="Times New Roman"/>
          <w:b/>
          <w:bCs/>
          <w:snapToGrid/>
          <w:color w:val="auto"/>
          <w:sz w:val="15"/>
          <w:szCs w:val="15"/>
          <w:lang w:eastAsia="zh-CN" w:bidi="ar"/>
        </w:rPr>
        <w:t>图</w:t>
      </w:r>
      <w:r>
        <w:rPr>
          <w:rFonts w:ascii="Times New Roman" w:hAnsi="Times New Roman" w:cs="Times New Roman"/>
          <w:b/>
          <w:bCs/>
          <w:snapToGrid/>
          <w:color w:val="auto"/>
          <w:sz w:val="15"/>
          <w:szCs w:val="15"/>
          <w:lang w:eastAsia="zh-CN" w:bidi="ar"/>
        </w:rPr>
        <w:t xml:space="preserve">3  </w:t>
      </w:r>
      <w:r>
        <w:rPr>
          <w:rFonts w:ascii="Times New Roman" w:hAnsi="Times New Roman" w:cs="Times New Roman"/>
          <w:b/>
          <w:bCs/>
          <w:snapToGrid/>
          <w:color w:val="auto"/>
          <w:sz w:val="15"/>
          <w:szCs w:val="15"/>
          <w:lang w:eastAsia="zh-CN" w:bidi="ar"/>
        </w:rPr>
        <w:t>随着频率的变化</w:t>
      </w:r>
    </w:p>
    <w:p w14:paraId="7F3A3698" w14:textId="77777777" w:rsidR="003162D1" w:rsidRDefault="003162D1">
      <w:pPr>
        <w:pStyle w:val="a5"/>
        <w:spacing w:before="69"/>
        <w:ind w:left="1076" w:firstLineChars="1900" w:firstLine="2861"/>
        <w:rPr>
          <w:rFonts w:ascii="Times New Roman" w:hAnsi="Times New Roman" w:cs="Times New Roman"/>
          <w:b/>
          <w:bCs/>
          <w:snapToGrid/>
          <w:color w:val="auto"/>
          <w:sz w:val="15"/>
          <w:szCs w:val="15"/>
          <w:lang w:eastAsia="zh-CN" w:bidi="ar"/>
        </w:rPr>
      </w:pPr>
    </w:p>
    <w:p w14:paraId="49FD9BD8" w14:textId="77777777" w:rsidR="003162D1" w:rsidRDefault="00FF0CC3">
      <w:pPr>
        <w:pStyle w:val="a5"/>
        <w:ind w:right="102"/>
        <w:jc w:val="both"/>
        <w:rPr>
          <w:rFonts w:ascii="Times New Roman" w:hAnsi="Times New Roman" w:cs="Times New Roman"/>
          <w:snapToGrid/>
          <w:color w:val="auto"/>
          <w:lang w:eastAsia="zh-CN" w:bidi="ar"/>
        </w:rPr>
      </w:pPr>
      <w:r>
        <w:rPr>
          <w:rFonts w:ascii="Times New Roman" w:hAnsi="Times New Roman" w:cs="Times New Roman"/>
          <w:b/>
          <w:bCs/>
          <w:lang w:eastAsia="zh-CN"/>
        </w:rPr>
        <w:t>3.3 </w:t>
      </w:r>
      <w:r>
        <w:rPr>
          <w:rFonts w:hint="eastAsia"/>
          <w:b/>
          <w:bCs/>
          <w:lang w:eastAsia="zh-CN"/>
        </w:rPr>
        <w:t>弯曲性能分析</w:t>
      </w:r>
    </w:p>
    <w:p w14:paraId="131262AC" w14:textId="771CF5FE" w:rsidR="003162D1" w:rsidRDefault="00FF0CC3">
      <w:pPr>
        <w:pStyle w:val="a5"/>
        <w:ind w:right="102" w:firstLineChars="200" w:firstLine="420"/>
        <w:jc w:val="both"/>
        <w:rPr>
          <w:rFonts w:ascii="Times New Roman" w:hAnsi="Times New Roman" w:cs="Times New Roman"/>
          <w:snapToGrid/>
          <w:color w:val="auto"/>
          <w:lang w:eastAsia="zh-CN" w:bidi="ar"/>
        </w:rPr>
      </w:pPr>
      <w:r>
        <w:rPr>
          <w:rFonts w:ascii="Times New Roman" w:hAnsi="Times New Roman" w:cs="Times New Roman" w:hint="eastAsia"/>
          <w:snapToGrid/>
          <w:color w:val="auto"/>
          <w:lang w:eastAsia="zh-CN" w:bidi="ar"/>
        </w:rPr>
        <w:t>为评估所设计光纤在实际应用中的抗弯曲性能，本文采用等效折射率模型进行分析，其表达式为</w:t>
      </w:r>
      <w:r>
        <w:rPr>
          <w:rFonts w:ascii="Times New Roman" w:hAnsi="Times New Roman" w:cs="Times New Roman"/>
          <w:i/>
          <w:snapToGrid/>
          <w:color w:val="auto"/>
          <w:lang w:eastAsia="zh-CN" w:bidi="ar"/>
        </w:rPr>
        <w:t>n</w:t>
      </w:r>
      <w:r>
        <w:rPr>
          <w:rFonts w:ascii="Times New Roman" w:hAnsi="Times New Roman" w:cs="Times New Roman"/>
          <w:snapToGrid/>
          <w:color w:val="auto"/>
          <w:vertAlign w:val="subscript"/>
          <w:lang w:eastAsia="zh-CN" w:bidi="ar"/>
        </w:rPr>
        <w:t>eq</w:t>
      </w:r>
      <w:r>
        <w:rPr>
          <w:rFonts w:ascii="Times New Roman" w:hAnsi="Times New Roman" w:cs="Times New Roman"/>
          <w:snapToGrid/>
          <w:color w:val="auto"/>
          <w:lang w:eastAsia="zh-CN" w:bidi="ar"/>
        </w:rPr>
        <w:t xml:space="preserve"> =</w:t>
      </w:r>
      <w:r>
        <w:rPr>
          <w:rFonts w:ascii="Times New Roman" w:hAnsi="Times New Roman" w:cs="Times New Roman"/>
          <w:i/>
          <w:snapToGrid/>
          <w:color w:val="auto"/>
          <w:lang w:eastAsia="zh-CN" w:bidi="ar"/>
        </w:rPr>
        <w:t xml:space="preserve"> n</w:t>
      </w:r>
      <w:r>
        <w:rPr>
          <w:rFonts w:ascii="Times New Roman" w:hAnsi="Times New Roman" w:cs="Times New Roman"/>
          <w:snapToGrid/>
          <w:color w:val="auto"/>
          <w:lang w:eastAsia="zh-CN" w:bidi="ar"/>
        </w:rPr>
        <w:t>（</w:t>
      </w:r>
      <w:r>
        <w:rPr>
          <w:rFonts w:ascii="Times New Roman" w:hAnsi="Times New Roman" w:cs="Times New Roman"/>
          <w:i/>
          <w:snapToGrid/>
          <w:color w:val="auto"/>
          <w:lang w:eastAsia="zh-CN" w:bidi="ar"/>
        </w:rPr>
        <w:t>x</w:t>
      </w:r>
      <w:r>
        <w:rPr>
          <w:rFonts w:ascii="Times New Roman" w:hAnsi="Times New Roman" w:cs="Times New Roman"/>
          <w:snapToGrid/>
          <w:color w:val="auto"/>
          <w:lang w:eastAsia="zh-CN" w:bidi="ar"/>
        </w:rPr>
        <w:t>,</w:t>
      </w:r>
      <w:r>
        <w:rPr>
          <w:rFonts w:ascii="Times New Roman" w:hAnsi="Times New Roman" w:cs="Times New Roman"/>
          <w:i/>
          <w:snapToGrid/>
          <w:color w:val="auto"/>
          <w:lang w:eastAsia="zh-CN" w:bidi="ar"/>
        </w:rPr>
        <w:t>y</w:t>
      </w:r>
      <w:r>
        <w:rPr>
          <w:rFonts w:ascii="Times New Roman" w:hAnsi="Times New Roman" w:cs="Times New Roman"/>
          <w:snapToGrid/>
          <w:color w:val="auto"/>
          <w:lang w:eastAsia="zh-CN" w:bidi="ar"/>
        </w:rPr>
        <w:t>）</w:t>
      </w:r>
      <w:r>
        <w:rPr>
          <w:rFonts w:ascii="Times New Roman" w:hAnsi="Times New Roman" w:cs="Times New Roman"/>
          <w:snapToGrid/>
          <w:color w:val="auto"/>
          <w:lang w:eastAsia="zh-CN" w:bidi="ar"/>
        </w:rPr>
        <w:t>e</w:t>
      </w:r>
      <w:r>
        <w:rPr>
          <w:rFonts w:ascii="Times New Roman" w:hAnsi="Times New Roman" w:cs="Times New Roman"/>
          <w:snapToGrid/>
          <w:color w:val="auto"/>
          <w:vertAlign w:val="superscript"/>
          <w:lang w:eastAsia="zh-CN" w:bidi="ar"/>
        </w:rPr>
        <w:t>R</w:t>
      </w:r>
      <w:r>
        <w:rPr>
          <w:rFonts w:ascii="Times New Roman" w:hAnsi="Times New Roman" w:cs="Times New Roman"/>
          <w:snapToGrid/>
          <w:color w:val="auto"/>
          <w:vertAlign w:val="subscript"/>
          <w:lang w:eastAsia="zh-CN" w:bidi="ar"/>
        </w:rPr>
        <w:t>b</w:t>
      </w:r>
      <w:r>
        <w:rPr>
          <w:rFonts w:ascii="Times New Roman" w:hAnsi="Times New Roman" w:cs="Times New Roman" w:hint="eastAsia"/>
          <w:snapToGrid/>
          <w:color w:val="auto"/>
          <w:lang w:eastAsia="zh-CN" w:bidi="ar"/>
        </w:rPr>
        <w:t>进行分析。其中，</w:t>
      </w:r>
      <w:r>
        <w:rPr>
          <w:rFonts w:ascii="Times New Roman" w:hAnsi="Times New Roman" w:cs="Times New Roman"/>
          <w:i/>
          <w:snapToGrid/>
          <w:color w:val="auto"/>
          <w:lang w:eastAsia="zh-CN" w:bidi="ar"/>
        </w:rPr>
        <w:t>R</w:t>
      </w:r>
      <w:r>
        <w:rPr>
          <w:rFonts w:ascii="Times New Roman" w:hAnsi="Times New Roman" w:cs="Times New Roman"/>
          <w:snapToGrid/>
          <w:color w:val="auto"/>
          <w:vertAlign w:val="subscript"/>
          <w:lang w:eastAsia="zh-CN" w:bidi="ar"/>
        </w:rPr>
        <w:t>b</w:t>
      </w:r>
      <w:r>
        <w:rPr>
          <w:rFonts w:ascii="Times New Roman" w:hAnsi="Times New Roman" w:cs="Times New Roman" w:hint="eastAsia"/>
          <w:snapToGrid/>
          <w:color w:val="auto"/>
          <w:lang w:eastAsia="zh-CN" w:bidi="ar"/>
        </w:rPr>
        <w:t xml:space="preserve"> </w:t>
      </w:r>
      <w:r>
        <w:rPr>
          <w:rFonts w:ascii="Times New Roman" w:hAnsi="Times New Roman" w:cs="Times New Roman" w:hint="eastAsia"/>
          <w:snapToGrid/>
          <w:color w:val="auto"/>
          <w:lang w:eastAsia="zh-CN" w:bidi="ar"/>
        </w:rPr>
        <w:t>为光纤的弯曲半径，</w:t>
      </w:r>
      <w:r>
        <w:rPr>
          <w:rFonts w:ascii="Times New Roman" w:hAnsi="Times New Roman" w:cs="Times New Roman"/>
          <w:i/>
          <w:snapToGrid/>
          <w:color w:val="auto"/>
          <w:lang w:eastAsia="zh-CN" w:bidi="ar"/>
        </w:rPr>
        <w:t>n</w:t>
      </w:r>
      <w:r>
        <w:rPr>
          <w:rFonts w:ascii="Times New Roman" w:hAnsi="Times New Roman" w:cs="Times New Roman"/>
          <w:snapToGrid/>
          <w:color w:val="auto"/>
          <w:lang w:eastAsia="zh-CN" w:bidi="ar"/>
        </w:rPr>
        <w:t>（</w:t>
      </w:r>
      <w:r>
        <w:rPr>
          <w:rFonts w:ascii="Times New Roman" w:hAnsi="Times New Roman" w:cs="Times New Roman"/>
          <w:i/>
          <w:snapToGrid/>
          <w:color w:val="auto"/>
          <w:lang w:eastAsia="zh-CN" w:bidi="ar"/>
        </w:rPr>
        <w:t>x</w:t>
      </w:r>
      <w:r>
        <w:rPr>
          <w:rFonts w:ascii="Times New Roman" w:hAnsi="Times New Roman" w:cs="Times New Roman"/>
          <w:snapToGrid/>
          <w:color w:val="auto"/>
          <w:lang w:eastAsia="zh-CN" w:bidi="ar"/>
        </w:rPr>
        <w:t>,</w:t>
      </w:r>
      <w:r>
        <w:rPr>
          <w:rFonts w:ascii="Times New Roman" w:hAnsi="Times New Roman" w:cs="Times New Roman"/>
          <w:i/>
          <w:snapToGrid/>
          <w:color w:val="auto"/>
          <w:lang w:eastAsia="zh-CN" w:bidi="ar"/>
        </w:rPr>
        <w:t>y</w:t>
      </w:r>
      <w:r>
        <w:rPr>
          <w:rFonts w:ascii="Times New Roman" w:hAnsi="Times New Roman" w:cs="Times New Roman"/>
          <w:snapToGrid/>
          <w:color w:val="auto"/>
          <w:lang w:eastAsia="zh-CN" w:bidi="ar"/>
        </w:rPr>
        <w:t>）</w:t>
      </w:r>
      <w:r>
        <w:rPr>
          <w:rFonts w:ascii="Times New Roman" w:hAnsi="Times New Roman" w:cs="Times New Roman" w:hint="eastAsia"/>
          <w:snapToGrid/>
          <w:color w:val="auto"/>
          <w:lang w:eastAsia="zh-CN" w:bidi="ar"/>
        </w:rPr>
        <w:t>为直光纤的折射率分布，</w:t>
      </w:r>
      <w:r>
        <w:rPr>
          <w:rFonts w:ascii="Times New Roman" w:hAnsi="Times New Roman" w:cs="Times New Roman"/>
          <w:i/>
          <w:snapToGrid/>
          <w:color w:val="auto"/>
          <w:lang w:eastAsia="zh-CN" w:bidi="ar"/>
        </w:rPr>
        <w:t>n</w:t>
      </w:r>
      <w:r>
        <w:rPr>
          <w:rFonts w:ascii="Times New Roman" w:hAnsi="Times New Roman" w:cs="Times New Roman"/>
          <w:snapToGrid/>
          <w:color w:val="auto"/>
          <w:vertAlign w:val="subscript"/>
          <w:lang w:eastAsia="zh-CN" w:bidi="ar"/>
        </w:rPr>
        <w:t>eq</w:t>
      </w:r>
      <w:r>
        <w:rPr>
          <w:rFonts w:ascii="Times New Roman" w:hAnsi="Times New Roman" w:cs="Times New Roman" w:hint="eastAsia"/>
          <w:snapToGrid/>
          <w:color w:val="auto"/>
          <w:vertAlign w:val="subscript"/>
          <w:lang w:eastAsia="zh-CN" w:bidi="ar"/>
        </w:rPr>
        <w:t xml:space="preserve"> </w:t>
      </w:r>
      <w:r>
        <w:rPr>
          <w:rFonts w:ascii="Times New Roman" w:hAnsi="Times New Roman" w:cs="Times New Roman" w:hint="eastAsia"/>
          <w:snapToGrid/>
          <w:color w:val="auto"/>
          <w:lang w:eastAsia="zh-CN" w:bidi="ar"/>
        </w:rPr>
        <w:t>为光纤在弯曲状态下的等效折射率。该模型将弯曲半径的变化与光纤折射率特性相关联，从而揭示弯曲对光传播行为的影响：弯曲半径</w:t>
      </w:r>
      <w:r>
        <w:rPr>
          <w:rFonts w:ascii="Times New Roman" w:hAnsi="Times New Roman" w:cs="Times New Roman"/>
          <w:i/>
          <w:snapToGrid/>
          <w:color w:val="auto"/>
          <w:lang w:eastAsia="zh-CN" w:bidi="ar"/>
        </w:rPr>
        <w:t>R</w:t>
      </w:r>
      <w:r>
        <w:rPr>
          <w:rFonts w:ascii="Times New Roman" w:hAnsi="Times New Roman" w:cs="Times New Roman"/>
          <w:snapToGrid/>
          <w:color w:val="auto"/>
          <w:vertAlign w:val="subscript"/>
          <w:lang w:eastAsia="zh-CN" w:bidi="ar"/>
        </w:rPr>
        <w:t>b</w:t>
      </w:r>
      <w:r>
        <w:rPr>
          <w:rFonts w:ascii="Times New Roman" w:hAnsi="Times New Roman" w:cs="Times New Roman" w:hint="eastAsia"/>
          <w:snapToGrid/>
          <w:color w:val="auto"/>
          <w:lang w:eastAsia="zh-CN" w:bidi="ar"/>
        </w:rPr>
        <w:t>的大小直接决定光纤模式场的分布与折射率特性，进而影响传播模式及光信号传输质量。</w:t>
      </w:r>
      <w:bookmarkStart w:id="0" w:name="_GoBack"/>
      <w:bookmarkEnd w:id="0"/>
    </w:p>
    <w:p w14:paraId="5A6B9933" w14:textId="77777777" w:rsidR="003162D1" w:rsidRDefault="00FF0CC3">
      <w:pPr>
        <w:pStyle w:val="a5"/>
        <w:ind w:right="102" w:firstLineChars="200" w:firstLine="420"/>
        <w:jc w:val="both"/>
        <w:rPr>
          <w:rFonts w:ascii="Times New Roman" w:hAnsi="Times New Roman" w:cs="Times New Roman"/>
          <w:snapToGrid/>
          <w:color w:val="auto"/>
          <w:lang w:eastAsia="zh-CN" w:bidi="ar"/>
        </w:rPr>
      </w:pPr>
      <w:r>
        <w:rPr>
          <w:rFonts w:ascii="Times New Roman" w:hAnsi="Times New Roman" w:cs="Times New Roman" w:hint="eastAsia"/>
          <w:snapToGrid/>
          <w:color w:val="auto"/>
          <w:lang w:eastAsia="zh-CN" w:bidi="ar"/>
        </w:rPr>
        <w:t>通过对不同弯曲半径下的等效折射率进行计算，可明确光纤在弯曲状态下的损耗变化趋势。图</w:t>
      </w:r>
      <w:r>
        <w:rPr>
          <w:rFonts w:ascii="Times New Roman" w:hAnsi="Times New Roman" w:cs="Times New Roman"/>
          <w:snapToGrid/>
          <w:color w:val="auto"/>
          <w:lang w:eastAsia="zh-CN" w:bidi="ar"/>
        </w:rPr>
        <w:t>4</w:t>
      </w:r>
      <w:r>
        <w:rPr>
          <w:rFonts w:ascii="Times New Roman" w:hAnsi="Times New Roman" w:cs="Times New Roman" w:hint="eastAsia"/>
          <w:snapToGrid/>
          <w:color w:val="auto"/>
          <w:lang w:eastAsia="zh-CN" w:bidi="ar"/>
        </w:rPr>
        <w:t>展示了光纤在</w:t>
      </w:r>
      <w:r>
        <w:rPr>
          <w:rFonts w:ascii="Times New Roman" w:hAnsi="Times New Roman" w:cs="Times New Roman"/>
          <w:i/>
          <w:snapToGrid/>
          <w:color w:val="auto"/>
          <w:highlight w:val="yellow"/>
          <w:lang w:eastAsia="zh-CN" w:bidi="ar"/>
        </w:rPr>
        <w:t>X</w:t>
      </w:r>
      <w:r>
        <w:rPr>
          <w:rFonts w:ascii="Times New Roman" w:hAnsi="Times New Roman" w:cs="Times New Roman" w:hint="eastAsia"/>
          <w:snapToGrid/>
          <w:color w:val="auto"/>
          <w:highlight w:val="yellow"/>
          <w:lang w:eastAsia="zh-CN" w:bidi="ar"/>
        </w:rPr>
        <w:t>和</w:t>
      </w:r>
      <w:r>
        <w:rPr>
          <w:rFonts w:ascii="Times New Roman" w:hAnsi="Times New Roman" w:cs="Times New Roman"/>
          <w:i/>
          <w:snapToGrid/>
          <w:color w:val="auto"/>
          <w:highlight w:val="yellow"/>
          <w:lang w:eastAsia="zh-CN" w:bidi="ar"/>
        </w:rPr>
        <w:t>Y</w:t>
      </w:r>
      <w:r>
        <w:rPr>
          <w:rFonts w:ascii="Times New Roman" w:hAnsi="Times New Roman" w:cs="Times New Roman" w:hint="eastAsia"/>
          <w:snapToGrid/>
          <w:color w:val="auto"/>
          <w:highlight w:val="yellow"/>
          <w:lang w:eastAsia="zh-CN" w:bidi="ar"/>
        </w:rPr>
        <w:t>弯曲方向</w:t>
      </w:r>
      <w:r>
        <w:rPr>
          <w:rFonts w:ascii="Times New Roman" w:hAnsi="Times New Roman" w:cs="Times New Roman" w:hint="eastAsia"/>
          <w:snapToGrid/>
          <w:color w:val="auto"/>
          <w:lang w:eastAsia="zh-CN" w:bidi="ar"/>
        </w:rPr>
        <w:t>下的弯曲损耗情况。结果表明，弯曲半径越小，光纤折射率分布与模式场变化越显著，弯曲损耗也相应增大。</w:t>
      </w:r>
    </w:p>
    <w:p w14:paraId="2570BF47" w14:textId="77777777" w:rsidR="003162D1" w:rsidRDefault="00FF0CC3">
      <w:pPr>
        <w:pStyle w:val="a5"/>
        <w:ind w:right="102" w:firstLineChars="200" w:firstLine="420"/>
        <w:jc w:val="both"/>
        <w:rPr>
          <w:rFonts w:ascii="Times New Roman" w:hAnsi="Times New Roman" w:cs="Times New Roman"/>
          <w:snapToGrid/>
          <w:color w:val="auto"/>
          <w:lang w:eastAsia="zh-CN" w:bidi="ar"/>
        </w:rPr>
      </w:pPr>
      <w:r>
        <w:rPr>
          <w:rFonts w:ascii="Times New Roman" w:hAnsi="Times New Roman" w:cs="Times New Roman" w:hint="eastAsia"/>
          <w:snapToGrid/>
          <w:color w:val="auto"/>
          <w:lang w:eastAsia="zh-CN" w:bidi="ar"/>
        </w:rPr>
        <w:t>分析显示，该光纤具备较高的抗弯曲韧性：在</w:t>
      </w:r>
      <w:r>
        <w:rPr>
          <w:rFonts w:ascii="Times New Roman" w:hAnsi="Times New Roman" w:cs="Times New Roman"/>
          <w:i/>
          <w:snapToGrid/>
          <w:color w:val="auto"/>
          <w:lang w:eastAsia="zh-CN" w:bidi="ar"/>
        </w:rPr>
        <w:t>X</w:t>
      </w:r>
      <w:r>
        <w:rPr>
          <w:rFonts w:ascii="Times New Roman" w:hAnsi="Times New Roman" w:cs="Times New Roman" w:hint="eastAsia"/>
          <w:snapToGrid/>
          <w:color w:val="auto"/>
          <w:lang w:eastAsia="zh-CN" w:bidi="ar"/>
        </w:rPr>
        <w:t>方向和</w:t>
      </w:r>
      <w:r>
        <w:rPr>
          <w:rFonts w:ascii="Times New Roman" w:hAnsi="Times New Roman" w:cs="Times New Roman"/>
          <w:i/>
          <w:snapToGrid/>
          <w:color w:val="auto"/>
          <w:lang w:eastAsia="zh-CN" w:bidi="ar"/>
        </w:rPr>
        <w:t>Y</w:t>
      </w:r>
      <w:r>
        <w:rPr>
          <w:rFonts w:ascii="Times New Roman" w:hAnsi="Times New Roman" w:cs="Times New Roman" w:hint="eastAsia"/>
          <w:snapToGrid/>
          <w:color w:val="auto"/>
          <w:lang w:eastAsia="zh-CN" w:bidi="ar"/>
        </w:rPr>
        <w:t>方向上的最小弯曲半径分别为</w:t>
      </w:r>
      <w:r>
        <w:rPr>
          <w:rFonts w:ascii="Times New Roman" w:hAnsi="Times New Roman" w:cs="Times New Roman"/>
          <w:snapToGrid/>
          <w:color w:val="auto"/>
          <w:lang w:eastAsia="zh-CN" w:bidi="ar"/>
        </w:rPr>
        <w:t>0.3 m</w:t>
      </w:r>
      <w:r>
        <w:rPr>
          <w:rFonts w:ascii="Times New Roman" w:hAnsi="Times New Roman" w:cs="Times New Roman" w:hint="eastAsia"/>
          <w:snapToGrid/>
          <w:color w:val="auto"/>
          <w:lang w:eastAsia="zh-CN" w:bidi="ar"/>
        </w:rPr>
        <w:t>和</w:t>
      </w:r>
      <w:r>
        <w:rPr>
          <w:rFonts w:ascii="Times New Roman" w:hAnsi="Times New Roman" w:cs="Times New Roman"/>
          <w:snapToGrid/>
          <w:color w:val="auto"/>
          <w:lang w:eastAsia="zh-CN" w:bidi="ar"/>
        </w:rPr>
        <w:t>0.4 m</w:t>
      </w:r>
      <w:r>
        <w:rPr>
          <w:rFonts w:ascii="Times New Roman" w:hAnsi="Times New Roman" w:cs="Times New Roman" w:hint="eastAsia"/>
          <w:snapToGrid/>
          <w:color w:val="auto"/>
          <w:lang w:eastAsia="zh-CN" w:bidi="ar"/>
        </w:rPr>
        <w:t>。这一结果为实际应用中需要弯曲布线的光纤系统提供了重要参考，也为进一步优化光纤结构以增强其抗弯性能奠定了基础。</w:t>
      </w:r>
    </w:p>
    <w:p w14:paraId="148AA4DC" w14:textId="77777777" w:rsidR="003162D1" w:rsidRDefault="00FF0CC3">
      <w:pPr>
        <w:pStyle w:val="a5"/>
        <w:spacing w:before="35" w:line="257" w:lineRule="auto"/>
        <w:ind w:right="104"/>
        <w:jc w:val="center"/>
      </w:pPr>
      <w:r>
        <w:object w:dxaOrig="4653" w:dyaOrig="3493" w14:anchorId="2DBAD48F">
          <v:shape id="_x0000_i1030" type="#_x0000_t75" style="width:232.8pt;height:174.5pt" o:ole="">
            <v:imagedata r:id="rId18" o:title=""/>
          </v:shape>
          <o:OLEObject Type="Embed" ProgID="Visio.Drawing.15" ShapeID="_x0000_i1030" DrawAspect="Content" ObjectID="_1823065521" r:id="rId19"/>
        </w:object>
      </w:r>
    </w:p>
    <w:p w14:paraId="7BAAEE00" w14:textId="77777777" w:rsidR="003162D1" w:rsidRDefault="00FF0CC3">
      <w:pPr>
        <w:pStyle w:val="a5"/>
        <w:spacing w:before="35" w:line="257" w:lineRule="auto"/>
        <w:ind w:right="104"/>
        <w:jc w:val="center"/>
        <w:rPr>
          <w:rFonts w:ascii="Times New Roman" w:hAnsi="Times New Roman" w:cs="Times New Roman"/>
          <w:b/>
          <w:bCs/>
          <w:snapToGrid/>
          <w:color w:val="auto"/>
          <w:sz w:val="15"/>
          <w:szCs w:val="15"/>
          <w:lang w:eastAsia="zh-CN" w:bidi="ar"/>
        </w:rPr>
      </w:pPr>
      <w:r>
        <w:rPr>
          <w:rFonts w:ascii="Times New Roman" w:hAnsi="Times New Roman" w:cs="Times New Roman"/>
          <w:b/>
          <w:bCs/>
          <w:snapToGrid/>
          <w:color w:val="auto"/>
          <w:sz w:val="15"/>
          <w:szCs w:val="15"/>
          <w:lang w:eastAsia="zh-CN" w:bidi="ar"/>
        </w:rPr>
        <w:t>图</w:t>
      </w:r>
      <w:r>
        <w:rPr>
          <w:rFonts w:ascii="Times New Roman" w:hAnsi="Times New Roman" w:cs="Times New Roman"/>
          <w:b/>
          <w:bCs/>
          <w:snapToGrid/>
          <w:color w:val="auto"/>
          <w:sz w:val="15"/>
          <w:szCs w:val="15"/>
          <w:lang w:eastAsia="zh-CN" w:bidi="ar"/>
        </w:rPr>
        <w:t>4  2</w:t>
      </w:r>
      <w:r>
        <w:rPr>
          <w:rFonts w:ascii="Times New Roman" w:hAnsi="Times New Roman" w:cs="Times New Roman"/>
          <w:b/>
          <w:bCs/>
          <w:snapToGrid/>
          <w:color w:val="auto"/>
          <w:sz w:val="15"/>
          <w:szCs w:val="15"/>
          <w:lang w:eastAsia="zh-CN" w:bidi="ar"/>
        </w:rPr>
        <w:t>种</w:t>
      </w:r>
      <w:r>
        <w:rPr>
          <w:rFonts w:ascii="Times New Roman" w:hAnsi="Times New Roman" w:cs="Times New Roman" w:hint="eastAsia"/>
          <w:b/>
          <w:bCs/>
          <w:snapToGrid/>
          <w:color w:val="auto"/>
          <w:sz w:val="15"/>
          <w:szCs w:val="15"/>
          <w:lang w:eastAsia="zh-CN" w:bidi="ar"/>
        </w:rPr>
        <w:t>弯曲</w:t>
      </w:r>
      <w:r>
        <w:rPr>
          <w:rFonts w:ascii="Times New Roman" w:hAnsi="Times New Roman" w:cs="Times New Roman"/>
          <w:b/>
          <w:bCs/>
          <w:snapToGrid/>
          <w:color w:val="auto"/>
          <w:sz w:val="15"/>
          <w:szCs w:val="15"/>
          <w:lang w:eastAsia="zh-CN" w:bidi="ar"/>
        </w:rPr>
        <w:t>方向的弯曲损耗</w:t>
      </w:r>
    </w:p>
    <w:p w14:paraId="57B6A2DF" w14:textId="77777777" w:rsidR="003162D1" w:rsidRDefault="003162D1">
      <w:pPr>
        <w:pStyle w:val="a5"/>
        <w:spacing w:before="35" w:line="257" w:lineRule="auto"/>
        <w:ind w:right="104"/>
        <w:jc w:val="center"/>
        <w:rPr>
          <w:rFonts w:ascii="Times New Roman" w:hAnsi="Times New Roman" w:cs="Times New Roman"/>
          <w:b/>
          <w:bCs/>
          <w:snapToGrid/>
          <w:color w:val="auto"/>
          <w:sz w:val="15"/>
          <w:szCs w:val="15"/>
          <w:lang w:eastAsia="zh-CN" w:bidi="ar"/>
        </w:rPr>
      </w:pPr>
    </w:p>
    <w:p w14:paraId="03034BA0" w14:textId="77777777" w:rsidR="003162D1" w:rsidRDefault="00FF0CC3">
      <w:pPr>
        <w:pStyle w:val="a5"/>
        <w:ind w:right="102"/>
        <w:jc w:val="both"/>
        <w:rPr>
          <w:rFonts w:ascii="Times New Roman" w:hAnsi="Times New Roman" w:cs="Times New Roman"/>
          <w:snapToGrid/>
          <w:color w:val="auto"/>
          <w:lang w:eastAsia="zh-CN" w:bidi="ar"/>
        </w:rPr>
      </w:pPr>
      <w:r>
        <w:rPr>
          <w:rFonts w:ascii="Times New Roman" w:hAnsi="Times New Roman" w:cs="Times New Roman"/>
          <w:b/>
          <w:bCs/>
          <w:lang w:eastAsia="zh-CN"/>
        </w:rPr>
        <w:t>3.4</w:t>
      </w:r>
      <w:r>
        <w:rPr>
          <w:b/>
          <w:bCs/>
          <w:lang w:eastAsia="zh-CN"/>
        </w:rPr>
        <w:t xml:space="preserve"> </w:t>
      </w:r>
      <w:r>
        <w:rPr>
          <w:rFonts w:hint="eastAsia"/>
          <w:b/>
          <w:bCs/>
          <w:lang w:eastAsia="zh-CN"/>
        </w:rPr>
        <w:t>机械强度对比分析</w:t>
      </w:r>
    </w:p>
    <w:p w14:paraId="1275E1C3" w14:textId="77777777" w:rsidR="003162D1" w:rsidRDefault="00FF0CC3">
      <w:pPr>
        <w:ind w:firstLineChars="200" w:firstLine="420"/>
        <w:jc w:val="both"/>
        <w:rPr>
          <w:rFonts w:ascii="Times New Roman" w:eastAsia="宋体" w:hAnsi="Times New Roman" w:cs="Times New Roman"/>
          <w:color w:val="auto"/>
          <w:lang w:eastAsia="zh-CN"/>
        </w:rPr>
      </w:pPr>
      <w:r>
        <w:rPr>
          <w:rFonts w:ascii="Times New Roman" w:eastAsia="宋体" w:hAnsi="Times New Roman" w:cs="Times New Roman" w:hint="eastAsia"/>
          <w:color w:val="auto"/>
          <w:lang w:eastAsia="zh-CN"/>
        </w:rPr>
        <w:t>综合考虑结构参数（</w:t>
      </w:r>
      <w:r>
        <w:rPr>
          <w:rFonts w:ascii="Times New Roman" w:eastAsia="宋体" w:hAnsi="Times New Roman" w:cs="Times New Roman"/>
          <w:color w:val="auto"/>
          <w:lang w:eastAsia="zh-CN"/>
        </w:rPr>
        <w:t xml:space="preserve">D </w:t>
      </w:r>
      <w:r>
        <w:rPr>
          <w:rFonts w:ascii="Times New Roman" w:eastAsia="宋体" w:hAnsi="Times New Roman" w:cs="Times New Roman" w:hint="eastAsia"/>
          <w:color w:val="auto"/>
          <w:lang w:eastAsia="zh-CN"/>
        </w:rPr>
        <w:t>与</w:t>
      </w:r>
      <w:r>
        <w:rPr>
          <w:rFonts w:ascii="Times New Roman" w:eastAsia="宋体" w:hAnsi="Times New Roman" w:cs="Times New Roman"/>
          <w:color w:val="auto"/>
          <w:lang w:eastAsia="zh-CN"/>
        </w:rPr>
        <w:t xml:space="preserve"> d</w:t>
      </w:r>
      <w:r>
        <w:rPr>
          <w:rFonts w:ascii="Times New Roman" w:eastAsia="宋体" w:hAnsi="Times New Roman" w:cs="Times New Roman" w:hint="eastAsia"/>
          <w:color w:val="auto"/>
          <w:lang w:eastAsia="zh-CN"/>
        </w:rPr>
        <w:t>）对光纤弯曲后性能的影响，研究表明，在避免高损耗区域的同时，维持较高的双折射特性至关重要。参数组合</w:t>
      </w:r>
      <w:r>
        <w:rPr>
          <w:rFonts w:ascii="Times New Roman" w:eastAsia="宋体" w:hAnsi="Times New Roman" w:cs="Times New Roman"/>
          <w:color w:val="auto"/>
          <w:lang w:eastAsia="zh-CN"/>
        </w:rPr>
        <w:t xml:space="preserve"> D=1.0 mm </w:t>
      </w:r>
      <w:r>
        <w:rPr>
          <w:rFonts w:ascii="Times New Roman" w:eastAsia="宋体" w:hAnsi="Times New Roman" w:cs="Times New Roman" w:hint="eastAsia"/>
          <w:color w:val="auto"/>
          <w:lang w:eastAsia="zh-CN"/>
        </w:rPr>
        <w:t>与</w:t>
      </w:r>
      <w:r>
        <w:rPr>
          <w:rFonts w:ascii="Times New Roman" w:eastAsia="宋体" w:hAnsi="Times New Roman" w:cs="Times New Roman"/>
          <w:color w:val="auto"/>
          <w:lang w:eastAsia="zh-CN"/>
        </w:rPr>
        <w:t xml:space="preserve"> d= 8.1 mm </w:t>
      </w:r>
      <w:r>
        <w:rPr>
          <w:rFonts w:ascii="Times New Roman" w:eastAsia="宋体" w:hAnsi="Times New Roman" w:cs="Times New Roman" w:hint="eastAsia"/>
          <w:color w:val="auto"/>
          <w:lang w:eastAsia="zh-CN"/>
        </w:rPr>
        <w:t>在直波导和弯曲状态下均表现出良好性能，既能有效抑制弯曲损耗，又可保持较高的双折射水平。该优化设计确保光纤在不同工作环境下均具备优异的传输性能，尤其在需要承受弯曲应力的应用场景中，展现出更强的稳定性和可靠性。</w:t>
      </w:r>
    </w:p>
    <w:p w14:paraId="4F62BCB9" w14:textId="77777777" w:rsidR="003162D1" w:rsidRDefault="00FF0CC3">
      <w:pPr>
        <w:ind w:firstLineChars="200" w:firstLine="420"/>
        <w:jc w:val="both"/>
        <w:rPr>
          <w:rFonts w:ascii="Times New Roman" w:eastAsia="宋体" w:hAnsi="Times New Roman" w:cs="Times New Roman"/>
          <w:color w:val="auto"/>
          <w:lang w:eastAsia="zh-CN"/>
        </w:rPr>
      </w:pPr>
      <w:r>
        <w:rPr>
          <w:rFonts w:ascii="Times New Roman" w:eastAsia="宋体" w:hAnsi="Times New Roman" w:cs="Times New Roman" w:hint="eastAsia"/>
          <w:color w:val="auto"/>
          <w:lang w:eastAsia="zh-CN"/>
        </w:rPr>
        <w:t>为验证本文所提结构在机械强度方面的优势，将双圆套管双直板结构与两种基于几何差异产生双折射的结构，以及一种基于壁厚差异产生双折射的结构进行对比分析。所用</w:t>
      </w:r>
      <w:r>
        <w:rPr>
          <w:rFonts w:ascii="Times New Roman" w:eastAsia="宋体" w:hAnsi="Times New Roman" w:cs="Times New Roman"/>
          <w:color w:val="auto"/>
          <w:lang w:eastAsia="zh-CN"/>
        </w:rPr>
        <w:t>Topas</w:t>
      </w:r>
      <w:r>
        <w:rPr>
          <w:rFonts w:ascii="Times New Roman" w:eastAsia="宋体" w:hAnsi="Times New Roman" w:cs="Times New Roman" w:hint="eastAsia"/>
          <w:color w:val="auto"/>
          <w:lang w:eastAsia="zh-CN"/>
        </w:rPr>
        <w:t>材</w:t>
      </w:r>
      <w:r>
        <w:rPr>
          <w:rFonts w:ascii="Times New Roman" w:eastAsia="宋体" w:hAnsi="Times New Roman" w:cs="Times New Roman" w:hint="eastAsia"/>
          <w:color w:val="auto"/>
          <w:lang w:eastAsia="zh-CN"/>
        </w:rPr>
        <w:t>料的杨氏模量约为</w:t>
      </w:r>
      <w:r>
        <w:rPr>
          <w:rFonts w:ascii="Times New Roman" w:eastAsia="宋体" w:hAnsi="Times New Roman" w:cs="Times New Roman"/>
          <w:color w:val="auto"/>
          <w:lang w:eastAsia="zh-CN"/>
        </w:rPr>
        <w:t>2.3×10</w:t>
      </w:r>
      <w:r>
        <w:rPr>
          <w:rFonts w:ascii="Times New Roman" w:eastAsia="宋体" w:hAnsi="Times New Roman" w:cs="Times New Roman"/>
          <w:color w:val="auto"/>
          <w:vertAlign w:val="superscript"/>
          <w:lang w:eastAsia="zh-CN"/>
        </w:rPr>
        <w:t>9</w:t>
      </w:r>
      <w:r>
        <w:rPr>
          <w:rFonts w:ascii="Times New Roman" w:eastAsia="宋体" w:hAnsi="Times New Roman" w:cs="Times New Roman"/>
          <w:color w:val="auto"/>
          <w:lang w:eastAsia="zh-CN"/>
        </w:rPr>
        <w:t xml:space="preserve"> Pa</w:t>
      </w:r>
      <w:r>
        <w:rPr>
          <w:rFonts w:ascii="Times New Roman" w:eastAsia="宋体" w:hAnsi="Times New Roman" w:cs="Times New Roman" w:hint="eastAsia"/>
          <w:color w:val="auto"/>
          <w:lang w:eastAsia="zh-CN"/>
        </w:rPr>
        <w:t>，泊松比约为</w:t>
      </w:r>
      <w:r>
        <w:rPr>
          <w:rFonts w:ascii="Times New Roman" w:eastAsia="宋体" w:hAnsi="Times New Roman" w:cs="Times New Roman"/>
          <w:color w:val="auto"/>
          <w:lang w:eastAsia="zh-CN"/>
        </w:rPr>
        <w:t>0.35</w:t>
      </w:r>
      <w:r>
        <w:rPr>
          <w:rFonts w:ascii="Times New Roman" w:eastAsia="宋体" w:hAnsi="Times New Roman" w:cs="Times New Roman" w:hint="eastAsia"/>
          <w:color w:val="auto"/>
          <w:lang w:eastAsia="zh-CN"/>
        </w:rPr>
        <w:t>，密度约为</w:t>
      </w:r>
      <w:r>
        <w:rPr>
          <w:rFonts w:ascii="Times New Roman" w:eastAsia="宋体" w:hAnsi="Times New Roman" w:cs="Times New Roman"/>
          <w:color w:val="auto"/>
          <w:lang w:eastAsia="zh-CN"/>
        </w:rPr>
        <w:t>1 020 kg/m³</w:t>
      </w:r>
      <w:r>
        <w:rPr>
          <w:rFonts w:ascii="Times New Roman" w:eastAsia="宋体" w:hAnsi="Times New Roman" w:cs="Times New Roman" w:hint="eastAsia"/>
          <w:color w:val="auto"/>
          <w:lang w:eastAsia="zh-CN"/>
        </w:rPr>
        <w:t>。在此基础上，采用固体力学模块对光纤结构进行仿真，在上下与左右方向分别施加总力为</w:t>
      </w:r>
      <w:r>
        <w:rPr>
          <w:rFonts w:ascii="Times New Roman" w:eastAsia="宋体" w:hAnsi="Times New Roman" w:cs="Times New Roman"/>
          <w:color w:val="auto"/>
          <w:lang w:eastAsia="zh-CN"/>
        </w:rPr>
        <w:t>10 000 N</w:t>
      </w:r>
      <w:r>
        <w:rPr>
          <w:rFonts w:ascii="Times New Roman" w:eastAsia="宋体" w:hAnsi="Times New Roman" w:cs="Times New Roman" w:hint="eastAsia"/>
          <w:color w:val="auto"/>
          <w:lang w:eastAsia="zh-CN"/>
        </w:rPr>
        <w:t>的载荷，分析其形变响应。</w:t>
      </w:r>
    </w:p>
    <w:p w14:paraId="1C2BA073" w14:textId="77777777" w:rsidR="003162D1" w:rsidRDefault="00FF0CC3">
      <w:pPr>
        <w:ind w:firstLineChars="200" w:firstLine="420"/>
        <w:jc w:val="both"/>
        <w:rPr>
          <w:rFonts w:ascii="Times New Roman" w:eastAsiaTheme="minorEastAsia" w:hAnsi="Times New Roman" w:cs="Times New Roman"/>
          <w:color w:val="auto"/>
          <w:lang w:eastAsia="zh-CN"/>
        </w:rPr>
      </w:pPr>
      <w:r>
        <w:rPr>
          <w:rFonts w:ascii="Times New Roman" w:eastAsia="宋体" w:hAnsi="Times New Roman" w:cs="Times New Roman" w:hint="eastAsia"/>
          <w:color w:val="auto"/>
          <w:lang w:eastAsia="zh-CN"/>
        </w:rPr>
        <w:t>结果表明，本文采用的双直板结构对上下连接区域具有支撑增强作用，因此在抵抗纵向应力时表现最佳。同时，该双板结构本身作为反谐振层，有助于将光场限制于中心区域传输，在承受横向应力时，中心导光区所受干扰较小；而对比结构在横向载荷下则出现更明显的中心区域形变，影响导光性能。</w:t>
      </w:r>
    </w:p>
    <w:p w14:paraId="1B778F47" w14:textId="77777777" w:rsidR="003162D1" w:rsidRDefault="00FF0CC3">
      <w:pPr>
        <w:jc w:val="both"/>
        <w:rPr>
          <w:rFonts w:ascii="宋体" w:eastAsia="宋体" w:hAnsi="宋体" w:cs="宋体"/>
          <w:b/>
          <w:bCs/>
          <w:lang w:eastAsia="zh-CN"/>
        </w:rPr>
      </w:pPr>
      <w:r>
        <w:rPr>
          <w:rFonts w:ascii="Times New Roman" w:eastAsia="宋体" w:hAnsi="Times New Roman" w:cs="Times New Roman"/>
          <w:b/>
          <w:bCs/>
          <w:lang w:eastAsia="zh-CN"/>
        </w:rPr>
        <w:t>3.5</w:t>
      </w:r>
      <w:r>
        <w:rPr>
          <w:rFonts w:ascii="宋体" w:eastAsia="宋体" w:hAnsi="宋体" w:cs="宋体"/>
          <w:b/>
          <w:bCs/>
          <w:lang w:eastAsia="zh-CN"/>
        </w:rPr>
        <w:t xml:space="preserve"> </w:t>
      </w:r>
      <w:r>
        <w:rPr>
          <w:rFonts w:ascii="宋体" w:eastAsia="宋体" w:hAnsi="宋体" w:cs="宋体" w:hint="eastAsia"/>
          <w:b/>
          <w:bCs/>
          <w:lang w:eastAsia="zh-CN"/>
        </w:rPr>
        <w:t>性能对比总结</w:t>
      </w:r>
    </w:p>
    <w:p w14:paraId="5FBF6B97" w14:textId="77777777" w:rsidR="003162D1" w:rsidRDefault="00FF0CC3">
      <w:pPr>
        <w:ind w:firstLineChars="200" w:firstLine="420"/>
        <w:jc w:val="both"/>
        <w:rPr>
          <w:rFonts w:ascii="Times New Roman" w:eastAsia="宋体" w:hAnsi="Times New Roman" w:cs="Times New Roman"/>
          <w:color w:val="auto"/>
          <w:lang w:eastAsia="zh-CN"/>
        </w:rPr>
      </w:pPr>
      <w:r>
        <w:rPr>
          <w:rFonts w:ascii="Times New Roman" w:eastAsia="宋体" w:hAnsi="Times New Roman" w:cs="Times New Roman" w:hint="eastAsia"/>
          <w:color w:val="auto"/>
          <w:lang w:eastAsia="zh-CN"/>
        </w:rPr>
        <w:t>本本文选取多种</w:t>
      </w:r>
      <w:r>
        <w:rPr>
          <w:rFonts w:ascii="Times New Roman" w:eastAsia="宋体" w:hAnsi="Times New Roman" w:cs="Times New Roman" w:hint="eastAsia"/>
          <w:color w:val="auto"/>
          <w:lang w:eastAsia="zh-CN"/>
        </w:rPr>
        <w:t>高双折射空芯反谐振光纤进行性能对比，结果如表</w:t>
      </w:r>
      <w:r>
        <w:rPr>
          <w:rFonts w:ascii="Times New Roman" w:eastAsia="宋体" w:hAnsi="Times New Roman" w:cs="Times New Roman"/>
          <w:color w:val="auto"/>
          <w:lang w:eastAsia="zh-CN"/>
        </w:rPr>
        <w:t>1</w:t>
      </w:r>
      <w:r>
        <w:rPr>
          <w:rFonts w:ascii="Times New Roman" w:eastAsia="宋体" w:hAnsi="Times New Roman" w:cs="Times New Roman" w:hint="eastAsia"/>
          <w:color w:val="auto"/>
          <w:lang w:eastAsia="zh-CN"/>
        </w:rPr>
        <w:t>所示。可以看出，所提出的双圆套管双直板结构在保持高双折射与低总损耗的同时，具备更小的弯曲半径和更宽的工作带宽。该设计不仅在光学性能上表现优异，在物理特性方面也展现出更高的环境适应性与结构稳定性。此外，该结构设计简洁、可调性强，在制造过程中具有明显的成本与工艺优势。其高度可调的几何参数便于根据不同应用场景灵活优化，进一步拓展了在太赫兹通信、传感等领域的应用潜力。综上所述，本文所提出的光纤结构在综合性能与可制造性方面均具备显著竞争力，有望在实际工程中得到广泛应用。</w:t>
      </w:r>
    </w:p>
    <w:p w14:paraId="33999C43" w14:textId="77777777" w:rsidR="003162D1" w:rsidRDefault="00FF0CC3">
      <w:pPr>
        <w:pStyle w:val="a5"/>
        <w:spacing w:before="35" w:line="257" w:lineRule="auto"/>
        <w:ind w:right="104"/>
        <w:jc w:val="center"/>
        <w:rPr>
          <w:rFonts w:ascii="Times New Roman" w:hAnsi="Times New Roman" w:cs="Times New Roman"/>
          <w:b/>
          <w:bCs/>
          <w:snapToGrid/>
          <w:color w:val="auto"/>
          <w:sz w:val="15"/>
          <w:szCs w:val="15"/>
          <w:lang w:eastAsia="zh-CN" w:bidi="ar"/>
        </w:rPr>
      </w:pPr>
      <w:r>
        <w:rPr>
          <w:rFonts w:ascii="Times New Roman" w:hAnsi="Times New Roman" w:cs="Times New Roman"/>
          <w:b/>
          <w:bCs/>
          <w:snapToGrid/>
          <w:color w:val="auto"/>
          <w:sz w:val="15"/>
          <w:szCs w:val="15"/>
          <w:lang w:eastAsia="zh-CN" w:bidi="ar"/>
        </w:rPr>
        <w:t>表</w:t>
      </w:r>
      <w:r>
        <w:rPr>
          <w:rFonts w:ascii="Times New Roman" w:hAnsi="Times New Roman" w:cs="Times New Roman"/>
          <w:b/>
          <w:bCs/>
          <w:snapToGrid/>
          <w:color w:val="auto"/>
          <w:sz w:val="15"/>
          <w:szCs w:val="15"/>
          <w:lang w:eastAsia="zh-CN" w:bidi="ar"/>
        </w:rPr>
        <w:t>1  THz</w:t>
      </w:r>
      <w:r>
        <w:rPr>
          <w:rFonts w:ascii="Times New Roman" w:hAnsi="Times New Roman" w:cs="Times New Roman"/>
          <w:b/>
          <w:bCs/>
          <w:snapToGrid/>
          <w:color w:val="auto"/>
          <w:sz w:val="15"/>
          <w:szCs w:val="15"/>
          <w:lang w:eastAsia="zh-CN" w:bidi="ar"/>
        </w:rPr>
        <w:t>频段高双折射空芯反谐振光纤性能比较</w:t>
      </w:r>
    </w:p>
    <w:tbl>
      <w:tblPr>
        <w:tblStyle w:val="TableNormal"/>
        <w:tblW w:w="8985" w:type="dxa"/>
        <w:tblInd w:w="45" w:type="dxa"/>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ayout w:type="fixed"/>
        <w:tblLook w:val="04A0" w:firstRow="1" w:lastRow="0" w:firstColumn="1" w:lastColumn="0" w:noHBand="0" w:noVBand="1"/>
      </w:tblPr>
      <w:tblGrid>
        <w:gridCol w:w="960"/>
        <w:gridCol w:w="2160"/>
        <w:gridCol w:w="2175"/>
        <w:gridCol w:w="2010"/>
        <w:gridCol w:w="1680"/>
      </w:tblGrid>
      <w:tr w:rsidR="003162D1" w14:paraId="28F5B332" w14:textId="77777777">
        <w:trPr>
          <w:trHeight w:val="359"/>
        </w:trPr>
        <w:tc>
          <w:tcPr>
            <w:tcW w:w="960" w:type="dxa"/>
            <w:tcBorders>
              <w:top w:val="single" w:sz="2" w:space="0" w:color="000000"/>
              <w:bottom w:val="single" w:sz="2" w:space="0" w:color="000000"/>
            </w:tcBorders>
          </w:tcPr>
          <w:p w14:paraId="270C920E" w14:textId="77777777" w:rsidR="003162D1" w:rsidRDefault="00FF0CC3">
            <w:pPr>
              <w:spacing w:before="70" w:line="208" w:lineRule="auto"/>
              <w:jc w:val="center"/>
              <w:rPr>
                <w:rFonts w:ascii="Times New Roman" w:eastAsia="宋体" w:hAnsi="Times New Roman" w:cs="Times New Roman"/>
                <w:snapToGrid/>
                <w:color w:val="auto"/>
                <w:lang w:eastAsia="zh-CN" w:bidi="ar"/>
              </w:rPr>
            </w:pPr>
            <w:r>
              <w:rPr>
                <w:rFonts w:ascii="Times New Roman" w:eastAsia="宋体" w:hAnsi="Times New Roman" w:cs="Times New Roman"/>
                <w:snapToGrid/>
                <w:color w:val="auto"/>
                <w:lang w:eastAsia="zh-CN" w:bidi="ar"/>
              </w:rPr>
              <w:t>文献</w:t>
            </w:r>
          </w:p>
        </w:tc>
        <w:tc>
          <w:tcPr>
            <w:tcW w:w="2160" w:type="dxa"/>
            <w:tcBorders>
              <w:top w:val="single" w:sz="2" w:space="0" w:color="000000"/>
              <w:bottom w:val="single" w:sz="2" w:space="0" w:color="000000"/>
            </w:tcBorders>
          </w:tcPr>
          <w:p w14:paraId="284BE327" w14:textId="77777777" w:rsidR="003162D1" w:rsidRDefault="00FF0CC3">
            <w:pPr>
              <w:spacing w:before="68" w:line="209" w:lineRule="auto"/>
              <w:ind w:left="126"/>
              <w:jc w:val="center"/>
              <w:rPr>
                <w:rFonts w:ascii="Times New Roman" w:eastAsia="宋体" w:hAnsi="Times New Roman" w:cs="Times New Roman"/>
                <w:snapToGrid/>
                <w:color w:val="auto"/>
                <w:lang w:eastAsia="zh-CN" w:bidi="ar"/>
              </w:rPr>
            </w:pPr>
            <w:r>
              <w:rPr>
                <w:rFonts w:ascii="Times New Roman" w:eastAsia="宋体" w:hAnsi="Times New Roman" w:cs="Times New Roman"/>
                <w:snapToGrid/>
                <w:color w:val="auto"/>
                <w:lang w:eastAsia="zh-CN" w:bidi="ar"/>
              </w:rPr>
              <w:t>在工作频段保持的</w:t>
            </w:r>
          </w:p>
          <w:p w14:paraId="02560E43" w14:textId="77777777" w:rsidR="003162D1" w:rsidRDefault="00FF0CC3">
            <w:pPr>
              <w:spacing w:before="68" w:line="209" w:lineRule="auto"/>
              <w:ind w:left="126"/>
              <w:jc w:val="center"/>
              <w:rPr>
                <w:rFonts w:ascii="Times New Roman" w:eastAsia="宋体" w:hAnsi="Times New Roman" w:cs="Times New Roman"/>
                <w:snapToGrid/>
                <w:color w:val="auto"/>
                <w:lang w:eastAsia="zh-CN" w:bidi="ar"/>
              </w:rPr>
            </w:pPr>
            <w:r>
              <w:rPr>
                <w:rFonts w:ascii="Times New Roman" w:eastAsia="宋体" w:hAnsi="Times New Roman" w:cs="Times New Roman"/>
                <w:snapToGrid/>
                <w:color w:val="auto"/>
                <w:lang w:eastAsia="zh-CN" w:bidi="ar"/>
              </w:rPr>
              <w:t>双折射</w:t>
            </w:r>
          </w:p>
          <w:p w14:paraId="3A6DD192" w14:textId="77777777" w:rsidR="003162D1" w:rsidRDefault="003162D1">
            <w:pPr>
              <w:pStyle w:val="TableText"/>
              <w:spacing w:before="93" w:line="214" w:lineRule="auto"/>
              <w:ind w:left="980"/>
              <w:jc w:val="center"/>
              <w:rPr>
                <w:rFonts w:eastAsia="宋体"/>
                <w:snapToGrid/>
                <w:color w:val="auto"/>
                <w:lang w:eastAsia="zh-CN" w:bidi="ar"/>
              </w:rPr>
            </w:pPr>
          </w:p>
        </w:tc>
        <w:tc>
          <w:tcPr>
            <w:tcW w:w="2175" w:type="dxa"/>
            <w:tcBorders>
              <w:top w:val="single" w:sz="2" w:space="0" w:color="000000"/>
              <w:bottom w:val="single" w:sz="2" w:space="0" w:color="000000"/>
            </w:tcBorders>
          </w:tcPr>
          <w:p w14:paraId="220D8E7B" w14:textId="77777777" w:rsidR="003162D1" w:rsidRDefault="00FF0CC3">
            <w:pPr>
              <w:pStyle w:val="TableText"/>
              <w:spacing w:before="70" w:line="271" w:lineRule="auto"/>
              <w:ind w:left="219" w:right="119" w:hanging="92"/>
              <w:jc w:val="center"/>
              <w:rPr>
                <w:rFonts w:eastAsia="宋体"/>
                <w:snapToGrid/>
                <w:color w:val="auto"/>
                <w:lang w:eastAsia="zh-CN" w:bidi="ar"/>
              </w:rPr>
            </w:pPr>
            <w:r>
              <w:rPr>
                <w:rFonts w:eastAsia="宋体"/>
                <w:snapToGrid/>
                <w:color w:val="auto"/>
                <w:lang w:eastAsia="zh-CN" w:bidi="ar"/>
              </w:rPr>
              <w:t>最小总损耗</w:t>
            </w:r>
            <w:r>
              <w:rPr>
                <w:rFonts w:eastAsia="宋体" w:hint="eastAsia"/>
                <w:snapToGrid/>
                <w:color w:val="auto"/>
                <w:lang w:eastAsia="zh-CN" w:bidi="ar"/>
              </w:rPr>
              <w:t>/</w:t>
            </w:r>
          </w:p>
          <w:p w14:paraId="7D1FD740" w14:textId="77777777" w:rsidR="003162D1" w:rsidRDefault="00FF0CC3">
            <w:pPr>
              <w:pStyle w:val="TableText"/>
              <w:spacing w:before="70" w:line="271" w:lineRule="auto"/>
              <w:ind w:left="219" w:right="119" w:hanging="92"/>
              <w:jc w:val="center"/>
              <w:rPr>
                <w:rFonts w:eastAsia="宋体"/>
                <w:snapToGrid/>
                <w:color w:val="auto"/>
                <w:lang w:eastAsia="zh-CN" w:bidi="ar"/>
              </w:rPr>
            </w:pPr>
            <w:r>
              <w:rPr>
                <w:rFonts w:eastAsia="宋体"/>
                <w:snapToGrid/>
                <w:color w:val="auto"/>
                <w:lang w:eastAsia="zh-CN" w:bidi="ar"/>
              </w:rPr>
              <w:t>（</w:t>
            </w:r>
            <w:r>
              <w:rPr>
                <w:rFonts w:eastAsia="宋体"/>
                <w:snapToGrid/>
                <w:color w:val="auto"/>
                <w:lang w:eastAsia="zh-CN" w:bidi="ar"/>
              </w:rPr>
              <w:t>dB/m</w:t>
            </w:r>
            <w:r>
              <w:rPr>
                <w:rFonts w:eastAsia="宋体"/>
                <w:snapToGrid/>
                <w:color w:val="auto"/>
                <w:lang w:eastAsia="zh-CN" w:bidi="ar"/>
              </w:rPr>
              <w:t>）</w:t>
            </w:r>
          </w:p>
        </w:tc>
        <w:tc>
          <w:tcPr>
            <w:tcW w:w="2010" w:type="dxa"/>
            <w:tcBorders>
              <w:top w:val="single" w:sz="2" w:space="0" w:color="000000"/>
              <w:bottom w:val="single" w:sz="2" w:space="0" w:color="000000"/>
            </w:tcBorders>
          </w:tcPr>
          <w:p w14:paraId="4991B8E5" w14:textId="77777777" w:rsidR="003162D1" w:rsidRDefault="00FF0CC3">
            <w:pPr>
              <w:spacing w:before="67" w:line="210" w:lineRule="auto"/>
              <w:ind w:left="127"/>
              <w:jc w:val="center"/>
              <w:rPr>
                <w:rFonts w:ascii="Times New Roman" w:eastAsia="宋体" w:hAnsi="Times New Roman" w:cs="Times New Roman"/>
                <w:snapToGrid/>
                <w:color w:val="auto"/>
                <w:lang w:eastAsia="zh-CN" w:bidi="ar"/>
              </w:rPr>
            </w:pPr>
            <w:r>
              <w:rPr>
                <w:rFonts w:ascii="Times New Roman" w:eastAsia="宋体" w:hAnsi="Times New Roman" w:cs="Times New Roman"/>
                <w:snapToGrid/>
                <w:color w:val="auto"/>
                <w:lang w:eastAsia="zh-CN" w:bidi="ar"/>
              </w:rPr>
              <w:t>最小弯曲半径</w:t>
            </w:r>
          </w:p>
          <w:p w14:paraId="766F12C3" w14:textId="77777777" w:rsidR="003162D1" w:rsidRDefault="00FF0CC3">
            <w:pPr>
              <w:spacing w:before="67" w:line="210" w:lineRule="auto"/>
              <w:ind w:left="127"/>
              <w:jc w:val="center"/>
              <w:rPr>
                <w:rFonts w:ascii="Times New Roman" w:eastAsia="宋体" w:hAnsi="Times New Roman" w:cs="Times New Roman"/>
                <w:snapToGrid/>
                <w:color w:val="auto"/>
                <w:lang w:eastAsia="zh-CN" w:bidi="ar"/>
              </w:rPr>
            </w:pPr>
            <w:r>
              <w:rPr>
                <w:rFonts w:ascii="Times New Roman" w:eastAsia="宋体" w:hAnsi="Times New Roman" w:cs="Times New Roman"/>
                <w:snapToGrid/>
                <w:color w:val="auto"/>
                <w:lang w:eastAsia="zh-CN" w:bidi="ar"/>
              </w:rPr>
              <w:t>/m</w:t>
            </w:r>
          </w:p>
        </w:tc>
        <w:tc>
          <w:tcPr>
            <w:tcW w:w="1680" w:type="dxa"/>
            <w:tcBorders>
              <w:top w:val="single" w:sz="2" w:space="0" w:color="000000"/>
              <w:bottom w:val="single" w:sz="2" w:space="0" w:color="000000"/>
            </w:tcBorders>
          </w:tcPr>
          <w:p w14:paraId="1E2FC06C" w14:textId="77777777" w:rsidR="003162D1" w:rsidRDefault="00FF0CC3">
            <w:pPr>
              <w:pStyle w:val="TableText"/>
              <w:spacing w:before="70" w:line="271" w:lineRule="auto"/>
              <w:ind w:left="268" w:right="154" w:hanging="107"/>
              <w:jc w:val="center"/>
              <w:rPr>
                <w:rFonts w:eastAsia="宋体"/>
                <w:snapToGrid/>
                <w:color w:val="auto"/>
                <w:lang w:eastAsia="zh-CN" w:bidi="ar"/>
              </w:rPr>
            </w:pPr>
            <w:r>
              <w:rPr>
                <w:rFonts w:eastAsia="宋体"/>
                <w:snapToGrid/>
                <w:color w:val="auto"/>
                <w:lang w:eastAsia="zh-CN" w:bidi="ar"/>
              </w:rPr>
              <w:t>工作范围</w:t>
            </w:r>
            <w:r>
              <w:rPr>
                <w:rFonts w:eastAsia="宋体"/>
                <w:snapToGrid/>
                <w:color w:val="auto"/>
                <w:lang w:eastAsia="zh-CN" w:bidi="ar"/>
              </w:rPr>
              <w:t>/THz</w:t>
            </w:r>
          </w:p>
        </w:tc>
      </w:tr>
      <w:tr w:rsidR="003162D1" w14:paraId="19B33E34" w14:textId="77777777">
        <w:trPr>
          <w:trHeight w:val="208"/>
        </w:trPr>
        <w:tc>
          <w:tcPr>
            <w:tcW w:w="960" w:type="dxa"/>
            <w:tcBorders>
              <w:top w:val="single" w:sz="2" w:space="0" w:color="000000"/>
            </w:tcBorders>
          </w:tcPr>
          <w:p w14:paraId="74E85556" w14:textId="77777777" w:rsidR="003162D1" w:rsidRDefault="00FF0CC3">
            <w:pPr>
              <w:pStyle w:val="TableText"/>
              <w:spacing w:before="70" w:line="214" w:lineRule="auto"/>
              <w:ind w:left="505"/>
              <w:jc w:val="center"/>
              <w:rPr>
                <w:rFonts w:eastAsia="宋体"/>
                <w:snapToGrid/>
                <w:color w:val="auto"/>
                <w:lang w:eastAsia="zh-CN" w:bidi="ar"/>
              </w:rPr>
            </w:pPr>
            <w:r>
              <w:rPr>
                <w:rFonts w:eastAsia="宋体"/>
                <w:snapToGrid/>
                <w:color w:val="auto"/>
                <w:lang w:eastAsia="zh-CN" w:bidi="ar"/>
              </w:rPr>
              <w:t>[3</w:t>
            </w:r>
            <w:r>
              <w:rPr>
                <w:rFonts w:eastAsia="宋体" w:hint="eastAsia"/>
                <w:snapToGrid/>
                <w:color w:val="auto"/>
                <w:lang w:eastAsia="zh-CN" w:bidi="ar"/>
              </w:rPr>
              <w:t>0</w:t>
            </w:r>
            <w:r>
              <w:rPr>
                <w:rFonts w:eastAsia="宋体"/>
                <w:snapToGrid/>
                <w:color w:val="auto"/>
                <w:lang w:eastAsia="zh-CN" w:bidi="ar"/>
              </w:rPr>
              <w:t>]</w:t>
            </w:r>
          </w:p>
        </w:tc>
        <w:tc>
          <w:tcPr>
            <w:tcW w:w="2160" w:type="dxa"/>
            <w:tcBorders>
              <w:top w:val="single" w:sz="2" w:space="0" w:color="000000"/>
            </w:tcBorders>
          </w:tcPr>
          <w:p w14:paraId="101EABB9" w14:textId="77777777" w:rsidR="003162D1" w:rsidRDefault="00FF0CC3">
            <w:pPr>
              <w:pStyle w:val="TableText"/>
              <w:spacing w:before="60" w:line="234" w:lineRule="auto"/>
              <w:ind w:left="997"/>
              <w:jc w:val="center"/>
              <w:rPr>
                <w:rFonts w:eastAsia="宋体"/>
                <w:snapToGrid/>
                <w:color w:val="auto"/>
                <w:lang w:eastAsia="zh-CN" w:bidi="ar"/>
              </w:rPr>
            </w:pPr>
            <w:r>
              <w:rPr>
                <w:rFonts w:eastAsia="宋体"/>
                <w:snapToGrid/>
                <w:color w:val="auto"/>
                <w:lang w:eastAsia="zh-CN" w:bidi="ar"/>
              </w:rPr>
              <w:t>&gt;10−5</w:t>
            </w:r>
          </w:p>
        </w:tc>
        <w:tc>
          <w:tcPr>
            <w:tcW w:w="2175" w:type="dxa"/>
            <w:tcBorders>
              <w:top w:val="single" w:sz="2" w:space="0" w:color="000000"/>
            </w:tcBorders>
          </w:tcPr>
          <w:p w14:paraId="03AE85D8" w14:textId="77777777" w:rsidR="003162D1" w:rsidRDefault="00FF0CC3">
            <w:pPr>
              <w:pStyle w:val="TableText"/>
              <w:spacing w:before="87" w:line="188" w:lineRule="auto"/>
              <w:ind w:left="518"/>
              <w:jc w:val="center"/>
              <w:rPr>
                <w:rFonts w:eastAsia="宋体"/>
                <w:snapToGrid/>
                <w:color w:val="auto"/>
                <w:lang w:eastAsia="zh-CN" w:bidi="ar"/>
              </w:rPr>
            </w:pPr>
            <w:r>
              <w:rPr>
                <w:rFonts w:eastAsia="宋体"/>
                <w:snapToGrid/>
                <w:color w:val="auto"/>
                <w:lang w:eastAsia="zh-CN" w:bidi="ar"/>
              </w:rPr>
              <w:t>0.5</w:t>
            </w:r>
          </w:p>
        </w:tc>
        <w:tc>
          <w:tcPr>
            <w:tcW w:w="2010" w:type="dxa"/>
            <w:tcBorders>
              <w:top w:val="single" w:sz="2" w:space="0" w:color="000000"/>
            </w:tcBorders>
          </w:tcPr>
          <w:p w14:paraId="59515455" w14:textId="77777777" w:rsidR="003162D1" w:rsidRDefault="00FF0CC3">
            <w:pPr>
              <w:pStyle w:val="TableText"/>
              <w:spacing w:before="87" w:line="188" w:lineRule="auto"/>
              <w:ind w:left="623"/>
              <w:jc w:val="center"/>
              <w:rPr>
                <w:rFonts w:eastAsia="宋体"/>
                <w:snapToGrid/>
                <w:color w:val="auto"/>
                <w:lang w:eastAsia="zh-CN" w:bidi="ar"/>
              </w:rPr>
            </w:pPr>
            <w:r>
              <w:rPr>
                <w:rFonts w:eastAsia="宋体"/>
                <w:snapToGrid/>
                <w:color w:val="auto"/>
                <w:lang w:eastAsia="zh-CN" w:bidi="ar"/>
              </w:rPr>
              <w:t>0.6</w:t>
            </w:r>
          </w:p>
        </w:tc>
        <w:tc>
          <w:tcPr>
            <w:tcW w:w="1680" w:type="dxa"/>
            <w:tcBorders>
              <w:top w:val="single" w:sz="2" w:space="0" w:color="000000"/>
            </w:tcBorders>
          </w:tcPr>
          <w:p w14:paraId="201D28CF" w14:textId="77777777" w:rsidR="003162D1" w:rsidRDefault="00FF0CC3">
            <w:pPr>
              <w:pStyle w:val="TableText"/>
              <w:spacing w:before="177" w:line="97" w:lineRule="exact"/>
              <w:ind w:left="540"/>
              <w:jc w:val="center"/>
              <w:rPr>
                <w:rFonts w:eastAsia="宋体"/>
                <w:snapToGrid/>
                <w:color w:val="auto"/>
                <w:lang w:eastAsia="zh-CN" w:bidi="ar"/>
              </w:rPr>
            </w:pPr>
            <w:r>
              <w:rPr>
                <w:rFonts w:eastAsia="宋体"/>
                <w:snapToGrid/>
                <w:color w:val="auto"/>
                <w:lang w:eastAsia="zh-CN" w:bidi="ar"/>
              </w:rPr>
              <w:t>-</w:t>
            </w:r>
          </w:p>
        </w:tc>
      </w:tr>
      <w:tr w:rsidR="003162D1" w14:paraId="6B15240A" w14:textId="77777777">
        <w:trPr>
          <w:trHeight w:val="327"/>
        </w:trPr>
        <w:tc>
          <w:tcPr>
            <w:tcW w:w="960" w:type="dxa"/>
          </w:tcPr>
          <w:p w14:paraId="0C6622CA" w14:textId="77777777" w:rsidR="003162D1" w:rsidRDefault="00FF0CC3">
            <w:pPr>
              <w:pStyle w:val="TableText"/>
              <w:spacing w:before="64" w:line="214" w:lineRule="auto"/>
              <w:ind w:left="505"/>
              <w:jc w:val="center"/>
              <w:rPr>
                <w:rFonts w:eastAsia="宋体"/>
                <w:snapToGrid/>
                <w:color w:val="auto"/>
                <w:lang w:eastAsia="zh-CN" w:bidi="ar"/>
              </w:rPr>
            </w:pPr>
            <w:r>
              <w:rPr>
                <w:rFonts w:eastAsia="宋体"/>
                <w:snapToGrid/>
                <w:color w:val="auto"/>
                <w:lang w:eastAsia="zh-CN" w:bidi="ar"/>
              </w:rPr>
              <w:t>[3</w:t>
            </w:r>
            <w:r>
              <w:rPr>
                <w:rFonts w:eastAsia="宋体" w:hint="eastAsia"/>
                <w:snapToGrid/>
                <w:color w:val="auto"/>
                <w:lang w:eastAsia="zh-CN" w:bidi="ar"/>
              </w:rPr>
              <w:t>1</w:t>
            </w:r>
            <w:r>
              <w:rPr>
                <w:rFonts w:eastAsia="宋体"/>
                <w:snapToGrid/>
                <w:color w:val="auto"/>
                <w:lang w:eastAsia="zh-CN" w:bidi="ar"/>
              </w:rPr>
              <w:t>]</w:t>
            </w:r>
          </w:p>
        </w:tc>
        <w:tc>
          <w:tcPr>
            <w:tcW w:w="2160" w:type="dxa"/>
          </w:tcPr>
          <w:p w14:paraId="45516750" w14:textId="77777777" w:rsidR="003162D1" w:rsidRDefault="00FF0CC3">
            <w:pPr>
              <w:pStyle w:val="TableText"/>
              <w:spacing w:before="54" w:line="234" w:lineRule="auto"/>
              <w:ind w:left="997"/>
              <w:jc w:val="center"/>
              <w:rPr>
                <w:rFonts w:eastAsia="宋体"/>
                <w:snapToGrid/>
                <w:color w:val="auto"/>
                <w:lang w:eastAsia="zh-CN" w:bidi="ar"/>
              </w:rPr>
            </w:pPr>
            <w:r>
              <w:rPr>
                <w:rFonts w:eastAsia="宋体"/>
                <w:snapToGrid/>
                <w:color w:val="auto"/>
                <w:lang w:eastAsia="zh-CN" w:bidi="ar"/>
              </w:rPr>
              <w:t>&gt;10−4</w:t>
            </w:r>
          </w:p>
        </w:tc>
        <w:tc>
          <w:tcPr>
            <w:tcW w:w="2175" w:type="dxa"/>
          </w:tcPr>
          <w:p w14:paraId="5EF55049" w14:textId="77777777" w:rsidR="003162D1" w:rsidRDefault="00FF0CC3">
            <w:pPr>
              <w:pStyle w:val="TableText"/>
              <w:spacing w:before="81" w:line="188" w:lineRule="auto"/>
              <w:ind w:left="476"/>
              <w:jc w:val="center"/>
              <w:rPr>
                <w:rFonts w:eastAsia="宋体"/>
                <w:snapToGrid/>
                <w:color w:val="auto"/>
                <w:lang w:eastAsia="zh-CN" w:bidi="ar"/>
              </w:rPr>
            </w:pPr>
            <w:r>
              <w:rPr>
                <w:rFonts w:eastAsia="宋体"/>
                <w:snapToGrid/>
                <w:color w:val="auto"/>
                <w:lang w:eastAsia="zh-CN" w:bidi="ar"/>
              </w:rPr>
              <w:t>1.68</w:t>
            </w:r>
          </w:p>
        </w:tc>
        <w:tc>
          <w:tcPr>
            <w:tcW w:w="2010" w:type="dxa"/>
          </w:tcPr>
          <w:p w14:paraId="0415F3C3" w14:textId="77777777" w:rsidR="003162D1" w:rsidRDefault="00FF0CC3">
            <w:pPr>
              <w:pStyle w:val="TableText"/>
              <w:spacing w:before="81" w:line="188" w:lineRule="auto"/>
              <w:ind w:left="571"/>
              <w:jc w:val="center"/>
              <w:rPr>
                <w:rFonts w:eastAsia="宋体"/>
                <w:snapToGrid/>
                <w:color w:val="auto"/>
                <w:lang w:eastAsia="zh-CN" w:bidi="ar"/>
              </w:rPr>
            </w:pPr>
            <w:r>
              <w:rPr>
                <w:rFonts w:eastAsia="宋体"/>
                <w:snapToGrid/>
                <w:color w:val="auto"/>
                <w:lang w:eastAsia="zh-CN" w:bidi="ar"/>
              </w:rPr>
              <w:t>0.15</w:t>
            </w:r>
          </w:p>
        </w:tc>
        <w:tc>
          <w:tcPr>
            <w:tcW w:w="1680" w:type="dxa"/>
          </w:tcPr>
          <w:p w14:paraId="59354140" w14:textId="77777777" w:rsidR="003162D1" w:rsidRDefault="00FF0CC3">
            <w:pPr>
              <w:pStyle w:val="TableText"/>
              <w:spacing w:before="66" w:line="167" w:lineRule="auto"/>
              <w:ind w:left="323"/>
              <w:jc w:val="center"/>
              <w:rPr>
                <w:rFonts w:eastAsia="宋体"/>
                <w:snapToGrid/>
                <w:color w:val="auto"/>
                <w:lang w:eastAsia="zh-CN" w:bidi="ar"/>
              </w:rPr>
            </w:pPr>
            <w:r>
              <w:rPr>
                <w:rFonts w:eastAsia="宋体"/>
                <w:snapToGrid/>
                <w:color w:val="auto"/>
                <w:lang w:eastAsia="zh-CN" w:bidi="ar"/>
              </w:rPr>
              <w:t>1~1.5</w:t>
            </w:r>
          </w:p>
        </w:tc>
      </w:tr>
      <w:tr w:rsidR="003162D1" w14:paraId="47A7DD1E" w14:textId="77777777">
        <w:trPr>
          <w:trHeight w:val="327"/>
        </w:trPr>
        <w:tc>
          <w:tcPr>
            <w:tcW w:w="960" w:type="dxa"/>
          </w:tcPr>
          <w:p w14:paraId="25149423" w14:textId="77777777" w:rsidR="003162D1" w:rsidRDefault="00FF0CC3">
            <w:pPr>
              <w:pStyle w:val="TableText"/>
              <w:spacing w:before="65" w:line="214" w:lineRule="auto"/>
              <w:ind w:left="505"/>
              <w:jc w:val="center"/>
              <w:rPr>
                <w:rFonts w:eastAsia="宋体"/>
                <w:snapToGrid/>
                <w:color w:val="auto"/>
                <w:lang w:eastAsia="zh-CN" w:bidi="ar"/>
              </w:rPr>
            </w:pPr>
            <w:r>
              <w:rPr>
                <w:rFonts w:eastAsia="宋体"/>
                <w:snapToGrid/>
                <w:color w:val="auto"/>
                <w:lang w:eastAsia="zh-CN" w:bidi="ar"/>
              </w:rPr>
              <w:t>[3</w:t>
            </w:r>
            <w:r>
              <w:rPr>
                <w:rFonts w:eastAsia="宋体" w:hint="eastAsia"/>
                <w:snapToGrid/>
                <w:color w:val="auto"/>
                <w:lang w:eastAsia="zh-CN" w:bidi="ar"/>
              </w:rPr>
              <w:t>2</w:t>
            </w:r>
            <w:r>
              <w:rPr>
                <w:rFonts w:eastAsia="宋体"/>
                <w:snapToGrid/>
                <w:color w:val="auto"/>
                <w:lang w:eastAsia="zh-CN" w:bidi="ar"/>
              </w:rPr>
              <w:t>]</w:t>
            </w:r>
          </w:p>
        </w:tc>
        <w:tc>
          <w:tcPr>
            <w:tcW w:w="2160" w:type="dxa"/>
          </w:tcPr>
          <w:p w14:paraId="2183C9F9" w14:textId="77777777" w:rsidR="003162D1" w:rsidRDefault="00FF0CC3">
            <w:pPr>
              <w:pStyle w:val="TableText"/>
              <w:spacing w:before="54" w:line="175" w:lineRule="auto"/>
              <w:ind w:left="991"/>
              <w:jc w:val="center"/>
              <w:rPr>
                <w:rFonts w:eastAsia="宋体"/>
                <w:snapToGrid/>
                <w:color w:val="auto"/>
                <w:lang w:eastAsia="zh-CN" w:bidi="ar"/>
              </w:rPr>
            </w:pPr>
            <w:r>
              <w:rPr>
                <w:rFonts w:eastAsia="宋体"/>
                <w:snapToGrid/>
                <w:color w:val="auto"/>
                <w:lang w:eastAsia="zh-CN" w:bidi="ar"/>
              </w:rPr>
              <w:t>≈10−4</w:t>
            </w:r>
          </w:p>
        </w:tc>
        <w:tc>
          <w:tcPr>
            <w:tcW w:w="2175" w:type="dxa"/>
          </w:tcPr>
          <w:p w14:paraId="57E82554" w14:textId="77777777" w:rsidR="003162D1" w:rsidRDefault="00FF0CC3">
            <w:pPr>
              <w:pStyle w:val="TableText"/>
              <w:spacing w:before="80" w:line="190" w:lineRule="auto"/>
              <w:ind w:left="466"/>
              <w:jc w:val="center"/>
              <w:rPr>
                <w:rFonts w:eastAsia="宋体"/>
                <w:snapToGrid/>
                <w:color w:val="auto"/>
                <w:lang w:eastAsia="zh-CN" w:bidi="ar"/>
              </w:rPr>
            </w:pPr>
            <w:r>
              <w:rPr>
                <w:rFonts w:eastAsia="宋体"/>
                <w:snapToGrid/>
                <w:color w:val="auto"/>
                <w:lang w:eastAsia="zh-CN" w:bidi="ar"/>
              </w:rPr>
              <w:t>0.34</w:t>
            </w:r>
          </w:p>
        </w:tc>
        <w:tc>
          <w:tcPr>
            <w:tcW w:w="2010" w:type="dxa"/>
          </w:tcPr>
          <w:p w14:paraId="7FECF97A" w14:textId="77777777" w:rsidR="003162D1" w:rsidRDefault="00FF0CC3">
            <w:pPr>
              <w:pStyle w:val="TableText"/>
              <w:spacing w:before="172" w:line="98" w:lineRule="exact"/>
              <w:ind w:left="717"/>
              <w:jc w:val="center"/>
              <w:rPr>
                <w:rFonts w:eastAsia="宋体"/>
                <w:snapToGrid/>
                <w:color w:val="auto"/>
                <w:lang w:eastAsia="zh-CN" w:bidi="ar"/>
              </w:rPr>
            </w:pPr>
            <w:r>
              <w:rPr>
                <w:rFonts w:eastAsia="宋体"/>
                <w:snapToGrid/>
                <w:color w:val="auto"/>
                <w:lang w:eastAsia="zh-CN" w:bidi="ar"/>
              </w:rPr>
              <w:t>-</w:t>
            </w:r>
          </w:p>
        </w:tc>
        <w:tc>
          <w:tcPr>
            <w:tcW w:w="1680" w:type="dxa"/>
          </w:tcPr>
          <w:p w14:paraId="412BC816" w14:textId="77777777" w:rsidR="003162D1" w:rsidRDefault="00FF0CC3">
            <w:pPr>
              <w:pStyle w:val="TableText"/>
              <w:spacing w:before="67" w:line="166" w:lineRule="auto"/>
              <w:ind w:left="126"/>
              <w:jc w:val="center"/>
              <w:rPr>
                <w:rFonts w:eastAsia="宋体"/>
                <w:snapToGrid/>
                <w:color w:val="auto"/>
                <w:lang w:eastAsia="zh-CN" w:bidi="ar"/>
              </w:rPr>
            </w:pPr>
            <w:r>
              <w:rPr>
                <w:rFonts w:eastAsia="宋体"/>
                <w:snapToGrid/>
                <w:color w:val="auto"/>
                <w:lang w:eastAsia="zh-CN" w:bidi="ar"/>
              </w:rPr>
              <w:t>0.76~1.22</w:t>
            </w:r>
          </w:p>
        </w:tc>
      </w:tr>
      <w:tr w:rsidR="003162D1" w14:paraId="42A5518E" w14:textId="77777777">
        <w:trPr>
          <w:trHeight w:val="327"/>
        </w:trPr>
        <w:tc>
          <w:tcPr>
            <w:tcW w:w="960" w:type="dxa"/>
          </w:tcPr>
          <w:p w14:paraId="0DDA9BAC" w14:textId="77777777" w:rsidR="003162D1" w:rsidRDefault="00FF0CC3">
            <w:pPr>
              <w:pStyle w:val="TableText"/>
              <w:spacing w:before="65" w:line="214" w:lineRule="auto"/>
              <w:ind w:left="505"/>
              <w:jc w:val="center"/>
              <w:rPr>
                <w:rFonts w:eastAsia="宋体"/>
                <w:snapToGrid/>
                <w:color w:val="auto"/>
                <w:lang w:eastAsia="zh-CN" w:bidi="ar"/>
              </w:rPr>
            </w:pPr>
            <w:r>
              <w:rPr>
                <w:rFonts w:eastAsia="宋体"/>
                <w:snapToGrid/>
                <w:color w:val="auto"/>
                <w:lang w:eastAsia="zh-CN" w:bidi="ar"/>
              </w:rPr>
              <w:t>[3</w:t>
            </w:r>
            <w:r>
              <w:rPr>
                <w:rFonts w:eastAsia="宋体" w:hint="eastAsia"/>
                <w:snapToGrid/>
                <w:color w:val="auto"/>
                <w:lang w:eastAsia="zh-CN" w:bidi="ar"/>
              </w:rPr>
              <w:t>3</w:t>
            </w:r>
            <w:r>
              <w:rPr>
                <w:rFonts w:eastAsia="宋体"/>
                <w:snapToGrid/>
                <w:color w:val="auto"/>
                <w:lang w:eastAsia="zh-CN" w:bidi="ar"/>
              </w:rPr>
              <w:t>]</w:t>
            </w:r>
          </w:p>
        </w:tc>
        <w:tc>
          <w:tcPr>
            <w:tcW w:w="2160" w:type="dxa"/>
          </w:tcPr>
          <w:p w14:paraId="1692CBCF" w14:textId="77777777" w:rsidR="003162D1" w:rsidRDefault="00FF0CC3">
            <w:pPr>
              <w:pStyle w:val="TableText"/>
              <w:spacing w:before="55" w:line="174" w:lineRule="auto"/>
              <w:ind w:left="991"/>
              <w:jc w:val="center"/>
              <w:rPr>
                <w:rFonts w:eastAsia="宋体"/>
                <w:snapToGrid/>
                <w:color w:val="auto"/>
                <w:lang w:eastAsia="zh-CN" w:bidi="ar"/>
              </w:rPr>
            </w:pPr>
            <w:r>
              <w:rPr>
                <w:rFonts w:eastAsia="宋体"/>
                <w:snapToGrid/>
                <w:color w:val="auto"/>
                <w:lang w:eastAsia="zh-CN" w:bidi="ar"/>
              </w:rPr>
              <w:t>≈10−4</w:t>
            </w:r>
          </w:p>
        </w:tc>
        <w:tc>
          <w:tcPr>
            <w:tcW w:w="2175" w:type="dxa"/>
          </w:tcPr>
          <w:p w14:paraId="18A19221" w14:textId="77777777" w:rsidR="003162D1" w:rsidRDefault="00FF0CC3">
            <w:pPr>
              <w:pStyle w:val="TableText"/>
              <w:spacing w:before="83" w:line="186" w:lineRule="auto"/>
              <w:ind w:left="610"/>
              <w:jc w:val="center"/>
              <w:rPr>
                <w:rFonts w:eastAsia="宋体"/>
                <w:snapToGrid/>
                <w:color w:val="auto"/>
                <w:lang w:eastAsia="zh-CN" w:bidi="ar"/>
              </w:rPr>
            </w:pPr>
            <w:r>
              <w:rPr>
                <w:rFonts w:eastAsia="宋体"/>
                <w:snapToGrid/>
                <w:color w:val="auto"/>
                <w:lang w:eastAsia="zh-CN" w:bidi="ar"/>
              </w:rPr>
              <w:t>1</w:t>
            </w:r>
          </w:p>
        </w:tc>
        <w:tc>
          <w:tcPr>
            <w:tcW w:w="2010" w:type="dxa"/>
          </w:tcPr>
          <w:p w14:paraId="096FABDF" w14:textId="77777777" w:rsidR="003162D1" w:rsidRDefault="00FF0CC3">
            <w:pPr>
              <w:pStyle w:val="TableText"/>
              <w:spacing w:before="173" w:line="97" w:lineRule="exact"/>
              <w:ind w:left="717"/>
              <w:jc w:val="center"/>
              <w:rPr>
                <w:rFonts w:eastAsia="宋体"/>
                <w:snapToGrid/>
                <w:color w:val="auto"/>
                <w:lang w:eastAsia="zh-CN" w:bidi="ar"/>
              </w:rPr>
            </w:pPr>
            <w:r>
              <w:rPr>
                <w:rFonts w:eastAsia="宋体"/>
                <w:snapToGrid/>
                <w:color w:val="auto"/>
                <w:lang w:eastAsia="zh-CN" w:bidi="ar"/>
              </w:rPr>
              <w:t>-</w:t>
            </w:r>
          </w:p>
        </w:tc>
        <w:tc>
          <w:tcPr>
            <w:tcW w:w="1680" w:type="dxa"/>
          </w:tcPr>
          <w:p w14:paraId="1C21401D" w14:textId="77777777" w:rsidR="003162D1" w:rsidRDefault="00FF0CC3">
            <w:pPr>
              <w:pStyle w:val="TableText"/>
              <w:spacing w:before="67" w:line="166" w:lineRule="auto"/>
              <w:ind w:left="178"/>
              <w:jc w:val="center"/>
              <w:rPr>
                <w:rFonts w:eastAsia="宋体"/>
                <w:snapToGrid/>
                <w:color w:val="auto"/>
                <w:lang w:eastAsia="zh-CN" w:bidi="ar"/>
              </w:rPr>
            </w:pPr>
            <w:r>
              <w:rPr>
                <w:rFonts w:eastAsia="宋体"/>
                <w:snapToGrid/>
                <w:color w:val="auto"/>
                <w:lang w:eastAsia="zh-CN" w:bidi="ar"/>
              </w:rPr>
              <w:t>0.46~0.6</w:t>
            </w:r>
          </w:p>
        </w:tc>
      </w:tr>
      <w:tr w:rsidR="003162D1" w14:paraId="71486FF7" w14:textId="77777777">
        <w:trPr>
          <w:trHeight w:val="328"/>
        </w:trPr>
        <w:tc>
          <w:tcPr>
            <w:tcW w:w="960" w:type="dxa"/>
          </w:tcPr>
          <w:p w14:paraId="5B369731" w14:textId="77777777" w:rsidR="003162D1" w:rsidRDefault="00FF0CC3">
            <w:pPr>
              <w:pStyle w:val="TableText"/>
              <w:spacing w:before="66" w:line="214" w:lineRule="auto"/>
              <w:ind w:left="505"/>
              <w:jc w:val="center"/>
              <w:rPr>
                <w:rFonts w:eastAsia="宋体"/>
                <w:snapToGrid/>
                <w:color w:val="auto"/>
                <w:lang w:eastAsia="zh-CN" w:bidi="ar"/>
              </w:rPr>
            </w:pPr>
            <w:r>
              <w:rPr>
                <w:rFonts w:eastAsia="宋体"/>
                <w:snapToGrid/>
                <w:color w:val="auto"/>
                <w:lang w:eastAsia="zh-CN" w:bidi="ar"/>
              </w:rPr>
              <w:t>[3</w:t>
            </w:r>
            <w:r>
              <w:rPr>
                <w:rFonts w:eastAsia="宋体" w:hint="eastAsia"/>
                <w:snapToGrid/>
                <w:color w:val="auto"/>
                <w:lang w:eastAsia="zh-CN" w:bidi="ar"/>
              </w:rPr>
              <w:t>4</w:t>
            </w:r>
            <w:r>
              <w:rPr>
                <w:rFonts w:eastAsia="宋体"/>
                <w:snapToGrid/>
                <w:color w:val="auto"/>
                <w:lang w:eastAsia="zh-CN" w:bidi="ar"/>
              </w:rPr>
              <w:t>]</w:t>
            </w:r>
          </w:p>
        </w:tc>
        <w:tc>
          <w:tcPr>
            <w:tcW w:w="2160" w:type="dxa"/>
          </w:tcPr>
          <w:p w14:paraId="58530E23" w14:textId="77777777" w:rsidR="003162D1" w:rsidRDefault="00FF0CC3">
            <w:pPr>
              <w:pStyle w:val="TableText"/>
              <w:spacing w:before="55" w:line="234" w:lineRule="auto"/>
              <w:ind w:left="997"/>
              <w:jc w:val="center"/>
              <w:rPr>
                <w:rFonts w:eastAsia="宋体"/>
                <w:snapToGrid/>
                <w:color w:val="auto"/>
                <w:lang w:eastAsia="zh-CN" w:bidi="ar"/>
              </w:rPr>
            </w:pPr>
            <w:r>
              <w:rPr>
                <w:rFonts w:eastAsia="宋体"/>
                <w:snapToGrid/>
                <w:color w:val="auto"/>
                <w:lang w:eastAsia="zh-CN" w:bidi="ar"/>
              </w:rPr>
              <w:t>&gt;10−4</w:t>
            </w:r>
          </w:p>
        </w:tc>
        <w:tc>
          <w:tcPr>
            <w:tcW w:w="2175" w:type="dxa"/>
          </w:tcPr>
          <w:p w14:paraId="05523EAB" w14:textId="77777777" w:rsidR="003162D1" w:rsidRDefault="00FF0CC3">
            <w:pPr>
              <w:pStyle w:val="TableText"/>
              <w:spacing w:before="81" w:line="190" w:lineRule="auto"/>
              <w:ind w:left="413"/>
              <w:jc w:val="center"/>
              <w:rPr>
                <w:rFonts w:eastAsia="宋体"/>
                <w:snapToGrid/>
                <w:color w:val="auto"/>
                <w:lang w:eastAsia="zh-CN" w:bidi="ar"/>
              </w:rPr>
            </w:pPr>
            <w:r>
              <w:rPr>
                <w:rFonts w:eastAsia="宋体"/>
                <w:snapToGrid/>
                <w:color w:val="auto"/>
                <w:lang w:eastAsia="zh-CN" w:bidi="ar"/>
              </w:rPr>
              <w:t>0.172</w:t>
            </w:r>
          </w:p>
        </w:tc>
        <w:tc>
          <w:tcPr>
            <w:tcW w:w="2010" w:type="dxa"/>
          </w:tcPr>
          <w:p w14:paraId="3F3AD374" w14:textId="77777777" w:rsidR="003162D1" w:rsidRDefault="00FF0CC3">
            <w:pPr>
              <w:pStyle w:val="TableText"/>
              <w:spacing w:before="83" w:line="188" w:lineRule="auto"/>
              <w:ind w:left="571"/>
              <w:jc w:val="center"/>
              <w:rPr>
                <w:rFonts w:eastAsia="宋体"/>
                <w:snapToGrid/>
                <w:color w:val="auto"/>
                <w:lang w:eastAsia="zh-CN" w:bidi="ar"/>
              </w:rPr>
            </w:pPr>
            <w:r>
              <w:rPr>
                <w:rFonts w:eastAsia="宋体"/>
                <w:snapToGrid/>
                <w:color w:val="auto"/>
                <w:lang w:eastAsia="zh-CN" w:bidi="ar"/>
              </w:rPr>
              <w:t>0.35</w:t>
            </w:r>
          </w:p>
        </w:tc>
        <w:tc>
          <w:tcPr>
            <w:tcW w:w="1680" w:type="dxa"/>
          </w:tcPr>
          <w:p w14:paraId="4ECEDEDC" w14:textId="77777777" w:rsidR="003162D1" w:rsidRDefault="00FF0CC3">
            <w:pPr>
              <w:pStyle w:val="TableText"/>
              <w:spacing w:before="68" w:line="166" w:lineRule="auto"/>
              <w:ind w:left="231"/>
              <w:jc w:val="center"/>
              <w:rPr>
                <w:rFonts w:eastAsia="宋体"/>
                <w:snapToGrid/>
                <w:color w:val="auto"/>
                <w:lang w:eastAsia="zh-CN" w:bidi="ar"/>
              </w:rPr>
            </w:pPr>
            <w:r>
              <w:rPr>
                <w:rFonts w:eastAsia="宋体"/>
                <w:snapToGrid/>
                <w:color w:val="auto"/>
                <w:lang w:eastAsia="zh-CN" w:bidi="ar"/>
              </w:rPr>
              <w:t>0.7~1.5</w:t>
            </w:r>
          </w:p>
        </w:tc>
      </w:tr>
      <w:tr w:rsidR="003162D1" w14:paraId="04C8C567" w14:textId="77777777">
        <w:trPr>
          <w:trHeight w:val="326"/>
        </w:trPr>
        <w:tc>
          <w:tcPr>
            <w:tcW w:w="960" w:type="dxa"/>
          </w:tcPr>
          <w:p w14:paraId="02FC52F7" w14:textId="77777777" w:rsidR="003162D1" w:rsidRDefault="00FF0CC3">
            <w:pPr>
              <w:pStyle w:val="TableText"/>
              <w:spacing w:before="66" w:line="214" w:lineRule="auto"/>
              <w:ind w:left="505"/>
              <w:jc w:val="center"/>
              <w:rPr>
                <w:rFonts w:eastAsia="宋体"/>
                <w:snapToGrid/>
                <w:color w:val="auto"/>
                <w:lang w:eastAsia="zh-CN" w:bidi="ar"/>
              </w:rPr>
            </w:pPr>
            <w:r>
              <w:rPr>
                <w:rFonts w:eastAsia="宋体"/>
                <w:snapToGrid/>
                <w:color w:val="auto"/>
                <w:lang w:eastAsia="zh-CN" w:bidi="ar"/>
              </w:rPr>
              <w:t>[3</w:t>
            </w:r>
            <w:r>
              <w:rPr>
                <w:rFonts w:eastAsia="宋体" w:hint="eastAsia"/>
                <w:snapToGrid/>
                <w:color w:val="auto"/>
                <w:lang w:eastAsia="zh-CN" w:bidi="ar"/>
              </w:rPr>
              <w:t>5</w:t>
            </w:r>
            <w:r>
              <w:rPr>
                <w:rFonts w:eastAsia="宋体"/>
                <w:snapToGrid/>
                <w:color w:val="auto"/>
                <w:lang w:eastAsia="zh-CN" w:bidi="ar"/>
              </w:rPr>
              <w:t>]</w:t>
            </w:r>
          </w:p>
        </w:tc>
        <w:tc>
          <w:tcPr>
            <w:tcW w:w="2160" w:type="dxa"/>
          </w:tcPr>
          <w:p w14:paraId="25078781" w14:textId="77777777" w:rsidR="003162D1" w:rsidRDefault="00FF0CC3">
            <w:pPr>
              <w:pStyle w:val="TableText"/>
              <w:spacing w:before="56" w:line="231" w:lineRule="auto"/>
              <w:ind w:left="997"/>
              <w:jc w:val="center"/>
              <w:rPr>
                <w:rFonts w:eastAsia="宋体"/>
                <w:snapToGrid/>
                <w:color w:val="auto"/>
                <w:lang w:eastAsia="zh-CN" w:bidi="ar"/>
              </w:rPr>
            </w:pPr>
            <w:r>
              <w:rPr>
                <w:rFonts w:eastAsia="宋体"/>
                <w:snapToGrid/>
                <w:color w:val="auto"/>
                <w:lang w:eastAsia="zh-CN" w:bidi="ar"/>
              </w:rPr>
              <w:t>&gt;10−3</w:t>
            </w:r>
          </w:p>
        </w:tc>
        <w:tc>
          <w:tcPr>
            <w:tcW w:w="2175" w:type="dxa"/>
          </w:tcPr>
          <w:p w14:paraId="2CE61511" w14:textId="77777777" w:rsidR="003162D1" w:rsidRDefault="00FF0CC3">
            <w:pPr>
              <w:pStyle w:val="TableText"/>
              <w:spacing w:before="81" w:line="190" w:lineRule="auto"/>
              <w:ind w:left="476"/>
              <w:jc w:val="center"/>
              <w:rPr>
                <w:rFonts w:eastAsia="宋体"/>
                <w:snapToGrid/>
                <w:color w:val="auto"/>
                <w:lang w:eastAsia="zh-CN" w:bidi="ar"/>
              </w:rPr>
            </w:pPr>
            <w:r>
              <w:rPr>
                <w:rFonts w:eastAsia="宋体"/>
                <w:snapToGrid/>
                <w:color w:val="auto"/>
                <w:lang w:eastAsia="zh-CN" w:bidi="ar"/>
              </w:rPr>
              <w:t>12.7</w:t>
            </w:r>
          </w:p>
        </w:tc>
        <w:tc>
          <w:tcPr>
            <w:tcW w:w="2010" w:type="dxa"/>
          </w:tcPr>
          <w:p w14:paraId="11C2F64F" w14:textId="77777777" w:rsidR="003162D1" w:rsidRDefault="00FF0CC3">
            <w:pPr>
              <w:pStyle w:val="TableText"/>
              <w:spacing w:before="173" w:line="97" w:lineRule="exact"/>
              <w:ind w:left="717"/>
              <w:jc w:val="center"/>
              <w:rPr>
                <w:rFonts w:eastAsia="宋体"/>
                <w:snapToGrid/>
                <w:color w:val="auto"/>
                <w:lang w:eastAsia="zh-CN" w:bidi="ar"/>
              </w:rPr>
            </w:pPr>
            <w:r>
              <w:rPr>
                <w:rFonts w:eastAsia="宋体"/>
                <w:snapToGrid/>
                <w:color w:val="auto"/>
                <w:lang w:eastAsia="zh-CN" w:bidi="ar"/>
              </w:rPr>
              <w:t>-</w:t>
            </w:r>
          </w:p>
        </w:tc>
        <w:tc>
          <w:tcPr>
            <w:tcW w:w="1680" w:type="dxa"/>
          </w:tcPr>
          <w:p w14:paraId="7F6FF2F6" w14:textId="77777777" w:rsidR="003162D1" w:rsidRDefault="00FF0CC3">
            <w:pPr>
              <w:pStyle w:val="TableText"/>
              <w:spacing w:before="68" w:line="165" w:lineRule="auto"/>
              <w:ind w:left="178"/>
              <w:jc w:val="center"/>
              <w:rPr>
                <w:rFonts w:eastAsia="宋体"/>
                <w:snapToGrid/>
                <w:color w:val="auto"/>
                <w:lang w:eastAsia="zh-CN" w:bidi="ar"/>
              </w:rPr>
            </w:pPr>
            <w:r>
              <w:rPr>
                <w:rFonts w:eastAsia="宋体"/>
                <w:snapToGrid/>
                <w:color w:val="auto"/>
                <w:lang w:eastAsia="zh-CN" w:bidi="ar"/>
              </w:rPr>
              <w:t>0.9~1.05</w:t>
            </w:r>
          </w:p>
        </w:tc>
      </w:tr>
      <w:tr w:rsidR="003162D1" w14:paraId="6BE1E6D6" w14:textId="77777777">
        <w:trPr>
          <w:trHeight w:val="105"/>
        </w:trPr>
        <w:tc>
          <w:tcPr>
            <w:tcW w:w="960" w:type="dxa"/>
            <w:tcBorders>
              <w:bottom w:val="single" w:sz="2" w:space="0" w:color="000000"/>
            </w:tcBorders>
          </w:tcPr>
          <w:p w14:paraId="2549A19D" w14:textId="77777777" w:rsidR="003162D1" w:rsidRDefault="00FF0CC3">
            <w:pPr>
              <w:spacing w:before="60" w:line="213" w:lineRule="auto"/>
              <w:ind w:left="126"/>
              <w:jc w:val="center"/>
              <w:rPr>
                <w:rFonts w:ascii="Times New Roman" w:eastAsia="宋体" w:hAnsi="Times New Roman" w:cs="Times New Roman"/>
                <w:snapToGrid/>
                <w:color w:val="auto"/>
                <w:lang w:eastAsia="zh-CN" w:bidi="ar"/>
              </w:rPr>
            </w:pPr>
            <w:r>
              <w:rPr>
                <w:rFonts w:ascii="Times New Roman" w:eastAsia="宋体" w:hAnsi="Times New Roman" w:cs="Times New Roman"/>
                <w:snapToGrid/>
                <w:color w:val="auto"/>
                <w:lang w:eastAsia="zh-CN" w:bidi="ar"/>
              </w:rPr>
              <w:t>本</w:t>
            </w:r>
            <w:r>
              <w:rPr>
                <w:rFonts w:ascii="Times New Roman" w:eastAsia="宋体" w:hAnsi="Times New Roman" w:cs="Times New Roman" w:hint="eastAsia"/>
                <w:snapToGrid/>
                <w:color w:val="auto"/>
                <w:lang w:eastAsia="zh-CN" w:bidi="ar"/>
              </w:rPr>
              <w:t>文</w:t>
            </w:r>
          </w:p>
        </w:tc>
        <w:tc>
          <w:tcPr>
            <w:tcW w:w="2160" w:type="dxa"/>
            <w:tcBorders>
              <w:bottom w:val="single" w:sz="2" w:space="0" w:color="000000"/>
            </w:tcBorders>
          </w:tcPr>
          <w:p w14:paraId="14C9C96C" w14:textId="77777777" w:rsidR="003162D1" w:rsidRDefault="00FF0CC3">
            <w:pPr>
              <w:pStyle w:val="TableText"/>
              <w:spacing w:before="57" w:line="232" w:lineRule="auto"/>
              <w:ind w:left="997"/>
              <w:jc w:val="center"/>
              <w:rPr>
                <w:rFonts w:eastAsia="宋体"/>
                <w:snapToGrid/>
                <w:color w:val="auto"/>
                <w:lang w:eastAsia="zh-CN" w:bidi="ar"/>
              </w:rPr>
            </w:pPr>
            <w:r>
              <w:rPr>
                <w:rFonts w:eastAsia="宋体"/>
                <w:snapToGrid/>
                <w:color w:val="auto"/>
                <w:lang w:eastAsia="zh-CN" w:bidi="ar"/>
              </w:rPr>
              <w:t>&gt;10−4</w:t>
            </w:r>
          </w:p>
        </w:tc>
        <w:tc>
          <w:tcPr>
            <w:tcW w:w="2175" w:type="dxa"/>
            <w:tcBorders>
              <w:bottom w:val="single" w:sz="2" w:space="0" w:color="000000"/>
            </w:tcBorders>
          </w:tcPr>
          <w:p w14:paraId="1C40EF5B" w14:textId="77777777" w:rsidR="003162D1" w:rsidRDefault="00FF0CC3">
            <w:pPr>
              <w:pStyle w:val="TableText"/>
              <w:spacing w:before="85" w:line="183" w:lineRule="auto"/>
              <w:ind w:left="476"/>
              <w:jc w:val="center"/>
              <w:rPr>
                <w:rFonts w:eastAsia="宋体"/>
                <w:snapToGrid/>
                <w:color w:val="auto"/>
                <w:lang w:eastAsia="zh-CN" w:bidi="ar"/>
              </w:rPr>
            </w:pPr>
            <w:r>
              <w:rPr>
                <w:rFonts w:eastAsia="宋体"/>
                <w:snapToGrid/>
                <w:color w:val="auto"/>
                <w:lang w:eastAsia="zh-CN" w:bidi="ar"/>
              </w:rPr>
              <w:t>1.21</w:t>
            </w:r>
          </w:p>
        </w:tc>
        <w:tc>
          <w:tcPr>
            <w:tcW w:w="2010" w:type="dxa"/>
            <w:tcBorders>
              <w:bottom w:val="single" w:sz="2" w:space="0" w:color="000000"/>
            </w:tcBorders>
          </w:tcPr>
          <w:p w14:paraId="022B359A" w14:textId="77777777" w:rsidR="003162D1" w:rsidRDefault="00FF0CC3">
            <w:pPr>
              <w:pStyle w:val="TableText"/>
              <w:spacing w:before="84" w:line="188" w:lineRule="auto"/>
              <w:ind w:left="623"/>
              <w:jc w:val="center"/>
              <w:rPr>
                <w:rFonts w:eastAsia="宋体"/>
                <w:snapToGrid/>
                <w:color w:val="auto"/>
                <w:lang w:eastAsia="zh-CN" w:bidi="ar"/>
              </w:rPr>
            </w:pPr>
            <w:r>
              <w:rPr>
                <w:rFonts w:eastAsia="宋体"/>
                <w:snapToGrid/>
                <w:color w:val="auto"/>
                <w:lang w:eastAsia="zh-CN" w:bidi="ar"/>
              </w:rPr>
              <w:t>0.3</w:t>
            </w:r>
          </w:p>
        </w:tc>
        <w:tc>
          <w:tcPr>
            <w:tcW w:w="1680" w:type="dxa"/>
            <w:tcBorders>
              <w:bottom w:val="single" w:sz="2" w:space="0" w:color="000000"/>
            </w:tcBorders>
          </w:tcPr>
          <w:p w14:paraId="4EB4099F" w14:textId="77777777" w:rsidR="003162D1" w:rsidRDefault="00FF0CC3">
            <w:pPr>
              <w:pStyle w:val="TableText"/>
              <w:spacing w:before="70" w:line="165" w:lineRule="auto"/>
              <w:ind w:left="178"/>
              <w:jc w:val="center"/>
              <w:rPr>
                <w:rFonts w:eastAsia="宋体"/>
                <w:snapToGrid/>
                <w:color w:val="auto"/>
                <w:lang w:eastAsia="zh-CN" w:bidi="ar"/>
              </w:rPr>
            </w:pPr>
            <w:r>
              <w:rPr>
                <w:rFonts w:eastAsia="宋体"/>
                <w:snapToGrid/>
                <w:color w:val="auto"/>
                <w:lang w:eastAsia="zh-CN" w:bidi="ar"/>
              </w:rPr>
              <w:t>0.84~1.1</w:t>
            </w:r>
          </w:p>
        </w:tc>
      </w:tr>
    </w:tbl>
    <w:p w14:paraId="6B6F5EBA" w14:textId="77777777" w:rsidR="003162D1" w:rsidRDefault="003162D1">
      <w:pPr>
        <w:pStyle w:val="a5"/>
        <w:spacing w:before="98" w:line="210" w:lineRule="auto"/>
        <w:ind w:left="12" w:firstLine="408"/>
        <w:outlineLvl w:val="0"/>
        <w:rPr>
          <w:rFonts w:ascii="Times New Roman" w:hAnsi="Times New Roman" w:cs="Times New Roman"/>
          <w:snapToGrid/>
          <w:color w:val="auto"/>
          <w:lang w:eastAsia="zh-CN" w:bidi="ar"/>
        </w:rPr>
      </w:pPr>
    </w:p>
    <w:p w14:paraId="10F4E1E1" w14:textId="77777777" w:rsidR="003162D1" w:rsidRDefault="00FF0CC3">
      <w:pPr>
        <w:pStyle w:val="a5"/>
        <w:spacing w:before="98" w:line="210" w:lineRule="auto"/>
        <w:ind w:left="12"/>
        <w:outlineLvl w:val="0"/>
        <w:rPr>
          <w:rFonts w:ascii="Times New Roman" w:hAnsi="Times New Roman" w:cs="Times New Roman"/>
          <w:b/>
          <w:bCs/>
          <w:snapToGrid/>
          <w:color w:val="auto"/>
          <w:sz w:val="24"/>
          <w:szCs w:val="24"/>
          <w:lang w:eastAsia="zh-CN" w:bidi="ar"/>
        </w:rPr>
      </w:pPr>
      <w:r>
        <w:rPr>
          <w:rFonts w:ascii="Times New Roman" w:hAnsi="Times New Roman" w:cs="Times New Roman"/>
          <w:b/>
          <w:bCs/>
          <w:snapToGrid/>
          <w:color w:val="auto"/>
          <w:sz w:val="24"/>
          <w:szCs w:val="24"/>
          <w:lang w:eastAsia="zh-CN" w:bidi="ar"/>
        </w:rPr>
        <w:t xml:space="preserve">4  </w:t>
      </w:r>
      <w:r>
        <w:rPr>
          <w:rFonts w:ascii="Times New Roman" w:hAnsi="Times New Roman" w:cs="Times New Roman"/>
          <w:b/>
          <w:bCs/>
          <w:snapToGrid/>
          <w:color w:val="auto"/>
          <w:sz w:val="24"/>
          <w:szCs w:val="24"/>
          <w:lang w:eastAsia="zh-CN" w:bidi="ar"/>
        </w:rPr>
        <w:t>结束语</w:t>
      </w:r>
    </w:p>
    <w:p w14:paraId="5B015773" w14:textId="77777777" w:rsidR="003162D1" w:rsidRDefault="00FF0CC3">
      <w:pPr>
        <w:ind w:firstLineChars="200" w:firstLine="420"/>
        <w:jc w:val="both"/>
        <w:rPr>
          <w:rFonts w:ascii="Times New Roman" w:eastAsia="宋体" w:hAnsi="Times New Roman" w:cs="Times New Roman"/>
          <w:color w:val="auto"/>
          <w:lang w:eastAsia="zh-CN"/>
        </w:rPr>
      </w:pPr>
      <w:r>
        <w:rPr>
          <w:rFonts w:ascii="Times New Roman" w:eastAsia="宋体" w:hAnsi="Times New Roman" w:cs="Times New Roman" w:hint="eastAsia"/>
          <w:color w:val="auto"/>
          <w:lang w:eastAsia="zh-CN"/>
        </w:rPr>
        <w:t>本文设计了一种双圆环套管结合双直板的空芯反谐振光纤，在低损耗与高双折射特性方面表现优异。通过优化几何参数，该光纤的双折射系数达到</w:t>
      </w:r>
      <w:r>
        <w:rPr>
          <w:rFonts w:ascii="Times New Roman" w:eastAsia="宋体" w:hAnsi="Times New Roman" w:cs="Times New Roman"/>
          <w:color w:val="auto"/>
          <w:lang w:eastAsia="zh-CN"/>
        </w:rPr>
        <w:t>4.45×10</w:t>
      </w:r>
      <w:r>
        <w:rPr>
          <w:rFonts w:ascii="Times New Roman" w:eastAsia="宋体" w:hAnsi="Times New Roman" w:cs="Times New Roman"/>
          <w:color w:val="auto"/>
          <w:vertAlign w:val="superscript"/>
          <w:lang w:eastAsia="zh-CN"/>
        </w:rPr>
        <w:t>−</w:t>
      </w:r>
      <w:r>
        <w:rPr>
          <w:rFonts w:ascii="Times New Roman" w:eastAsia="宋体" w:hAnsi="Times New Roman" w:cs="Times New Roman"/>
          <w:color w:val="auto"/>
          <w:vertAlign w:val="superscript"/>
          <w:lang w:eastAsia="zh-CN"/>
        </w:rPr>
        <w:t>4</w:t>
      </w:r>
      <w:r>
        <w:rPr>
          <w:rFonts w:ascii="Times New Roman" w:eastAsia="宋体" w:hAnsi="Times New Roman" w:cs="Times New Roman" w:hint="eastAsia"/>
          <w:color w:val="auto"/>
          <w:lang w:eastAsia="zh-CN"/>
        </w:rPr>
        <w:t>，有效提升了偏振分离能力，适用于偏振敏感型光通信与传感系统。在</w:t>
      </w:r>
      <w:r>
        <w:rPr>
          <w:rFonts w:ascii="Times New Roman" w:eastAsia="宋体" w:hAnsi="Times New Roman" w:cs="Times New Roman"/>
          <w:color w:val="auto"/>
          <w:lang w:eastAsia="zh-CN"/>
        </w:rPr>
        <w:t>1 THz</w:t>
      </w:r>
      <w:r>
        <w:rPr>
          <w:rFonts w:ascii="Times New Roman" w:eastAsia="宋体" w:hAnsi="Times New Roman" w:cs="Times New Roman" w:hint="eastAsia"/>
          <w:color w:val="auto"/>
          <w:lang w:eastAsia="zh-CN"/>
        </w:rPr>
        <w:t>频率下，</w:t>
      </w:r>
      <w:r>
        <w:rPr>
          <w:rFonts w:ascii="Times New Roman" w:eastAsia="宋体" w:hAnsi="Times New Roman" w:cs="Times New Roman"/>
          <w:i/>
          <w:color w:val="auto"/>
          <w:lang w:eastAsia="zh-CN"/>
        </w:rPr>
        <w:t>x</w:t>
      </w:r>
      <w:r>
        <w:rPr>
          <w:rFonts w:ascii="Times New Roman" w:eastAsia="宋体" w:hAnsi="Times New Roman" w:cs="Times New Roman" w:hint="eastAsia"/>
          <w:color w:val="auto"/>
          <w:lang w:eastAsia="zh-CN"/>
        </w:rPr>
        <w:t>偏振与</w:t>
      </w:r>
      <w:r>
        <w:rPr>
          <w:rFonts w:ascii="Times New Roman" w:eastAsia="宋体" w:hAnsi="Times New Roman" w:cs="Times New Roman"/>
          <w:i/>
          <w:color w:val="auto"/>
          <w:lang w:eastAsia="zh-CN"/>
        </w:rPr>
        <w:t>y</w:t>
      </w:r>
      <w:r>
        <w:rPr>
          <w:rFonts w:ascii="Times New Roman" w:eastAsia="宋体" w:hAnsi="Times New Roman" w:cs="Times New Roman" w:hint="eastAsia"/>
          <w:color w:val="auto"/>
          <w:lang w:eastAsia="zh-CN"/>
        </w:rPr>
        <w:t>偏振模式的总损耗分别为</w:t>
      </w:r>
      <w:r>
        <w:rPr>
          <w:rFonts w:ascii="Times New Roman" w:eastAsia="宋体" w:hAnsi="Times New Roman" w:cs="Times New Roman"/>
          <w:color w:val="auto"/>
          <w:lang w:eastAsia="zh-CN"/>
        </w:rPr>
        <w:t>1.7 dB/m</w:t>
      </w:r>
      <w:r>
        <w:rPr>
          <w:rFonts w:ascii="Times New Roman" w:eastAsia="宋体" w:hAnsi="Times New Roman" w:cs="Times New Roman" w:hint="eastAsia"/>
          <w:color w:val="auto"/>
          <w:lang w:eastAsia="zh-CN"/>
        </w:rPr>
        <w:t>与</w:t>
      </w:r>
      <w:r>
        <w:rPr>
          <w:rFonts w:ascii="Times New Roman" w:eastAsia="宋体" w:hAnsi="Times New Roman" w:cs="Times New Roman"/>
          <w:color w:val="auto"/>
          <w:lang w:eastAsia="zh-CN"/>
        </w:rPr>
        <w:t>1.2 dB/m</w:t>
      </w:r>
      <w:r>
        <w:rPr>
          <w:rFonts w:ascii="Times New Roman" w:eastAsia="宋体" w:hAnsi="Times New Roman" w:cs="Times New Roman" w:hint="eastAsia"/>
          <w:color w:val="auto"/>
          <w:lang w:eastAsia="zh-CN"/>
        </w:rPr>
        <w:t>，展现出极低的传输损耗。该结构在</w:t>
      </w:r>
      <w:r>
        <w:rPr>
          <w:rFonts w:ascii="Times New Roman" w:eastAsia="宋体" w:hAnsi="Times New Roman" w:cs="Times New Roman"/>
          <w:color w:val="auto"/>
          <w:lang w:eastAsia="zh-CN"/>
        </w:rPr>
        <w:t>0.84~1.10 THz</w:t>
      </w:r>
      <w:r>
        <w:rPr>
          <w:rFonts w:ascii="Times New Roman" w:eastAsia="宋体" w:hAnsi="Times New Roman" w:cs="Times New Roman" w:hint="eastAsia"/>
          <w:color w:val="auto"/>
          <w:lang w:eastAsia="zh-CN"/>
        </w:rPr>
        <w:t>范围内具备宽频带传输能力，最小弯曲半径可达</w:t>
      </w:r>
      <w:r>
        <w:rPr>
          <w:rFonts w:ascii="Times New Roman" w:eastAsia="宋体" w:hAnsi="Times New Roman" w:cs="Times New Roman"/>
          <w:color w:val="auto"/>
          <w:lang w:eastAsia="zh-CN"/>
        </w:rPr>
        <w:t>0.3 m</w:t>
      </w:r>
      <w:r>
        <w:rPr>
          <w:rFonts w:ascii="Times New Roman" w:eastAsia="宋体" w:hAnsi="Times New Roman" w:cs="Times New Roman" w:hint="eastAsia"/>
          <w:color w:val="auto"/>
          <w:lang w:eastAsia="zh-CN"/>
        </w:rPr>
        <w:t>，能够满足灵活布线及宽频带传输需求。本文验证了所提光纤模型在综合性能与环境适应性方面的优势，为高效低损耗的宽频带太赫兹通信系统提供了有力支持，也为太赫兹波段光纤器件的设计开辟了新前景。未来工作将聚焦于该结构在复杂环境下的传输性能研究及制造工艺优化，以推动其在实际系统中的应用进程。</w:t>
      </w:r>
    </w:p>
    <w:p w14:paraId="44C8192A" w14:textId="77777777" w:rsidR="003162D1" w:rsidRDefault="003162D1">
      <w:pPr>
        <w:ind w:firstLineChars="200" w:firstLine="420"/>
        <w:jc w:val="both"/>
        <w:rPr>
          <w:rFonts w:ascii="Times New Roman" w:eastAsiaTheme="minorEastAsia" w:hAnsi="Times New Roman" w:cs="Times New Roman"/>
          <w:snapToGrid/>
          <w:lang w:eastAsia="zh-CN" w:bidi="ar"/>
        </w:rPr>
      </w:pPr>
    </w:p>
    <w:p w14:paraId="4B128709" w14:textId="77777777" w:rsidR="003162D1" w:rsidRDefault="003162D1">
      <w:pPr>
        <w:ind w:firstLineChars="200" w:firstLine="420"/>
        <w:jc w:val="both"/>
        <w:rPr>
          <w:rFonts w:ascii="Times New Roman" w:eastAsiaTheme="minorEastAsia" w:hAnsi="Times New Roman" w:cs="Times New Roman"/>
          <w:snapToGrid/>
          <w:lang w:eastAsia="zh-CN" w:bidi="ar"/>
        </w:rPr>
      </w:pPr>
    </w:p>
    <w:p w14:paraId="60CC4352" w14:textId="77777777" w:rsidR="003162D1" w:rsidRDefault="003162D1">
      <w:pPr>
        <w:ind w:firstLineChars="200" w:firstLine="420"/>
        <w:jc w:val="both"/>
        <w:rPr>
          <w:rFonts w:ascii="Times New Roman" w:eastAsiaTheme="minorEastAsia" w:hAnsi="Times New Roman" w:cs="Times New Roman"/>
          <w:snapToGrid/>
          <w:lang w:eastAsia="zh-CN" w:bidi="ar"/>
        </w:rPr>
      </w:pPr>
    </w:p>
    <w:p w14:paraId="7A2D9A33" w14:textId="77777777" w:rsidR="003162D1" w:rsidRDefault="003162D1">
      <w:pPr>
        <w:ind w:firstLineChars="200" w:firstLine="420"/>
        <w:jc w:val="both"/>
        <w:rPr>
          <w:rFonts w:ascii="Times New Roman" w:eastAsiaTheme="minorEastAsia" w:hAnsi="Times New Roman" w:cs="Times New Roman"/>
          <w:snapToGrid/>
          <w:lang w:eastAsia="zh-CN" w:bidi="ar"/>
        </w:rPr>
      </w:pPr>
    </w:p>
    <w:p w14:paraId="7EDF8881" w14:textId="77777777" w:rsidR="003162D1" w:rsidRDefault="003162D1">
      <w:pPr>
        <w:ind w:firstLineChars="200" w:firstLine="420"/>
        <w:jc w:val="both"/>
        <w:rPr>
          <w:rFonts w:ascii="Times New Roman" w:eastAsiaTheme="minorEastAsia" w:hAnsi="Times New Roman" w:cs="Times New Roman"/>
          <w:snapToGrid/>
          <w:lang w:eastAsia="zh-CN" w:bidi="ar"/>
        </w:rPr>
      </w:pPr>
    </w:p>
    <w:p w14:paraId="5EEBABC8" w14:textId="77777777" w:rsidR="003162D1" w:rsidRDefault="003162D1">
      <w:pPr>
        <w:ind w:firstLineChars="200" w:firstLine="420"/>
        <w:jc w:val="both"/>
        <w:rPr>
          <w:rFonts w:ascii="Times New Roman" w:eastAsiaTheme="minorEastAsia" w:hAnsi="Times New Roman" w:cs="Times New Roman"/>
          <w:snapToGrid/>
          <w:lang w:eastAsia="zh-CN" w:bidi="ar"/>
        </w:rPr>
      </w:pPr>
    </w:p>
    <w:p w14:paraId="70027135" w14:textId="77777777" w:rsidR="003162D1" w:rsidRDefault="003162D1">
      <w:pPr>
        <w:ind w:firstLineChars="200" w:firstLine="420"/>
        <w:jc w:val="both"/>
        <w:rPr>
          <w:rFonts w:ascii="Times New Roman" w:eastAsiaTheme="minorEastAsia" w:hAnsi="Times New Roman" w:cs="Times New Roman"/>
          <w:snapToGrid/>
          <w:lang w:eastAsia="zh-CN" w:bidi="ar"/>
        </w:rPr>
      </w:pPr>
    </w:p>
    <w:p w14:paraId="3EBF8C14" w14:textId="77777777" w:rsidR="003162D1" w:rsidRDefault="00FF0CC3">
      <w:pPr>
        <w:jc w:val="both"/>
        <w:rPr>
          <w:rFonts w:ascii="Times New Roman" w:eastAsia="宋体" w:hAnsi="Times New Roman" w:cs="Times New Roman"/>
          <w:b/>
          <w:bCs/>
          <w:lang w:eastAsia="zh-CN"/>
        </w:rPr>
      </w:pPr>
      <w:r>
        <w:rPr>
          <w:rFonts w:ascii="Times New Roman" w:eastAsia="宋体" w:hAnsi="Times New Roman" w:cs="Times New Roman"/>
          <w:b/>
          <w:bCs/>
          <w:lang w:eastAsia="zh-CN"/>
        </w:rPr>
        <w:lastRenderedPageBreak/>
        <w:t>参考文献</w:t>
      </w:r>
      <w:r>
        <w:rPr>
          <w:rFonts w:ascii="Times New Roman" w:eastAsia="宋体" w:hAnsi="Times New Roman" w:cs="Times New Roman" w:hint="eastAsia"/>
          <w:b/>
          <w:bCs/>
          <w:lang w:eastAsia="zh-CN"/>
        </w:rPr>
        <w:t>：</w:t>
      </w:r>
    </w:p>
    <w:p w14:paraId="7FF78203" w14:textId="77777777" w:rsidR="003162D1" w:rsidRDefault="00FF0CC3">
      <w:pPr>
        <w:jc w:val="both"/>
        <w:rPr>
          <w:rFonts w:ascii="Times New Roman" w:eastAsia="宋体" w:hAnsi="Times New Roman"/>
          <w:snapToGrid/>
          <w:kern w:val="2"/>
          <w:szCs w:val="22"/>
        </w:rPr>
      </w:pPr>
      <w:r>
        <w:rPr>
          <w:rFonts w:ascii="Times New Roman" w:eastAsia="宋体" w:hAnsi="Times New Roman" w:hint="eastAsia"/>
          <w:snapToGrid/>
          <w:kern w:val="2"/>
          <w:szCs w:val="22"/>
        </w:rPr>
        <w:t xml:space="preserve">[1] ANASTASSIOU G A. Multivariate hyperbolic tangent neural network approximation[J]. Computers &amp; Mathematics with Applications, 2011, 61(4): 809-821.  </w:t>
      </w:r>
    </w:p>
    <w:p w14:paraId="4C25A695" w14:textId="77777777" w:rsidR="003162D1" w:rsidRDefault="00FF0CC3">
      <w:pPr>
        <w:jc w:val="both"/>
        <w:rPr>
          <w:rFonts w:ascii="Times New Roman" w:eastAsia="宋体" w:hAnsi="Times New Roman"/>
          <w:snapToGrid/>
          <w:kern w:val="2"/>
          <w:szCs w:val="22"/>
        </w:rPr>
      </w:pPr>
      <w:r>
        <w:rPr>
          <w:rFonts w:ascii="Times New Roman" w:eastAsia="宋体" w:hAnsi="Times New Roman" w:hint="eastAsia"/>
          <w:snapToGrid/>
          <w:kern w:val="2"/>
          <w:szCs w:val="22"/>
        </w:rPr>
        <w:t>[2] BÄCK T, SCHWEFEL H P. An overview of evolutionary algorithms for parameter optimization[J]. Evoluti</w:t>
      </w:r>
      <w:r>
        <w:rPr>
          <w:rFonts w:ascii="Times New Roman" w:eastAsia="宋体" w:hAnsi="Times New Roman" w:hint="eastAsia"/>
          <w:snapToGrid/>
          <w:kern w:val="2"/>
          <w:szCs w:val="22"/>
        </w:rPr>
        <w:t xml:space="preserve">onary Computation, 1993, 1(1): 1-23.  </w:t>
      </w:r>
    </w:p>
    <w:p w14:paraId="12F73262" w14:textId="77777777" w:rsidR="003162D1" w:rsidRDefault="00FF0CC3">
      <w:pPr>
        <w:jc w:val="both"/>
        <w:rPr>
          <w:rFonts w:ascii="Times New Roman" w:eastAsia="宋体" w:hAnsi="Times New Roman"/>
          <w:snapToGrid/>
          <w:kern w:val="2"/>
          <w:szCs w:val="22"/>
        </w:rPr>
      </w:pPr>
      <w:r>
        <w:rPr>
          <w:rFonts w:ascii="Times New Roman" w:eastAsia="宋体" w:hAnsi="Times New Roman" w:hint="eastAsia"/>
          <w:snapToGrid/>
          <w:kern w:val="2"/>
          <w:szCs w:val="22"/>
        </w:rPr>
        <w:t xml:space="preserve">[3] BECK A, TEBOULLE M. Gradient-based algorithms with applications to signal recovery[J]. Convex Optimization in Signal Processing and Communications, 2009, 8(8): 42-88.  </w:t>
      </w:r>
    </w:p>
    <w:p w14:paraId="507AA1EE" w14:textId="77777777" w:rsidR="003162D1" w:rsidRDefault="00FF0CC3">
      <w:pPr>
        <w:jc w:val="both"/>
        <w:rPr>
          <w:rFonts w:ascii="Times New Roman" w:eastAsia="宋体" w:hAnsi="Times New Roman"/>
          <w:snapToGrid/>
          <w:kern w:val="2"/>
          <w:szCs w:val="22"/>
        </w:rPr>
      </w:pPr>
      <w:r>
        <w:rPr>
          <w:rFonts w:ascii="Times New Roman" w:eastAsia="宋体" w:hAnsi="Times New Roman" w:hint="eastAsia"/>
          <w:snapToGrid/>
          <w:kern w:val="2"/>
          <w:szCs w:val="22"/>
        </w:rPr>
        <w:t>[4] BUNEA F, TSYBAKOV A B, WEGKAMP M H. Aggr</w:t>
      </w:r>
      <w:r>
        <w:rPr>
          <w:rFonts w:ascii="Times New Roman" w:eastAsia="宋体" w:hAnsi="Times New Roman" w:hint="eastAsia"/>
          <w:snapToGrid/>
          <w:kern w:val="2"/>
          <w:szCs w:val="22"/>
        </w:rPr>
        <w:t xml:space="preserve">egation for gaussian regression[J]. The Annals of Statistics, 2007, 35(4): 1674-1697.  </w:t>
      </w:r>
    </w:p>
    <w:p w14:paraId="218EC095" w14:textId="77777777" w:rsidR="003162D1" w:rsidRDefault="00FF0CC3">
      <w:pPr>
        <w:jc w:val="both"/>
        <w:rPr>
          <w:rFonts w:ascii="Times New Roman" w:eastAsia="宋体" w:hAnsi="Times New Roman"/>
          <w:snapToGrid/>
          <w:kern w:val="2"/>
          <w:szCs w:val="22"/>
        </w:rPr>
      </w:pPr>
      <w:r>
        <w:rPr>
          <w:rFonts w:ascii="Times New Roman" w:eastAsia="宋体" w:hAnsi="Times New Roman" w:hint="eastAsia"/>
          <w:snapToGrid/>
          <w:kern w:val="2"/>
          <w:szCs w:val="22"/>
        </w:rPr>
        <w:t>[5] CHUGH S, GULISTAN A, GHOSH S, et al. Machine learning approach for computing optical properties of a photonic crystal fiber[J]. Optics Express, 2019, 27(25): 36414-</w:t>
      </w:r>
      <w:r>
        <w:rPr>
          <w:rFonts w:ascii="Times New Roman" w:eastAsia="宋体" w:hAnsi="Times New Roman" w:hint="eastAsia"/>
          <w:snapToGrid/>
          <w:kern w:val="2"/>
          <w:szCs w:val="22"/>
        </w:rPr>
        <w:t xml:space="preserve">36425.  </w:t>
      </w:r>
    </w:p>
    <w:p w14:paraId="260E78D6" w14:textId="77777777" w:rsidR="003162D1" w:rsidRDefault="00FF0CC3">
      <w:pPr>
        <w:jc w:val="both"/>
        <w:rPr>
          <w:rFonts w:ascii="Times New Roman" w:eastAsia="宋体" w:hAnsi="Times New Roman"/>
          <w:snapToGrid/>
          <w:kern w:val="2"/>
          <w:szCs w:val="22"/>
        </w:rPr>
      </w:pPr>
      <w:r>
        <w:rPr>
          <w:rFonts w:ascii="Times New Roman" w:eastAsia="宋体" w:hAnsi="Times New Roman" w:hint="eastAsia"/>
          <w:snapToGrid/>
          <w:kern w:val="2"/>
          <w:szCs w:val="22"/>
        </w:rPr>
        <w:t xml:space="preserve">[6] WU S, SIWICKI B, CARTER R M, et al. Impact of nonlinear effects on transmission losses of hollow-core antiresonant negative curvature optical fiber[J]. Applied Optics, 2020, 59(16): 4988-4996.  </w:t>
      </w:r>
    </w:p>
    <w:p w14:paraId="02A67E70" w14:textId="77777777" w:rsidR="003162D1" w:rsidRDefault="00FF0CC3">
      <w:pPr>
        <w:jc w:val="both"/>
        <w:rPr>
          <w:rFonts w:ascii="Times New Roman" w:eastAsia="宋体" w:hAnsi="Times New Roman"/>
          <w:snapToGrid/>
          <w:kern w:val="2"/>
          <w:szCs w:val="22"/>
        </w:rPr>
      </w:pPr>
      <w:r>
        <w:rPr>
          <w:rFonts w:ascii="Times New Roman" w:eastAsia="宋体" w:hAnsi="Times New Roman" w:hint="eastAsia"/>
          <w:snapToGrid/>
          <w:kern w:val="2"/>
          <w:szCs w:val="22"/>
        </w:rPr>
        <w:t xml:space="preserve">[7] DU Y, ZHOU D, ZHANG R, et al. Anti-Resonant </w:t>
      </w:r>
      <w:r>
        <w:rPr>
          <w:rFonts w:ascii="Times New Roman" w:eastAsia="宋体" w:hAnsi="Times New Roman" w:hint="eastAsia"/>
          <w:snapToGrid/>
          <w:kern w:val="2"/>
          <w:szCs w:val="22"/>
        </w:rPr>
        <w:t xml:space="preserve">Hollow-Core Fibers with High Birefringence and Low Loss for Terahertz Propagation[J]. Electronics, 2024, 13(12): 23-82.  </w:t>
      </w:r>
    </w:p>
    <w:p w14:paraId="1F5E263B" w14:textId="77777777" w:rsidR="003162D1" w:rsidRDefault="00FF0CC3">
      <w:pPr>
        <w:jc w:val="both"/>
        <w:rPr>
          <w:rFonts w:ascii="Times New Roman" w:eastAsia="宋体" w:hAnsi="Times New Roman"/>
          <w:snapToGrid/>
          <w:kern w:val="2"/>
          <w:szCs w:val="22"/>
        </w:rPr>
      </w:pPr>
      <w:r>
        <w:rPr>
          <w:rFonts w:ascii="Times New Roman" w:eastAsia="宋体" w:hAnsi="Times New Roman" w:hint="eastAsia"/>
          <w:snapToGrid/>
          <w:kern w:val="2"/>
          <w:szCs w:val="22"/>
        </w:rPr>
        <w:t xml:space="preserve">[8] NAYAK J. Fiber-optic gyroscopes: from design to production[J]. Applied Optics, 2011, 50(25): 152-161.  </w:t>
      </w:r>
    </w:p>
    <w:p w14:paraId="35FA47F6" w14:textId="77777777" w:rsidR="003162D1" w:rsidRDefault="00FF0CC3">
      <w:pPr>
        <w:jc w:val="both"/>
        <w:rPr>
          <w:rFonts w:ascii="Times New Roman" w:eastAsia="宋体" w:hAnsi="Times New Roman"/>
          <w:snapToGrid/>
          <w:kern w:val="2"/>
          <w:szCs w:val="22"/>
        </w:rPr>
      </w:pPr>
      <w:r>
        <w:rPr>
          <w:rFonts w:ascii="Times New Roman" w:eastAsia="宋体" w:hAnsi="Times New Roman" w:hint="eastAsia"/>
          <w:snapToGrid/>
          <w:kern w:val="2"/>
          <w:szCs w:val="22"/>
        </w:rPr>
        <w:t>[9] ZHANG Z F, TAO X M, ZH</w:t>
      </w:r>
      <w:r>
        <w:rPr>
          <w:rFonts w:ascii="Times New Roman" w:eastAsia="宋体" w:hAnsi="Times New Roman" w:hint="eastAsia"/>
          <w:snapToGrid/>
          <w:kern w:val="2"/>
          <w:szCs w:val="22"/>
        </w:rPr>
        <w:t xml:space="preserve">ANG H P, et al. Soft fiber optic sensors for precision measurement of shear stress and pressure[J]. IEEE Sensors Journal, 2013, 13(5): 1478-1482.  </w:t>
      </w:r>
    </w:p>
    <w:p w14:paraId="48A7BB43" w14:textId="77777777" w:rsidR="003162D1" w:rsidRDefault="00FF0CC3">
      <w:pPr>
        <w:jc w:val="both"/>
        <w:rPr>
          <w:rFonts w:ascii="Times New Roman" w:eastAsia="宋体" w:hAnsi="Times New Roman"/>
          <w:snapToGrid/>
          <w:kern w:val="2"/>
          <w:szCs w:val="22"/>
        </w:rPr>
      </w:pPr>
      <w:r>
        <w:rPr>
          <w:rFonts w:ascii="Times New Roman" w:eastAsia="宋体" w:hAnsi="Times New Roman" w:hint="eastAsia"/>
          <w:snapToGrid/>
          <w:kern w:val="2"/>
          <w:szCs w:val="22"/>
        </w:rPr>
        <w:t xml:space="preserve">[10] COZZOLINO D, DA LIO B, BACCO D, et al. High-dimensional quantum communication: benefits, progress, and </w:t>
      </w:r>
      <w:r>
        <w:rPr>
          <w:rFonts w:ascii="Times New Roman" w:eastAsia="宋体" w:hAnsi="Times New Roman" w:hint="eastAsia"/>
          <w:snapToGrid/>
          <w:kern w:val="2"/>
          <w:szCs w:val="22"/>
        </w:rPr>
        <w:t>future challenges[J]. Advanced Quantum Technologies, 2019, 2(12): 1900038-1</w:t>
      </w:r>
      <w:r>
        <w:rPr>
          <w:rFonts w:ascii="Times New Roman" w:eastAsia="宋体" w:hAnsi="Times New Roman" w:hint="eastAsia"/>
          <w:snapToGrid/>
          <w:kern w:val="2"/>
          <w:szCs w:val="22"/>
        </w:rPr>
        <w:t>–</w:t>
      </w:r>
      <w:r>
        <w:rPr>
          <w:rFonts w:ascii="Times New Roman" w:eastAsia="宋体" w:hAnsi="Times New Roman" w:hint="eastAsia"/>
          <w:snapToGrid/>
          <w:kern w:val="2"/>
          <w:szCs w:val="22"/>
        </w:rPr>
        <w:t xml:space="preserve">1900038-17.  </w:t>
      </w:r>
    </w:p>
    <w:p w14:paraId="14997EDF" w14:textId="77777777" w:rsidR="003162D1" w:rsidRDefault="00FF0CC3">
      <w:pPr>
        <w:jc w:val="both"/>
        <w:rPr>
          <w:rFonts w:ascii="Times New Roman" w:eastAsia="宋体" w:hAnsi="Times New Roman"/>
          <w:snapToGrid/>
          <w:kern w:val="2"/>
          <w:szCs w:val="22"/>
        </w:rPr>
      </w:pPr>
      <w:r>
        <w:rPr>
          <w:rFonts w:ascii="Times New Roman" w:eastAsia="宋体" w:hAnsi="Times New Roman" w:hint="eastAsia"/>
          <w:snapToGrid/>
          <w:kern w:val="2"/>
          <w:szCs w:val="22"/>
        </w:rPr>
        <w:t xml:space="preserve">[11] NIELSEN K, RASMUSSEN H K, JEPSEN P U, et al. Porous-core honeycomb bandgap THz fiber[J]. Optics Letters, 2011, 36(5): 666-668.  </w:t>
      </w:r>
    </w:p>
    <w:p w14:paraId="123E34F0" w14:textId="77777777" w:rsidR="003162D1" w:rsidRDefault="00FF0CC3">
      <w:pPr>
        <w:jc w:val="both"/>
        <w:rPr>
          <w:rFonts w:ascii="Times New Roman" w:eastAsia="宋体" w:hAnsi="Times New Roman"/>
          <w:snapToGrid/>
          <w:kern w:val="2"/>
          <w:szCs w:val="22"/>
        </w:rPr>
      </w:pPr>
      <w:r>
        <w:rPr>
          <w:rFonts w:ascii="Times New Roman" w:eastAsia="宋体" w:hAnsi="Times New Roman" w:hint="eastAsia"/>
          <w:snapToGrid/>
          <w:kern w:val="2"/>
          <w:szCs w:val="22"/>
        </w:rPr>
        <w:t>[12] ANTHONY J, LEONHARDT R, LEO</w:t>
      </w:r>
      <w:r>
        <w:rPr>
          <w:rFonts w:ascii="Times New Roman" w:eastAsia="宋体" w:hAnsi="Times New Roman" w:hint="eastAsia"/>
          <w:snapToGrid/>
          <w:kern w:val="2"/>
          <w:szCs w:val="22"/>
        </w:rPr>
        <w:t xml:space="preserve">N-SAVAL S G, et al. THz propagation in kagome hollow-core microstructured fibers[J]. Optics Express, 2011, 19(19): 18470-18478.  </w:t>
      </w:r>
    </w:p>
    <w:p w14:paraId="6C30E395" w14:textId="77777777" w:rsidR="003162D1" w:rsidRDefault="00FF0CC3">
      <w:pPr>
        <w:jc w:val="both"/>
        <w:rPr>
          <w:rFonts w:ascii="Times New Roman" w:eastAsia="宋体" w:hAnsi="Times New Roman"/>
          <w:snapToGrid/>
          <w:kern w:val="2"/>
          <w:szCs w:val="22"/>
        </w:rPr>
      </w:pPr>
      <w:r>
        <w:rPr>
          <w:rFonts w:ascii="Times New Roman" w:eastAsia="宋体" w:hAnsi="Times New Roman" w:hint="eastAsia"/>
          <w:snapToGrid/>
          <w:kern w:val="2"/>
          <w:szCs w:val="22"/>
        </w:rPr>
        <w:t>[13] LU J Y, YU C P, CHANG H C, et al. Terahertz air-core microstructure fiber[J]. Applied Physics Letters, 2008, 92(6): 06408</w:t>
      </w:r>
      <w:r>
        <w:rPr>
          <w:rFonts w:ascii="Times New Roman" w:eastAsia="宋体" w:hAnsi="Times New Roman" w:hint="eastAsia"/>
          <w:snapToGrid/>
          <w:kern w:val="2"/>
          <w:szCs w:val="22"/>
        </w:rPr>
        <w:t xml:space="preserve">3.  </w:t>
      </w:r>
    </w:p>
    <w:p w14:paraId="0DC7A64F" w14:textId="77777777" w:rsidR="003162D1" w:rsidRDefault="00FF0CC3">
      <w:pPr>
        <w:jc w:val="both"/>
        <w:rPr>
          <w:rFonts w:ascii="Times New Roman" w:eastAsia="宋体" w:hAnsi="Times New Roman"/>
          <w:snapToGrid/>
          <w:kern w:val="2"/>
          <w:szCs w:val="22"/>
        </w:rPr>
      </w:pPr>
      <w:r>
        <w:rPr>
          <w:rFonts w:ascii="Times New Roman" w:eastAsia="宋体" w:hAnsi="Times New Roman" w:hint="eastAsia"/>
          <w:snapToGrid/>
          <w:kern w:val="2"/>
          <w:szCs w:val="22"/>
        </w:rPr>
        <w:t xml:space="preserve">[14] VINCETTI L. Hollow core photonic band gap fiber for THz applications[J]. Microwave and Optical Technology Letters, 2009, 51(7): 1711-1714.  </w:t>
      </w:r>
    </w:p>
    <w:p w14:paraId="6911B42C" w14:textId="77777777" w:rsidR="003162D1" w:rsidRDefault="00FF0CC3">
      <w:pPr>
        <w:jc w:val="both"/>
        <w:rPr>
          <w:rFonts w:ascii="Times New Roman" w:eastAsia="宋体" w:hAnsi="Times New Roman"/>
          <w:snapToGrid/>
          <w:kern w:val="2"/>
          <w:szCs w:val="22"/>
        </w:rPr>
      </w:pPr>
      <w:r>
        <w:rPr>
          <w:rFonts w:ascii="Times New Roman" w:eastAsia="宋体" w:hAnsi="Times New Roman" w:hint="eastAsia"/>
          <w:snapToGrid/>
          <w:kern w:val="2"/>
          <w:szCs w:val="22"/>
        </w:rPr>
        <w:t xml:space="preserve">[15] ANTHONY J, LEONHARDT R, ARGYROS A, et al. Characterization of a microstructured Zeonex terahertz fiber[J]. Journal of the Optical Society of America B, 2011, 28(5): 1013-1018.  </w:t>
      </w:r>
    </w:p>
    <w:p w14:paraId="4AF58D3E" w14:textId="77777777" w:rsidR="003162D1" w:rsidRDefault="00FF0CC3">
      <w:pPr>
        <w:jc w:val="both"/>
        <w:rPr>
          <w:rFonts w:ascii="Times New Roman" w:eastAsia="宋体" w:hAnsi="Times New Roman"/>
          <w:snapToGrid/>
          <w:kern w:val="2"/>
          <w:szCs w:val="22"/>
        </w:rPr>
      </w:pPr>
      <w:r>
        <w:rPr>
          <w:rFonts w:ascii="Times New Roman" w:eastAsia="宋体" w:hAnsi="Times New Roman" w:hint="eastAsia"/>
          <w:snapToGrid/>
          <w:kern w:val="2"/>
          <w:szCs w:val="22"/>
        </w:rPr>
        <w:t>[16] YAHIAOUI R, STRIKWERDA A C, JEPSEN P U. Terahertz plasmonic structur</w:t>
      </w:r>
      <w:r>
        <w:rPr>
          <w:rFonts w:ascii="Times New Roman" w:eastAsia="宋体" w:hAnsi="Times New Roman" w:hint="eastAsia"/>
          <w:snapToGrid/>
          <w:kern w:val="2"/>
          <w:szCs w:val="22"/>
        </w:rPr>
        <w:t xml:space="preserve">e with enhanced sensing capabilities[J]. IEEE Sensors Journal, 2016, 16(8): 2484-2488.  </w:t>
      </w:r>
    </w:p>
    <w:p w14:paraId="4B24412C" w14:textId="77777777" w:rsidR="003162D1" w:rsidRDefault="00FF0CC3">
      <w:pPr>
        <w:jc w:val="both"/>
        <w:rPr>
          <w:rFonts w:ascii="Times New Roman" w:eastAsia="宋体" w:hAnsi="Times New Roman"/>
          <w:snapToGrid/>
          <w:kern w:val="2"/>
          <w:szCs w:val="22"/>
        </w:rPr>
      </w:pPr>
      <w:r>
        <w:rPr>
          <w:rFonts w:ascii="Times New Roman" w:eastAsia="宋体" w:hAnsi="Times New Roman" w:hint="eastAsia"/>
          <w:snapToGrid/>
          <w:kern w:val="2"/>
          <w:szCs w:val="22"/>
        </w:rPr>
        <w:t>[17] NESPOLA A, STRAULLU S, BRADLEY T D, et al. Transmission of 61 C-band channels over record distance of hollow-core-fiber with L-band interferers[J]. Journal of Lig</w:t>
      </w:r>
      <w:r>
        <w:rPr>
          <w:rFonts w:ascii="Times New Roman" w:eastAsia="宋体" w:hAnsi="Times New Roman" w:hint="eastAsia"/>
          <w:snapToGrid/>
          <w:kern w:val="2"/>
          <w:szCs w:val="22"/>
        </w:rPr>
        <w:t xml:space="preserve">htwave Technology, 2021, 39(3): 813-820.  </w:t>
      </w:r>
    </w:p>
    <w:p w14:paraId="3EA18732" w14:textId="77777777" w:rsidR="003162D1" w:rsidRDefault="00FF0CC3">
      <w:pPr>
        <w:jc w:val="both"/>
        <w:rPr>
          <w:rFonts w:ascii="Times New Roman" w:eastAsia="宋体" w:hAnsi="Times New Roman"/>
          <w:snapToGrid/>
          <w:kern w:val="2"/>
          <w:szCs w:val="22"/>
        </w:rPr>
      </w:pPr>
      <w:r>
        <w:rPr>
          <w:rFonts w:ascii="Times New Roman" w:eastAsia="宋体" w:hAnsi="Times New Roman" w:hint="eastAsia"/>
          <w:snapToGrid/>
          <w:kern w:val="2"/>
          <w:szCs w:val="22"/>
        </w:rPr>
        <w:t xml:space="preserve">[18] XUE L, SHENG X, MU Q, et al. 3D-printed high-birefringence THz hollow-core anti-resonant fiber with an elliptical core[J]. Optics Express, 2023, 31(16): 26178-26193.  </w:t>
      </w:r>
    </w:p>
    <w:p w14:paraId="609D3096" w14:textId="77777777" w:rsidR="003162D1" w:rsidRDefault="00FF0CC3">
      <w:pPr>
        <w:jc w:val="both"/>
        <w:rPr>
          <w:rFonts w:ascii="Times New Roman" w:eastAsia="宋体" w:hAnsi="Times New Roman"/>
          <w:snapToGrid/>
          <w:kern w:val="2"/>
          <w:szCs w:val="22"/>
        </w:rPr>
      </w:pPr>
      <w:r>
        <w:rPr>
          <w:rFonts w:ascii="Times New Roman" w:eastAsia="宋体" w:hAnsi="Times New Roman" w:hint="eastAsia"/>
          <w:snapToGrid/>
          <w:kern w:val="2"/>
          <w:szCs w:val="22"/>
        </w:rPr>
        <w:t xml:space="preserve">[19] </w:t>
      </w:r>
      <w:r>
        <w:rPr>
          <w:rFonts w:ascii="Times New Roman" w:eastAsia="宋体" w:hAnsi="Times New Roman"/>
          <w:snapToGrid/>
          <w:kern w:val="2"/>
          <w:szCs w:val="22"/>
        </w:rPr>
        <w:t>DING W, WANG Y Y. Hybrid transmissi</w:t>
      </w:r>
      <w:r>
        <w:rPr>
          <w:rFonts w:ascii="Times New Roman" w:eastAsia="宋体" w:hAnsi="Times New Roman"/>
          <w:snapToGrid/>
          <w:kern w:val="2"/>
          <w:szCs w:val="22"/>
        </w:rPr>
        <w:t>on bands and large birefringence in hollow-core anti-resonant fibers[J]. Optics Express, 2015, 23(16): 21165-21174</w:t>
      </w:r>
      <w:r>
        <w:rPr>
          <w:rFonts w:ascii="Times New Roman" w:eastAsia="宋体" w:hAnsi="Times New Roman" w:hint="eastAsia"/>
          <w:snapToGrid/>
          <w:kern w:val="2"/>
          <w:szCs w:val="22"/>
        </w:rPr>
        <w:t xml:space="preserve">.  </w:t>
      </w:r>
    </w:p>
    <w:p w14:paraId="24F46A93" w14:textId="77777777" w:rsidR="003162D1" w:rsidRDefault="00FF0CC3">
      <w:pPr>
        <w:jc w:val="both"/>
        <w:rPr>
          <w:rFonts w:ascii="Times New Roman" w:eastAsia="宋体" w:hAnsi="Times New Roman"/>
          <w:snapToGrid/>
          <w:kern w:val="2"/>
          <w:szCs w:val="22"/>
        </w:rPr>
      </w:pPr>
      <w:r>
        <w:rPr>
          <w:rFonts w:ascii="Times New Roman" w:eastAsia="宋体" w:hAnsi="Times New Roman" w:hint="eastAsia"/>
          <w:snapToGrid/>
          <w:kern w:val="2"/>
          <w:szCs w:val="22"/>
        </w:rPr>
        <w:t xml:space="preserve">[20] </w:t>
      </w:r>
      <w:r>
        <w:rPr>
          <w:rFonts w:ascii="Times New Roman" w:eastAsia="宋体" w:hAnsi="Times New Roman"/>
          <w:snapToGrid/>
          <w:kern w:val="2"/>
          <w:szCs w:val="22"/>
        </w:rPr>
        <w:t>LIAN Z, HORAK P, FENG X, et al. Nanomechanical optical fiber[J]. Optics Express, 2012, 20(28): 29386-29394.</w:t>
      </w:r>
      <w:r>
        <w:rPr>
          <w:rFonts w:ascii="Times New Roman" w:eastAsia="宋体" w:hAnsi="Times New Roman" w:hint="eastAsia"/>
          <w:snapToGrid/>
          <w:kern w:val="2"/>
          <w:szCs w:val="22"/>
        </w:rPr>
        <w:t xml:space="preserve">.  </w:t>
      </w:r>
    </w:p>
    <w:p w14:paraId="06E87C05" w14:textId="77777777" w:rsidR="003162D1" w:rsidRDefault="00FF0CC3">
      <w:pPr>
        <w:jc w:val="both"/>
        <w:rPr>
          <w:rFonts w:ascii="Times New Roman" w:eastAsia="宋体" w:hAnsi="Times New Roman"/>
          <w:snapToGrid/>
          <w:kern w:val="2"/>
          <w:szCs w:val="22"/>
        </w:rPr>
      </w:pPr>
      <w:r>
        <w:rPr>
          <w:rFonts w:ascii="Times New Roman" w:eastAsia="宋体" w:hAnsi="Times New Roman" w:hint="eastAsia"/>
          <w:snapToGrid/>
          <w:kern w:val="2"/>
          <w:szCs w:val="22"/>
        </w:rPr>
        <w:t xml:space="preserve">[21] </w:t>
      </w:r>
      <w:r>
        <w:rPr>
          <w:rFonts w:ascii="Times New Roman" w:eastAsia="宋体" w:hAnsi="Times New Roman"/>
          <w:snapToGrid/>
          <w:kern w:val="2"/>
          <w:szCs w:val="22"/>
        </w:rPr>
        <w:t>CRUZ A L S, CORDE</w:t>
      </w:r>
      <w:r>
        <w:rPr>
          <w:rFonts w:ascii="Times New Roman" w:eastAsia="宋体" w:hAnsi="Times New Roman"/>
          <w:snapToGrid/>
          <w:kern w:val="2"/>
          <w:szCs w:val="22"/>
        </w:rPr>
        <w:t>IRO C M B, FRANCO M A R. 3D printed hollow-core terahertz fibers[J]. Fibers, 2018, 6(3): 43</w:t>
      </w:r>
      <w:r>
        <w:rPr>
          <w:rFonts w:ascii="Times New Roman" w:eastAsia="宋体" w:hAnsi="Times New Roman" w:hint="eastAsia"/>
          <w:snapToGrid/>
          <w:kern w:val="2"/>
          <w:szCs w:val="22"/>
        </w:rPr>
        <w:t xml:space="preserve">.  </w:t>
      </w:r>
    </w:p>
    <w:p w14:paraId="6B9AFFF3" w14:textId="77777777" w:rsidR="003162D1" w:rsidRDefault="00FF0CC3">
      <w:pPr>
        <w:jc w:val="both"/>
        <w:rPr>
          <w:rFonts w:ascii="Times New Roman" w:eastAsia="宋体" w:hAnsi="Times New Roman"/>
          <w:snapToGrid/>
          <w:kern w:val="2"/>
          <w:szCs w:val="22"/>
        </w:rPr>
      </w:pPr>
      <w:r>
        <w:rPr>
          <w:rFonts w:ascii="Times New Roman" w:eastAsia="宋体" w:hAnsi="Times New Roman" w:hint="eastAsia"/>
          <w:snapToGrid/>
          <w:kern w:val="2"/>
          <w:szCs w:val="22"/>
        </w:rPr>
        <w:t xml:space="preserve">[22] CANNING J, HOSSAIN M A, HAN C, et al. Drawing optical fibers from three-dimensional printers[J]. Optics Letters, 2016, 41(23): 5551-5554.  </w:t>
      </w:r>
    </w:p>
    <w:p w14:paraId="572A693F" w14:textId="77777777" w:rsidR="003162D1" w:rsidRDefault="00FF0CC3">
      <w:pPr>
        <w:jc w:val="both"/>
        <w:rPr>
          <w:rFonts w:ascii="Times New Roman" w:eastAsia="宋体" w:hAnsi="Times New Roman"/>
          <w:snapToGrid/>
          <w:kern w:val="2"/>
          <w:szCs w:val="22"/>
        </w:rPr>
      </w:pPr>
      <w:r>
        <w:rPr>
          <w:rFonts w:ascii="Times New Roman" w:eastAsia="宋体" w:hAnsi="Times New Roman" w:hint="eastAsia"/>
          <w:snapToGrid/>
          <w:kern w:val="2"/>
          <w:szCs w:val="22"/>
        </w:rPr>
        <w:t>[23] CRUZ A L S,</w:t>
      </w:r>
      <w:r>
        <w:rPr>
          <w:rFonts w:ascii="Times New Roman" w:eastAsia="宋体" w:hAnsi="Times New Roman" w:hint="eastAsia"/>
          <w:snapToGrid/>
          <w:kern w:val="2"/>
          <w:szCs w:val="22"/>
        </w:rPr>
        <w:t xml:space="preserve"> SERRÃO V A, BARBOSA C L, et al. 3D printed hollow core fiber with negative curvature for terahertz applications[J]. Journal of Microwaves, Optoelectronics and Electromagnetic Applications, 2015, 14(1): 112-122.  </w:t>
      </w:r>
    </w:p>
    <w:p w14:paraId="3ECB99A0" w14:textId="77777777" w:rsidR="003162D1" w:rsidRDefault="00FF0CC3">
      <w:pPr>
        <w:jc w:val="both"/>
        <w:rPr>
          <w:rFonts w:ascii="Times New Roman" w:eastAsia="宋体" w:hAnsi="Times New Roman"/>
          <w:snapToGrid/>
          <w:kern w:val="2"/>
          <w:szCs w:val="22"/>
        </w:rPr>
      </w:pPr>
      <w:r>
        <w:rPr>
          <w:rFonts w:ascii="Times New Roman" w:eastAsia="宋体" w:hAnsi="Times New Roman" w:hint="eastAsia"/>
          <w:snapToGrid/>
          <w:kern w:val="2"/>
          <w:szCs w:val="22"/>
        </w:rPr>
        <w:t>[24] BRADLEY T D, JASION G T, HAYES J R, e</w:t>
      </w:r>
      <w:r>
        <w:rPr>
          <w:rFonts w:ascii="Times New Roman" w:eastAsia="宋体" w:hAnsi="Times New Roman" w:hint="eastAsia"/>
          <w:snapToGrid/>
          <w:kern w:val="2"/>
          <w:szCs w:val="22"/>
        </w:rPr>
        <w:t>t al. Antiresonant hollow core fibre with 0.65 dB/km attenuation across the C and L telecommunication bands[C]//</w:t>
      </w:r>
      <w:r>
        <w:rPr>
          <w:rFonts w:ascii="Times New Roman" w:eastAsia="宋体" w:hAnsi="Times New Roman" w:hint="eastAsia"/>
          <w:snapToGrid/>
          <w:kern w:val="2"/>
          <w:szCs w:val="22"/>
          <w:lang w:eastAsia="zh-CN"/>
        </w:rPr>
        <w:t xml:space="preserve"> </w:t>
      </w:r>
      <w:r>
        <w:rPr>
          <w:rFonts w:ascii="Times New Roman" w:eastAsia="宋体" w:hAnsi="Times New Roman" w:hint="eastAsia"/>
          <w:snapToGrid/>
          <w:kern w:val="2"/>
          <w:szCs w:val="22"/>
        </w:rPr>
        <w:t>Proceedings of</w:t>
      </w:r>
      <w:r>
        <w:rPr>
          <w:rFonts w:ascii="Times New Roman" w:eastAsia="宋体" w:hAnsi="Times New Roman" w:hint="eastAsia"/>
          <w:snapToGrid/>
          <w:kern w:val="2"/>
          <w:szCs w:val="22"/>
          <w:lang w:eastAsia="zh-CN"/>
        </w:rPr>
        <w:t xml:space="preserve"> </w:t>
      </w:r>
      <w:r>
        <w:rPr>
          <w:rFonts w:ascii="Times New Roman" w:eastAsia="宋体" w:hAnsi="Times New Roman" w:hint="eastAsia"/>
          <w:snapToGrid/>
          <w:kern w:val="2"/>
          <w:szCs w:val="22"/>
        </w:rPr>
        <w:t>45th European Conference on Optical Communication (ECOC 2019). Dublin, Ireland: Institution of Engineering and Technology, 2019:</w:t>
      </w:r>
      <w:r>
        <w:rPr>
          <w:rFonts w:ascii="Times New Roman" w:eastAsia="宋体" w:hAnsi="Times New Roman" w:hint="eastAsia"/>
          <w:snapToGrid/>
          <w:kern w:val="2"/>
          <w:szCs w:val="22"/>
        </w:rPr>
        <w:t xml:space="preserve"> 1-4.  </w:t>
      </w:r>
    </w:p>
    <w:p w14:paraId="0589F1D9" w14:textId="77777777" w:rsidR="003162D1" w:rsidRDefault="00FF0CC3">
      <w:pPr>
        <w:jc w:val="both"/>
        <w:rPr>
          <w:rFonts w:ascii="Times New Roman" w:eastAsia="宋体" w:hAnsi="Times New Roman"/>
          <w:snapToGrid/>
          <w:kern w:val="2"/>
          <w:szCs w:val="22"/>
        </w:rPr>
      </w:pPr>
      <w:r>
        <w:rPr>
          <w:rFonts w:ascii="Times New Roman" w:eastAsia="宋体" w:hAnsi="Times New Roman" w:hint="eastAsia"/>
          <w:snapToGrid/>
          <w:kern w:val="2"/>
          <w:szCs w:val="22"/>
        </w:rPr>
        <w:t>[25] JASION G T, BRADLEY T D, HARRINGTON K, et al. Hollow Core NANF with 0.28 dB/km Attenuation in the C and L Bands[C]//</w:t>
      </w:r>
      <w:r>
        <w:rPr>
          <w:rFonts w:ascii="Times New Roman" w:eastAsia="宋体" w:hAnsi="Times New Roman" w:hint="eastAsia"/>
          <w:snapToGrid/>
          <w:kern w:val="2"/>
          <w:szCs w:val="22"/>
          <w:lang w:eastAsia="zh-CN"/>
        </w:rPr>
        <w:t xml:space="preserve"> </w:t>
      </w:r>
      <w:r>
        <w:rPr>
          <w:rFonts w:ascii="Times New Roman" w:eastAsia="宋体" w:hAnsi="Times New Roman" w:hint="eastAsia"/>
          <w:snapToGrid/>
          <w:kern w:val="2"/>
          <w:szCs w:val="22"/>
        </w:rPr>
        <w:t>Proceedings of</w:t>
      </w:r>
      <w:r>
        <w:rPr>
          <w:rFonts w:ascii="Times New Roman" w:eastAsia="宋体" w:hAnsi="Times New Roman" w:hint="eastAsia"/>
          <w:snapToGrid/>
          <w:kern w:val="2"/>
          <w:szCs w:val="22"/>
          <w:lang w:eastAsia="zh-CN"/>
        </w:rPr>
        <w:t xml:space="preserve"> </w:t>
      </w:r>
      <w:r>
        <w:rPr>
          <w:rFonts w:ascii="Times New Roman" w:eastAsia="宋体" w:hAnsi="Times New Roman" w:hint="eastAsia"/>
          <w:snapToGrid/>
          <w:kern w:val="2"/>
          <w:szCs w:val="22"/>
        </w:rPr>
        <w:t>Optical Fiber Communication Conference Postdeadline Papers 2020. Washington, DC: Optica Publishing Group, 2020:</w:t>
      </w:r>
      <w:r>
        <w:rPr>
          <w:rFonts w:ascii="Times New Roman" w:eastAsia="宋体" w:hAnsi="Times New Roman" w:hint="eastAsia"/>
          <w:snapToGrid/>
          <w:kern w:val="2"/>
          <w:szCs w:val="22"/>
        </w:rPr>
        <w:t xml:space="preserve"> 1-4.  </w:t>
      </w:r>
    </w:p>
    <w:p w14:paraId="2D6CA1E3" w14:textId="77777777" w:rsidR="003162D1" w:rsidRDefault="00FF0CC3">
      <w:pPr>
        <w:jc w:val="both"/>
        <w:rPr>
          <w:rFonts w:ascii="Times New Roman" w:eastAsia="宋体" w:hAnsi="Times New Roman"/>
          <w:snapToGrid/>
          <w:kern w:val="2"/>
          <w:szCs w:val="22"/>
        </w:rPr>
      </w:pPr>
      <w:r>
        <w:rPr>
          <w:rFonts w:ascii="Times New Roman" w:eastAsia="宋体" w:hAnsi="Times New Roman" w:hint="eastAsia"/>
          <w:snapToGrid/>
          <w:kern w:val="2"/>
          <w:szCs w:val="22"/>
        </w:rPr>
        <w:lastRenderedPageBreak/>
        <w:t xml:space="preserve">[26] TALATAISONG W, GORECKI J, VAN PUTTEN L D, et al. Hollow-core antiresonant terahertz fiber-based topas extruded from a 3D printer using a metal 3D printed nozzle[J]. Photonics Research, 2021, 9(8): 1513-1521.  </w:t>
      </w:r>
    </w:p>
    <w:p w14:paraId="086AA99E" w14:textId="77777777" w:rsidR="003162D1" w:rsidRDefault="00FF0CC3">
      <w:pPr>
        <w:jc w:val="both"/>
        <w:rPr>
          <w:rFonts w:ascii="Times New Roman" w:eastAsia="宋体" w:hAnsi="Times New Roman"/>
          <w:snapToGrid/>
          <w:kern w:val="2"/>
          <w:szCs w:val="22"/>
        </w:rPr>
      </w:pPr>
      <w:r>
        <w:rPr>
          <w:rFonts w:ascii="Times New Roman" w:eastAsia="宋体" w:hAnsi="Times New Roman" w:hint="eastAsia"/>
          <w:snapToGrid/>
          <w:kern w:val="2"/>
          <w:szCs w:val="22"/>
        </w:rPr>
        <w:t xml:space="preserve">[27] HABIB M S, ANTONIO-LOPEZ J E, MARKOS C, et al. Single-mode, low loss hollow-core anti-resonant fiber designs[J]. Optics Express, 2019, 27(4): 3824-3836.  </w:t>
      </w:r>
    </w:p>
    <w:p w14:paraId="0D1F4EF5" w14:textId="77777777" w:rsidR="003162D1" w:rsidRDefault="00FF0CC3">
      <w:pPr>
        <w:jc w:val="both"/>
        <w:rPr>
          <w:rFonts w:ascii="Times New Roman" w:eastAsia="宋体" w:hAnsi="Times New Roman"/>
          <w:snapToGrid/>
          <w:kern w:val="2"/>
          <w:szCs w:val="22"/>
        </w:rPr>
      </w:pPr>
      <w:r>
        <w:rPr>
          <w:rFonts w:ascii="Times New Roman" w:eastAsia="宋体" w:hAnsi="Times New Roman" w:hint="eastAsia"/>
          <w:snapToGrid/>
          <w:kern w:val="2"/>
          <w:szCs w:val="22"/>
        </w:rPr>
        <w:t>[28] POLETTI F. Nested antiresonant nodeless hollow core fiber[J]. Optics Express, 2014, 22(20):</w:t>
      </w:r>
      <w:r>
        <w:rPr>
          <w:rFonts w:ascii="Times New Roman" w:eastAsia="宋体" w:hAnsi="Times New Roman" w:hint="eastAsia"/>
          <w:snapToGrid/>
          <w:kern w:val="2"/>
          <w:szCs w:val="22"/>
        </w:rPr>
        <w:t xml:space="preserve"> 23807-23828.  </w:t>
      </w:r>
    </w:p>
    <w:p w14:paraId="13D3560E" w14:textId="77777777" w:rsidR="003162D1" w:rsidRDefault="00FF0CC3">
      <w:pPr>
        <w:jc w:val="both"/>
        <w:rPr>
          <w:rFonts w:ascii="Times New Roman" w:eastAsia="宋体" w:hAnsi="Times New Roman"/>
          <w:snapToGrid/>
          <w:kern w:val="2"/>
          <w:szCs w:val="22"/>
        </w:rPr>
      </w:pPr>
      <w:r>
        <w:rPr>
          <w:rFonts w:ascii="Times New Roman" w:eastAsia="宋体" w:hAnsi="Times New Roman" w:hint="eastAsia"/>
          <w:snapToGrid/>
          <w:kern w:val="2"/>
          <w:szCs w:val="22"/>
        </w:rPr>
        <w:t xml:space="preserve">[29] HAYES J R, SANDOGHCHI S R, BRADLEY T D, et al. Antiresonant hollow core fiber with an octave spanning bandwidth for short haul data communications[J]. Journal of Lightwave Technology, 2017, 35(3): 437-442.  </w:t>
      </w:r>
    </w:p>
    <w:p w14:paraId="418B28F2" w14:textId="77777777" w:rsidR="003162D1" w:rsidRDefault="00FF0CC3">
      <w:pPr>
        <w:jc w:val="both"/>
        <w:rPr>
          <w:rFonts w:ascii="Times New Roman" w:eastAsia="宋体" w:hAnsi="Times New Roman"/>
          <w:snapToGrid/>
          <w:kern w:val="2"/>
          <w:szCs w:val="22"/>
          <w:lang w:eastAsia="zh-CN"/>
        </w:rPr>
      </w:pPr>
      <w:r>
        <w:rPr>
          <w:rFonts w:ascii="Times New Roman" w:eastAsia="宋体" w:hAnsi="Times New Roman" w:hint="eastAsia"/>
          <w:snapToGrid/>
          <w:kern w:val="2"/>
          <w:szCs w:val="22"/>
        </w:rPr>
        <w:t>[3</w:t>
      </w:r>
      <w:r>
        <w:rPr>
          <w:rFonts w:ascii="Times New Roman" w:eastAsia="宋体" w:hAnsi="Times New Roman" w:hint="eastAsia"/>
          <w:snapToGrid/>
          <w:kern w:val="2"/>
          <w:szCs w:val="22"/>
          <w:lang w:eastAsia="zh-CN"/>
        </w:rPr>
        <w:t>0</w:t>
      </w:r>
      <w:r>
        <w:rPr>
          <w:rFonts w:ascii="Times New Roman" w:eastAsia="宋体" w:hAnsi="Times New Roman" w:hint="eastAsia"/>
          <w:snapToGrid/>
          <w:kern w:val="2"/>
          <w:szCs w:val="22"/>
        </w:rPr>
        <w:t xml:space="preserve">] </w:t>
      </w:r>
      <w:r>
        <w:rPr>
          <w:rFonts w:ascii="Times New Roman" w:eastAsia="宋体" w:hAnsi="Times New Roman" w:hint="eastAsia"/>
          <w:snapToGrid/>
          <w:kern w:val="2"/>
          <w:szCs w:val="22"/>
          <w:lang w:eastAsia="zh-CN"/>
        </w:rPr>
        <w:t>SUN S, SHI W, SHENG Q,</w:t>
      </w:r>
      <w:r>
        <w:rPr>
          <w:rFonts w:ascii="Times New Roman" w:eastAsia="宋体" w:hAnsi="Times New Roman" w:hint="eastAsia"/>
          <w:snapToGrid/>
          <w:kern w:val="2"/>
          <w:szCs w:val="22"/>
          <w:lang w:eastAsia="zh-CN"/>
        </w:rPr>
        <w:t xml:space="preserve"> et al. A polarization-maintaining THz anti-resonant fiber based on the mode coupling between core and cladding[C]// Proceedings of Terahertz, RF, Millimeter, and Submillimeter-Wave Technology and Applications XIV. Washington, DC: Society of Photo-Optical </w:t>
      </w:r>
      <w:r>
        <w:rPr>
          <w:rFonts w:ascii="Times New Roman" w:eastAsia="宋体" w:hAnsi="Times New Roman" w:hint="eastAsia"/>
          <w:snapToGrid/>
          <w:kern w:val="2"/>
          <w:szCs w:val="22"/>
          <w:lang w:eastAsia="zh-CN"/>
        </w:rPr>
        <w:t xml:space="preserve">Instrumentation Engineers, 2021, 11685: 216-221. </w:t>
      </w:r>
    </w:p>
    <w:p w14:paraId="6C87E468" w14:textId="77777777" w:rsidR="003162D1" w:rsidRDefault="00FF0CC3">
      <w:pPr>
        <w:jc w:val="both"/>
        <w:rPr>
          <w:rFonts w:ascii="Times New Roman" w:eastAsia="宋体" w:hAnsi="Times New Roman"/>
          <w:snapToGrid/>
          <w:kern w:val="2"/>
          <w:szCs w:val="22"/>
        </w:rPr>
      </w:pPr>
      <w:r>
        <w:rPr>
          <w:rFonts w:ascii="Times New Roman" w:eastAsia="宋体" w:hAnsi="Times New Roman" w:hint="eastAsia"/>
          <w:snapToGrid/>
          <w:kern w:val="2"/>
          <w:szCs w:val="22"/>
        </w:rPr>
        <w:t>[3</w:t>
      </w:r>
      <w:r>
        <w:rPr>
          <w:rFonts w:ascii="Times New Roman" w:eastAsia="宋体" w:hAnsi="Times New Roman" w:hint="eastAsia"/>
          <w:snapToGrid/>
          <w:kern w:val="2"/>
          <w:szCs w:val="22"/>
          <w:lang w:eastAsia="zh-CN"/>
        </w:rPr>
        <w:t>1</w:t>
      </w:r>
      <w:r>
        <w:rPr>
          <w:rFonts w:ascii="Times New Roman" w:eastAsia="宋体" w:hAnsi="Times New Roman" w:hint="eastAsia"/>
          <w:snapToGrid/>
          <w:kern w:val="2"/>
          <w:szCs w:val="22"/>
        </w:rPr>
        <w:t xml:space="preserve">] YAN S, LOU S, WANG X, et al. High-birefringence hollow-core anti-resonant THz fiber[J]. Optical and Quantum Electronics, 2018, 50(4): 1-13.  </w:t>
      </w:r>
    </w:p>
    <w:p w14:paraId="6B4E0048" w14:textId="77777777" w:rsidR="003162D1" w:rsidRDefault="00FF0CC3">
      <w:pPr>
        <w:jc w:val="both"/>
        <w:rPr>
          <w:rFonts w:ascii="Times New Roman" w:eastAsia="宋体" w:hAnsi="Times New Roman"/>
          <w:snapToGrid/>
          <w:kern w:val="2"/>
          <w:szCs w:val="22"/>
        </w:rPr>
      </w:pPr>
      <w:r>
        <w:rPr>
          <w:rFonts w:ascii="Times New Roman" w:eastAsia="宋体" w:hAnsi="Times New Roman" w:hint="eastAsia"/>
          <w:snapToGrid/>
          <w:kern w:val="2"/>
          <w:szCs w:val="22"/>
        </w:rPr>
        <w:t>[3</w:t>
      </w:r>
      <w:r>
        <w:rPr>
          <w:rFonts w:ascii="Times New Roman" w:eastAsia="宋体" w:hAnsi="Times New Roman" w:hint="eastAsia"/>
          <w:snapToGrid/>
          <w:kern w:val="2"/>
          <w:szCs w:val="22"/>
          <w:lang w:eastAsia="zh-CN"/>
        </w:rPr>
        <w:t>2</w:t>
      </w:r>
      <w:r>
        <w:rPr>
          <w:rFonts w:ascii="Times New Roman" w:eastAsia="宋体" w:hAnsi="Times New Roman" w:hint="eastAsia"/>
          <w:snapToGrid/>
          <w:kern w:val="2"/>
          <w:szCs w:val="22"/>
        </w:rPr>
        <w:t xml:space="preserve">] MOLLAH M A, RANA S, SUBBARAMAN H. Polarization filter </w:t>
      </w:r>
      <w:r>
        <w:rPr>
          <w:rFonts w:ascii="Times New Roman" w:eastAsia="宋体" w:hAnsi="Times New Roman" w:hint="eastAsia"/>
          <w:snapToGrid/>
          <w:kern w:val="2"/>
          <w:szCs w:val="22"/>
        </w:rPr>
        <w:t>realization using low-loss hollow-core anti-resonant fiber in THz regime[J]. Results in Physics, 2020, 17</w:t>
      </w:r>
      <w:r>
        <w:rPr>
          <w:rFonts w:ascii="Times New Roman" w:eastAsia="宋体" w:hAnsi="Times New Roman" w:hint="eastAsia"/>
          <w:snapToGrid/>
          <w:kern w:val="2"/>
          <w:szCs w:val="22"/>
          <w:lang w:eastAsia="zh-CN"/>
        </w:rPr>
        <w:t>(1)</w:t>
      </w:r>
      <w:r>
        <w:rPr>
          <w:rFonts w:ascii="Times New Roman" w:eastAsia="宋体" w:hAnsi="Times New Roman" w:hint="eastAsia"/>
          <w:snapToGrid/>
          <w:kern w:val="2"/>
          <w:szCs w:val="22"/>
        </w:rPr>
        <w:t xml:space="preserve">: 1030-1044.  </w:t>
      </w:r>
    </w:p>
    <w:p w14:paraId="52C9527B" w14:textId="77777777" w:rsidR="003162D1" w:rsidRDefault="00FF0CC3">
      <w:pPr>
        <w:jc w:val="both"/>
        <w:rPr>
          <w:rFonts w:ascii="Times New Roman" w:eastAsia="宋体" w:hAnsi="Times New Roman"/>
          <w:snapToGrid/>
          <w:kern w:val="2"/>
          <w:szCs w:val="22"/>
        </w:rPr>
      </w:pPr>
      <w:r>
        <w:rPr>
          <w:rFonts w:ascii="Times New Roman" w:eastAsia="宋体" w:hAnsi="Times New Roman" w:hint="eastAsia"/>
          <w:snapToGrid/>
          <w:kern w:val="2"/>
          <w:szCs w:val="22"/>
        </w:rPr>
        <w:t>[3</w:t>
      </w:r>
      <w:r>
        <w:rPr>
          <w:rFonts w:ascii="Times New Roman" w:eastAsia="宋体" w:hAnsi="Times New Roman" w:hint="eastAsia"/>
          <w:snapToGrid/>
          <w:kern w:val="2"/>
          <w:szCs w:val="22"/>
          <w:lang w:eastAsia="zh-CN"/>
        </w:rPr>
        <w:t>3</w:t>
      </w:r>
      <w:r>
        <w:rPr>
          <w:rFonts w:ascii="Times New Roman" w:eastAsia="宋体" w:hAnsi="Times New Roman" w:hint="eastAsia"/>
          <w:snapToGrid/>
          <w:kern w:val="2"/>
          <w:szCs w:val="22"/>
        </w:rPr>
        <w:t>] XIAO H, LI H, WU B, et al. Low-loss polarization-maintaining hollow-core anti-resonant terahertz fiber[J]. Journal of Optics, 20</w:t>
      </w:r>
      <w:r>
        <w:rPr>
          <w:rFonts w:ascii="Times New Roman" w:eastAsia="宋体" w:hAnsi="Times New Roman" w:hint="eastAsia"/>
          <w:snapToGrid/>
          <w:kern w:val="2"/>
          <w:szCs w:val="22"/>
        </w:rPr>
        <w:t xml:space="preserve">19, 21(8): 85-101.  </w:t>
      </w:r>
    </w:p>
    <w:p w14:paraId="1365EB51" w14:textId="77777777" w:rsidR="003162D1" w:rsidRDefault="00FF0CC3">
      <w:pPr>
        <w:jc w:val="both"/>
        <w:rPr>
          <w:rFonts w:ascii="Times New Roman" w:eastAsia="宋体" w:hAnsi="Times New Roman"/>
          <w:snapToGrid/>
          <w:kern w:val="2"/>
          <w:szCs w:val="22"/>
        </w:rPr>
      </w:pPr>
      <w:r>
        <w:rPr>
          <w:rFonts w:ascii="Times New Roman" w:eastAsia="宋体" w:hAnsi="Times New Roman" w:hint="eastAsia"/>
          <w:snapToGrid/>
          <w:kern w:val="2"/>
          <w:szCs w:val="22"/>
        </w:rPr>
        <w:t>[3</w:t>
      </w:r>
      <w:r>
        <w:rPr>
          <w:rFonts w:ascii="Times New Roman" w:eastAsia="宋体" w:hAnsi="Times New Roman" w:hint="eastAsia"/>
          <w:snapToGrid/>
          <w:kern w:val="2"/>
          <w:szCs w:val="22"/>
          <w:lang w:eastAsia="zh-CN"/>
        </w:rPr>
        <w:t>4</w:t>
      </w:r>
      <w:r>
        <w:rPr>
          <w:rFonts w:ascii="Times New Roman" w:eastAsia="宋体" w:hAnsi="Times New Roman" w:hint="eastAsia"/>
          <w:snapToGrid/>
          <w:kern w:val="2"/>
          <w:szCs w:val="22"/>
        </w:rPr>
        <w:t>] HUI Z, YANG X, HAN D, et al. Sector-type high birefringence hollow-core anti-resonant terahertz photonic crystal fiber with low loss[J]. Optical Fiber Technology, 2021, 67</w:t>
      </w:r>
      <w:r>
        <w:rPr>
          <w:rFonts w:ascii="Times New Roman" w:eastAsia="宋体" w:hAnsi="Times New Roman" w:hint="eastAsia"/>
          <w:snapToGrid/>
          <w:kern w:val="2"/>
          <w:szCs w:val="22"/>
          <w:lang w:eastAsia="zh-CN"/>
        </w:rPr>
        <w:t>(3)</w:t>
      </w:r>
      <w:r>
        <w:rPr>
          <w:rFonts w:ascii="Times New Roman" w:eastAsia="宋体" w:hAnsi="Times New Roman" w:hint="eastAsia"/>
          <w:snapToGrid/>
          <w:kern w:val="2"/>
          <w:szCs w:val="22"/>
        </w:rPr>
        <w:t xml:space="preserve">: 1027-1036.  </w:t>
      </w:r>
    </w:p>
    <w:p w14:paraId="6C1A8829" w14:textId="77777777" w:rsidR="003162D1" w:rsidRDefault="00FF0CC3">
      <w:pPr>
        <w:jc w:val="both"/>
        <w:rPr>
          <w:rFonts w:ascii="Times New Roman" w:eastAsia="宋体" w:hAnsi="Times New Roman"/>
          <w:snapToGrid/>
          <w:kern w:val="2"/>
          <w:szCs w:val="22"/>
          <w:lang w:eastAsia="zh-CN"/>
        </w:rPr>
      </w:pPr>
      <w:r>
        <w:rPr>
          <w:rFonts w:ascii="Times New Roman" w:eastAsia="宋体" w:hAnsi="Times New Roman" w:hint="eastAsia"/>
          <w:snapToGrid/>
          <w:kern w:val="2"/>
          <w:szCs w:val="22"/>
        </w:rPr>
        <w:t>[3</w:t>
      </w:r>
      <w:r>
        <w:rPr>
          <w:rFonts w:ascii="Times New Roman" w:eastAsia="宋体" w:hAnsi="Times New Roman" w:hint="eastAsia"/>
          <w:snapToGrid/>
          <w:kern w:val="2"/>
          <w:szCs w:val="22"/>
          <w:lang w:eastAsia="zh-CN"/>
        </w:rPr>
        <w:t>5</w:t>
      </w:r>
      <w:r>
        <w:rPr>
          <w:rFonts w:ascii="Times New Roman" w:eastAsia="宋体" w:hAnsi="Times New Roman" w:hint="eastAsia"/>
          <w:snapToGrid/>
          <w:kern w:val="2"/>
          <w:szCs w:val="22"/>
        </w:rPr>
        <w:t xml:space="preserve">] HAN Z, TIAN F, LU Y, et al. A single-polarization hollow-core anti-resonant fiber based on epsilon-near-zero (ENZ) material in terahertz region[J]. </w:t>
      </w:r>
      <w:r>
        <w:rPr>
          <w:rFonts w:ascii="Times New Roman" w:eastAsia="宋体" w:hAnsi="Times New Roman" w:hint="eastAsia"/>
          <w:snapToGrid/>
          <w:kern w:val="2"/>
          <w:szCs w:val="22"/>
          <w:lang w:eastAsia="zh-CN"/>
        </w:rPr>
        <w:t>Optik, 2023, 279(1): 1705-1720.</w:t>
      </w:r>
    </w:p>
    <w:p w14:paraId="65B27B7B" w14:textId="77777777" w:rsidR="003162D1" w:rsidRDefault="003162D1">
      <w:pPr>
        <w:jc w:val="both"/>
        <w:rPr>
          <w:rFonts w:ascii="Times New Roman" w:eastAsia="宋体" w:hAnsi="Times New Roman"/>
          <w:snapToGrid/>
          <w:kern w:val="2"/>
          <w:szCs w:val="22"/>
          <w:lang w:eastAsia="zh-CN"/>
        </w:rPr>
      </w:pPr>
    </w:p>
    <w:p w14:paraId="37B3DA1B" w14:textId="77777777" w:rsidR="003162D1" w:rsidRDefault="003162D1">
      <w:pPr>
        <w:jc w:val="both"/>
        <w:rPr>
          <w:rFonts w:ascii="Times New Roman" w:eastAsia="宋体" w:hAnsi="Times New Roman"/>
          <w:snapToGrid/>
          <w:kern w:val="2"/>
          <w:szCs w:val="22"/>
          <w:lang w:eastAsia="zh-CN"/>
        </w:rPr>
      </w:pPr>
    </w:p>
    <w:p w14:paraId="690D4BD9" w14:textId="77777777" w:rsidR="003162D1" w:rsidRDefault="00FF0CC3">
      <w:pPr>
        <w:rPr>
          <w:rFonts w:ascii="Times New Roman" w:eastAsia="宋体" w:hAnsi="Times New Roman"/>
          <w:lang w:eastAsia="zh-CN"/>
        </w:rPr>
      </w:pPr>
      <w:r>
        <w:rPr>
          <w:rFonts w:ascii="Times New Roman" w:eastAsia="宋体" w:hAnsi="Times New Roman" w:hint="eastAsia"/>
          <w:b/>
          <w:lang w:eastAsia="zh-CN"/>
        </w:rPr>
        <w:t>收稿</w:t>
      </w:r>
      <w:r>
        <w:rPr>
          <w:rFonts w:ascii="Times New Roman" w:eastAsia="宋体" w:hAnsi="Times New Roman"/>
          <w:b/>
          <w:lang w:eastAsia="zh-CN"/>
        </w:rPr>
        <w:t>日期</w:t>
      </w:r>
      <w:r>
        <w:rPr>
          <w:rFonts w:ascii="Times New Roman" w:eastAsia="宋体" w:hAnsi="Times New Roman"/>
          <w:lang w:eastAsia="zh-CN"/>
        </w:rPr>
        <w:t>：</w:t>
      </w:r>
      <w:r>
        <w:rPr>
          <w:rFonts w:ascii="Times New Roman" w:eastAsia="宋体" w:hAnsi="Times New Roman" w:hint="eastAsia"/>
          <w:lang w:eastAsia="zh-CN"/>
        </w:rPr>
        <w:t>20</w:t>
      </w:r>
      <w:r>
        <w:rPr>
          <w:rFonts w:ascii="Times New Roman" w:eastAsia="宋体" w:hAnsi="Times New Roman"/>
          <w:lang w:eastAsia="zh-CN"/>
        </w:rPr>
        <w:t>24-10-30</w:t>
      </w:r>
      <w:r>
        <w:rPr>
          <w:rFonts w:ascii="Times New Roman" w:eastAsia="宋体" w:hAnsi="Times New Roman" w:hint="eastAsia"/>
          <w:lang w:eastAsia="zh-CN"/>
        </w:rPr>
        <w:t>。</w:t>
      </w:r>
    </w:p>
    <w:p w14:paraId="3E23A52A" w14:textId="77777777" w:rsidR="003162D1" w:rsidRDefault="00FF0CC3">
      <w:pPr>
        <w:rPr>
          <w:rFonts w:ascii="Times New Roman" w:eastAsia="宋体" w:hAnsi="Times New Roman"/>
          <w:lang w:eastAsia="zh-CN"/>
        </w:rPr>
      </w:pPr>
      <w:r>
        <w:rPr>
          <w:rFonts w:ascii="Times New Roman" w:eastAsia="宋体" w:hAnsi="Times New Roman"/>
          <w:b/>
          <w:lang w:eastAsia="zh-CN"/>
        </w:rPr>
        <w:t>基金项目：</w:t>
      </w:r>
      <w:r>
        <w:rPr>
          <w:rFonts w:ascii="宋体" w:eastAsia="宋体" w:hAnsi="宋体" w:cs="宋体" w:hint="eastAsia"/>
          <w:snapToGrid/>
          <w:lang w:eastAsia="zh-CN" w:bidi="ar"/>
        </w:rPr>
        <w:t>广西重点研发计划项目（桂科</w:t>
      </w:r>
      <w:r>
        <w:rPr>
          <w:rFonts w:ascii="Times New Roman" w:hAnsi="Times New Roman" w:cs="Times New Roman"/>
          <w:snapToGrid/>
          <w:lang w:eastAsia="zh-CN" w:bidi="ar"/>
        </w:rPr>
        <w:t>AB24010203</w:t>
      </w:r>
      <w:r>
        <w:rPr>
          <w:rFonts w:ascii="宋体" w:eastAsia="宋体" w:hAnsi="宋体" w:cs="宋体" w:hint="eastAsia"/>
          <w:snapToGrid/>
          <w:lang w:eastAsia="zh-CN" w:bidi="ar"/>
        </w:rPr>
        <w:t>）资助。</w:t>
      </w:r>
    </w:p>
    <w:p w14:paraId="78841438" w14:textId="77777777" w:rsidR="003162D1" w:rsidRDefault="00FF0CC3">
      <w:pPr>
        <w:rPr>
          <w:rFonts w:ascii="Times New Roman" w:eastAsia="宋体" w:hAnsi="Times New Roman"/>
          <w:lang w:eastAsia="zh-CN"/>
        </w:rPr>
      </w:pPr>
      <w:r>
        <w:rPr>
          <w:rFonts w:ascii="Times New Roman" w:eastAsia="宋体" w:hAnsi="Times New Roman"/>
          <w:b/>
          <w:lang w:eastAsia="zh-CN"/>
        </w:rPr>
        <w:t>作者简介：</w:t>
      </w:r>
      <w:r>
        <w:rPr>
          <w:rFonts w:ascii="Times New Roman" w:eastAsia="宋体" w:hAnsi="Times New Roman" w:hint="eastAsia"/>
          <w:lang w:eastAsia="zh-CN"/>
        </w:rPr>
        <w:t>邓宇翔</w:t>
      </w:r>
      <w:r>
        <w:rPr>
          <w:rFonts w:ascii="Times New Roman" w:eastAsia="宋体" w:hAnsi="Times New Roman"/>
          <w:lang w:eastAsia="zh-CN"/>
        </w:rPr>
        <w:t>（</w:t>
      </w:r>
      <w:r>
        <w:rPr>
          <w:rFonts w:ascii="Times New Roman" w:eastAsia="宋体" w:hAnsi="Times New Roman" w:hint="eastAsia"/>
          <w:lang w:eastAsia="zh-CN"/>
        </w:rPr>
        <w:t>2</w:t>
      </w:r>
      <w:r>
        <w:rPr>
          <w:rFonts w:ascii="Times New Roman" w:eastAsia="宋体" w:hAnsi="Times New Roman"/>
          <w:lang w:eastAsia="zh-CN"/>
        </w:rPr>
        <w:t>001—</w:t>
      </w:r>
      <w:r>
        <w:rPr>
          <w:rFonts w:ascii="Times New Roman" w:eastAsia="宋体" w:hAnsi="Times New Roman"/>
          <w:lang w:eastAsia="zh-CN"/>
        </w:rPr>
        <w:t>），</w:t>
      </w:r>
      <w:r>
        <w:rPr>
          <w:rFonts w:ascii="Times New Roman" w:eastAsia="宋体" w:hAnsi="Times New Roman" w:hint="eastAsia"/>
          <w:lang w:eastAsia="zh-CN"/>
        </w:rPr>
        <w:t>男</w:t>
      </w:r>
      <w:r>
        <w:rPr>
          <w:rFonts w:ascii="Times New Roman" w:eastAsia="宋体" w:hAnsi="Times New Roman"/>
          <w:lang w:eastAsia="zh-CN"/>
        </w:rPr>
        <w:t>，硕士</w:t>
      </w:r>
      <w:r>
        <w:rPr>
          <w:rFonts w:ascii="Times New Roman" w:eastAsia="宋体" w:hAnsi="Times New Roman" w:hint="eastAsia"/>
          <w:lang w:eastAsia="zh-CN"/>
        </w:rPr>
        <w:t>研究</w:t>
      </w:r>
      <w:r>
        <w:rPr>
          <w:rFonts w:ascii="Times New Roman" w:eastAsia="宋体" w:hAnsi="Times New Roman"/>
          <w:lang w:eastAsia="zh-CN"/>
        </w:rPr>
        <w:t>生，现就读于</w:t>
      </w:r>
      <w:r>
        <w:rPr>
          <w:rFonts w:ascii="Times New Roman" w:eastAsia="宋体" w:hAnsi="Times New Roman" w:hint="eastAsia"/>
          <w:lang w:eastAsia="zh-CN"/>
        </w:rPr>
        <w:t>广西</w:t>
      </w:r>
      <w:r>
        <w:rPr>
          <w:rFonts w:ascii="Times New Roman" w:eastAsia="宋体" w:hAnsi="Times New Roman"/>
          <w:lang w:eastAsia="zh-CN"/>
        </w:rPr>
        <w:t>大学</w:t>
      </w:r>
      <w:r>
        <w:rPr>
          <w:rFonts w:ascii="Times New Roman" w:eastAsia="宋体" w:hAnsi="Times New Roman" w:hint="eastAsia"/>
          <w:lang w:eastAsia="zh-CN"/>
        </w:rPr>
        <w:t>计算机与电子信息</w:t>
      </w:r>
      <w:r>
        <w:rPr>
          <w:rFonts w:ascii="Times New Roman" w:eastAsia="宋体" w:hAnsi="Times New Roman"/>
          <w:lang w:eastAsia="zh-CN"/>
        </w:rPr>
        <w:t>学院</w:t>
      </w:r>
      <w:r>
        <w:rPr>
          <w:rFonts w:ascii="Times New Roman" w:eastAsia="宋体" w:hAnsi="Times New Roman" w:hint="eastAsia"/>
          <w:lang w:eastAsia="zh-CN"/>
        </w:rPr>
        <w:t>计算机技术</w:t>
      </w:r>
      <w:r>
        <w:rPr>
          <w:rFonts w:ascii="Times New Roman" w:eastAsia="宋体" w:hAnsi="Times New Roman"/>
          <w:lang w:eastAsia="zh-CN"/>
        </w:rPr>
        <w:t>专业</w:t>
      </w:r>
      <w:r>
        <w:rPr>
          <w:rFonts w:ascii="Times New Roman" w:eastAsia="宋体" w:hAnsi="Times New Roman" w:hint="eastAsia"/>
          <w:lang w:eastAsia="zh-CN"/>
        </w:rPr>
        <w:t>。</w:t>
      </w:r>
      <w:r>
        <w:rPr>
          <w:rFonts w:ascii="Times New Roman" w:eastAsia="宋体" w:hAnsi="Times New Roman"/>
          <w:lang w:eastAsia="zh-CN"/>
        </w:rPr>
        <w:t>主要从事</w:t>
      </w:r>
      <w:r>
        <w:rPr>
          <w:rFonts w:ascii="Times New Roman" w:eastAsia="宋体" w:hAnsi="Times New Roman" w:hint="eastAsia"/>
          <w:lang w:eastAsia="zh-CN"/>
        </w:rPr>
        <w:t>太赫兹通信，光纤光缆等方面的研究</w:t>
      </w:r>
      <w:r>
        <w:rPr>
          <w:rFonts w:ascii="Times New Roman" w:eastAsia="宋体" w:hAnsi="Times New Roman"/>
          <w:lang w:eastAsia="zh-CN"/>
        </w:rPr>
        <w:t>。</w:t>
      </w:r>
      <w:r>
        <w:rPr>
          <w:rFonts w:ascii="Times New Roman" w:eastAsia="宋体" w:hAnsi="Times New Roman" w:hint="eastAsia"/>
          <w:lang w:eastAsia="zh-CN"/>
        </w:rPr>
        <w:t>曾获校级奖学金和院级奖学金，具有软件设计师中级证书。</w:t>
      </w:r>
    </w:p>
    <w:p w14:paraId="7E08B1FC" w14:textId="77777777" w:rsidR="003162D1" w:rsidRDefault="00FF0CC3">
      <w:pPr>
        <w:rPr>
          <w:rFonts w:ascii="Times New Roman" w:eastAsia="宋体" w:hAnsi="Times New Roman"/>
        </w:rPr>
      </w:pPr>
      <w:r>
        <w:rPr>
          <w:rFonts w:ascii="Times New Roman" w:eastAsia="宋体" w:hAnsi="Times New Roman"/>
          <w:noProof/>
          <w:lang w:eastAsia="zh-CN"/>
        </w:rPr>
        <w:drawing>
          <wp:inline distT="0" distB="0" distL="0" distR="0">
            <wp:extent cx="1045845" cy="1464945"/>
            <wp:effectExtent l="0" t="0" r="1905" b="1905"/>
            <wp:docPr id="26"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a:xfrm>
                      <a:off x="0" y="0"/>
                      <a:ext cx="1073096" cy="1503273"/>
                    </a:xfrm>
                    <a:prstGeom prst="rect">
                      <a:avLst/>
                    </a:prstGeom>
                    <a:noFill/>
                    <a:ln>
                      <a:noFill/>
                    </a:ln>
                  </pic:spPr>
                </pic:pic>
              </a:graphicData>
            </a:graphic>
          </wp:inline>
        </w:drawing>
      </w:r>
    </w:p>
    <w:p w14:paraId="2EA10450" w14:textId="77777777" w:rsidR="003162D1" w:rsidRDefault="00FF0CC3">
      <w:pPr>
        <w:rPr>
          <w:rFonts w:ascii="Times New Roman" w:eastAsia="宋体" w:hAnsi="Times New Roman"/>
          <w:lang w:eastAsia="zh-CN"/>
        </w:rPr>
      </w:pPr>
      <w:r>
        <w:rPr>
          <w:rFonts w:ascii="Times New Roman" w:eastAsia="宋体" w:hAnsi="Times New Roman" w:hint="eastAsia"/>
          <w:lang w:eastAsia="zh-CN"/>
        </w:rPr>
        <w:t>*</w:t>
      </w:r>
      <w:r>
        <w:rPr>
          <w:rFonts w:ascii="Times New Roman" w:eastAsia="宋体" w:hAnsi="Times New Roman" w:hint="eastAsia"/>
          <w:b/>
          <w:lang w:eastAsia="zh-CN"/>
        </w:rPr>
        <w:t>通信</w:t>
      </w:r>
      <w:r>
        <w:rPr>
          <w:rFonts w:ascii="Times New Roman" w:eastAsia="宋体" w:hAnsi="Times New Roman"/>
          <w:b/>
          <w:lang w:eastAsia="zh-CN"/>
        </w:rPr>
        <w:t>作者</w:t>
      </w:r>
      <w:r>
        <w:rPr>
          <w:rFonts w:ascii="Times New Roman" w:eastAsia="宋体" w:hAnsi="Times New Roman"/>
          <w:lang w:eastAsia="zh-CN"/>
        </w:rPr>
        <w:t>：</w:t>
      </w:r>
      <w:r>
        <w:rPr>
          <w:rFonts w:ascii="Times New Roman" w:eastAsia="宋体" w:hAnsi="Times New Roman" w:hint="eastAsia"/>
          <w:sz w:val="24"/>
          <w:szCs w:val="24"/>
          <w:lang w:eastAsia="zh-CN"/>
        </w:rPr>
        <w:t>张振荣（</w:t>
      </w:r>
      <w:r>
        <w:rPr>
          <w:rFonts w:ascii="Times New Roman" w:eastAsia="宋体" w:hAnsi="Times New Roman" w:hint="eastAsia"/>
          <w:sz w:val="24"/>
          <w:szCs w:val="24"/>
          <w:lang w:eastAsia="zh-CN"/>
        </w:rPr>
        <w:t>197</w:t>
      </w:r>
      <w:r>
        <w:rPr>
          <w:rFonts w:ascii="Times New Roman" w:eastAsia="宋体" w:hAnsi="Times New Roman"/>
          <w:sz w:val="24"/>
          <w:szCs w:val="24"/>
          <w:lang w:eastAsia="zh-CN"/>
        </w:rPr>
        <w:t>6—</w:t>
      </w:r>
      <w:r>
        <w:rPr>
          <w:rFonts w:ascii="Times New Roman" w:eastAsia="宋体" w:hAnsi="Times New Roman"/>
          <w:sz w:val="24"/>
          <w:szCs w:val="24"/>
          <w:lang w:eastAsia="zh-CN"/>
        </w:rPr>
        <w:t>），</w:t>
      </w:r>
      <w:r>
        <w:rPr>
          <w:rFonts w:ascii="Times New Roman" w:eastAsia="宋体" w:hAnsi="Times New Roman" w:hint="eastAsia"/>
          <w:sz w:val="24"/>
          <w:szCs w:val="24"/>
          <w:lang w:eastAsia="zh-CN"/>
        </w:rPr>
        <w:t>男</w:t>
      </w:r>
      <w:r>
        <w:rPr>
          <w:rFonts w:ascii="Times New Roman" w:eastAsia="宋体" w:hAnsi="Times New Roman"/>
          <w:sz w:val="24"/>
          <w:szCs w:val="24"/>
          <w:lang w:eastAsia="zh-CN"/>
        </w:rPr>
        <w:t>，博士，教授，</w:t>
      </w:r>
      <w:r>
        <w:rPr>
          <w:rFonts w:asciiTheme="minorEastAsia" w:eastAsiaTheme="minorEastAsia" w:hAnsiTheme="minorEastAsia" w:hint="eastAsia"/>
          <w:color w:val="333333"/>
          <w:lang w:eastAsia="zh-CN"/>
        </w:rPr>
        <w:t>主要研究</w:t>
      </w:r>
      <w:r>
        <w:rPr>
          <w:rFonts w:asciiTheme="minorEastAsia" w:eastAsiaTheme="minorEastAsia" w:hAnsiTheme="minorEastAsia"/>
          <w:color w:val="333333"/>
          <w:lang w:eastAsia="zh-CN"/>
        </w:rPr>
        <w:t>方向为</w:t>
      </w:r>
      <w:r>
        <w:rPr>
          <w:rFonts w:asciiTheme="minorEastAsia" w:eastAsiaTheme="minorEastAsia" w:hAnsiTheme="minorEastAsia" w:hint="eastAsia"/>
          <w:color w:val="333333"/>
          <w:lang w:eastAsia="zh-CN"/>
        </w:rPr>
        <w:t>通信网络及光纤传感技术。</w:t>
      </w:r>
    </w:p>
    <w:p w14:paraId="722F3CF6" w14:textId="77777777" w:rsidR="003162D1" w:rsidRDefault="003162D1">
      <w:pPr>
        <w:rPr>
          <w:rFonts w:ascii="Times New Roman" w:eastAsia="宋体" w:hAnsi="Times New Roman"/>
          <w:lang w:eastAsia="zh-CN"/>
        </w:rPr>
      </w:pPr>
    </w:p>
    <w:sectPr w:rsidR="003162D1">
      <w:footerReference w:type="default" r:id="rId21"/>
      <w:pgSz w:w="11906" w:h="16838"/>
      <w:pgMar w:top="1431" w:right="1440" w:bottom="986" w:left="1464" w:header="0" w:footer="7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285D98D" w14:textId="77777777" w:rsidR="00FF0CC3" w:rsidRDefault="00FF0CC3">
      <w:r>
        <w:separator/>
      </w:r>
    </w:p>
  </w:endnote>
  <w:endnote w:type="continuationSeparator" w:id="0">
    <w:p w14:paraId="64438F80" w14:textId="77777777" w:rsidR="00FF0CC3" w:rsidRDefault="00FF0C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ourier New">
    <w:panose1 w:val="02070309020205020404"/>
    <w:charset w:val="00"/>
    <w:family w:val="modern"/>
    <w:pitch w:val="fixed"/>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80F3C52" w:usb2="00000016" w:usb3="00000000" w:csb0="0004001F" w:csb1="00000000"/>
  </w:font>
  <w:font w:name="楷体_GB2312">
    <w:altName w:val="楷体"/>
    <w:panose1 w:val="02010609030101010101"/>
    <w:charset w:val="86"/>
    <w:family w:val="modern"/>
    <w:pitch w:val="fixed"/>
    <w:sig w:usb0="00000001" w:usb1="080E0000" w:usb2="00000010" w:usb3="00000000" w:csb0="00040000" w:csb1="00000000"/>
  </w:font>
  <w:font w:name="Segoe UI">
    <w:panose1 w:val="020B0502040204020203"/>
    <w:charset w:val="00"/>
    <w:family w:val="swiss"/>
    <w:pitch w:val="default"/>
    <w:sig w:usb0="E4002EFF" w:usb1="C000E47F" w:usb2="00000009" w:usb3="00000000" w:csb0="200001FF" w:csb1="00000000"/>
  </w:font>
  <w:font w:name="MS Mincho">
    <w:altName w:val="ＭＳ 明朝"/>
    <w:panose1 w:val="02020609040205080304"/>
    <w:charset w:val="80"/>
    <w:family w:val="modern"/>
    <w:pitch w:val="fixed"/>
    <w:sig w:usb0="E00002FF" w:usb1="6AC7FDFB" w:usb2="00000012" w:usb3="00000000" w:csb0="0002009F" w:csb1="00000000"/>
  </w:font>
  <w:font w:name="Cambria Math">
    <w:panose1 w:val="02040503050406030204"/>
    <w:charset w:val="00"/>
    <w:family w:val="roman"/>
    <w:pitch w:val="variable"/>
    <w:sig w:usb0="A00002EF" w:usb1="420020EB" w:usb2="00000000" w:usb3="00000000" w:csb0="000000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07287836"/>
    </w:sdtPr>
    <w:sdtEndPr/>
    <w:sdtContent>
      <w:p w14:paraId="1AFD4AF2" w14:textId="64FB2A28" w:rsidR="003162D1" w:rsidRDefault="00FF0CC3">
        <w:pPr>
          <w:pStyle w:val="a8"/>
          <w:jc w:val="center"/>
        </w:pPr>
        <w:r>
          <w:fldChar w:fldCharType="begin"/>
        </w:r>
        <w:r>
          <w:instrText>PAGE   \* MERGEFORMAT</w:instrText>
        </w:r>
        <w:r>
          <w:fldChar w:fldCharType="separate"/>
        </w:r>
        <w:r w:rsidR="00AA1AD2" w:rsidRPr="00AA1AD2">
          <w:rPr>
            <w:noProof/>
            <w:lang w:val="zh-CN" w:eastAsia="zh-CN"/>
          </w:rPr>
          <w:t>8</w:t>
        </w:r>
        <w:r>
          <w:fldChar w:fldCharType="end"/>
        </w:r>
      </w:p>
    </w:sdtContent>
  </w:sdt>
  <w:p w14:paraId="0230DFD6" w14:textId="77777777" w:rsidR="003162D1" w:rsidRDefault="003162D1">
    <w:pPr>
      <w:spacing w:line="179" w:lineRule="auto"/>
      <w:rPr>
        <w:rFonts w:ascii="Times New Roman" w:eastAsia="Times New Roman" w:hAnsi="Times New Roman" w:cs="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B6D9BB" w14:textId="77777777" w:rsidR="00FF0CC3" w:rsidRDefault="00FF0CC3">
      <w:r>
        <w:separator/>
      </w:r>
    </w:p>
  </w:footnote>
  <w:footnote w:type="continuationSeparator" w:id="0">
    <w:p w14:paraId="63391DB8" w14:textId="77777777" w:rsidR="00FF0CC3" w:rsidRDefault="00FF0CC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displayBackgroundShape/>
  <w:bordersDoNotSurroundHeader/>
  <w:bordersDoNotSurroundFooter/>
  <w:defaultTabStop w:val="420"/>
  <w:autoHyphenation/>
  <w:noPunctuationKerning/>
  <w:characterSpacingControl w:val="doNotCompress"/>
  <w:footnotePr>
    <w:footnote w:id="-1"/>
    <w:footnote w:id="0"/>
  </w:footnotePr>
  <w:endnotePr>
    <w:endnote w:id="-1"/>
    <w:endnote w:id="0"/>
  </w:endnotePr>
  <w:compat>
    <w:spaceForUL/>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2U1N2I4M2M1NTA5YWQ4YWYxZWNjMTdjZGQ4YjhhOTQifQ=="/>
    <w:docVar w:name="currentStyleCount" w:val="5"/>
  </w:docVars>
  <w:rsids>
    <w:rsidRoot w:val="00C42793"/>
    <w:rsid w:val="00015A09"/>
    <w:rsid w:val="00031181"/>
    <w:rsid w:val="000409B9"/>
    <w:rsid w:val="00045E5C"/>
    <w:rsid w:val="00057826"/>
    <w:rsid w:val="00064366"/>
    <w:rsid w:val="0006557F"/>
    <w:rsid w:val="00067D9D"/>
    <w:rsid w:val="000829B8"/>
    <w:rsid w:val="0008434F"/>
    <w:rsid w:val="00094B4E"/>
    <w:rsid w:val="000A27BE"/>
    <w:rsid w:val="00123288"/>
    <w:rsid w:val="001313E3"/>
    <w:rsid w:val="00131CC3"/>
    <w:rsid w:val="00137E1E"/>
    <w:rsid w:val="00161585"/>
    <w:rsid w:val="00170836"/>
    <w:rsid w:val="00172545"/>
    <w:rsid w:val="00183DF4"/>
    <w:rsid w:val="00185B58"/>
    <w:rsid w:val="00194E7C"/>
    <w:rsid w:val="00194F57"/>
    <w:rsid w:val="00197C7D"/>
    <w:rsid w:val="001A2F0E"/>
    <w:rsid w:val="001A7C02"/>
    <w:rsid w:val="001C2BD9"/>
    <w:rsid w:val="001D52B0"/>
    <w:rsid w:val="001D705D"/>
    <w:rsid w:val="001F0433"/>
    <w:rsid w:val="001F4EC3"/>
    <w:rsid w:val="001F6CC0"/>
    <w:rsid w:val="00203D5F"/>
    <w:rsid w:val="0022420E"/>
    <w:rsid w:val="002248B0"/>
    <w:rsid w:val="00227281"/>
    <w:rsid w:val="002474D9"/>
    <w:rsid w:val="002557E0"/>
    <w:rsid w:val="00271A8E"/>
    <w:rsid w:val="00285F7A"/>
    <w:rsid w:val="00296F89"/>
    <w:rsid w:val="002A0140"/>
    <w:rsid w:val="002E4C56"/>
    <w:rsid w:val="002E7FC9"/>
    <w:rsid w:val="002F3E3A"/>
    <w:rsid w:val="002F73F5"/>
    <w:rsid w:val="003001D0"/>
    <w:rsid w:val="00300BF9"/>
    <w:rsid w:val="003162D1"/>
    <w:rsid w:val="00324195"/>
    <w:rsid w:val="00352FF8"/>
    <w:rsid w:val="003574F5"/>
    <w:rsid w:val="00381366"/>
    <w:rsid w:val="003931E4"/>
    <w:rsid w:val="003A16C0"/>
    <w:rsid w:val="003B0240"/>
    <w:rsid w:val="003B46B7"/>
    <w:rsid w:val="003B7916"/>
    <w:rsid w:val="003B7EF3"/>
    <w:rsid w:val="003C6096"/>
    <w:rsid w:val="003E0746"/>
    <w:rsid w:val="0040694E"/>
    <w:rsid w:val="00413A47"/>
    <w:rsid w:val="00421E24"/>
    <w:rsid w:val="00436F2C"/>
    <w:rsid w:val="0044755F"/>
    <w:rsid w:val="00461DE0"/>
    <w:rsid w:val="00464304"/>
    <w:rsid w:val="0048169C"/>
    <w:rsid w:val="00490B65"/>
    <w:rsid w:val="004E4614"/>
    <w:rsid w:val="004E7A8D"/>
    <w:rsid w:val="004F6948"/>
    <w:rsid w:val="00505E1C"/>
    <w:rsid w:val="0051416A"/>
    <w:rsid w:val="005320BC"/>
    <w:rsid w:val="00556AF8"/>
    <w:rsid w:val="00572BEC"/>
    <w:rsid w:val="005C7FED"/>
    <w:rsid w:val="005E65B5"/>
    <w:rsid w:val="005E77B6"/>
    <w:rsid w:val="00603AE2"/>
    <w:rsid w:val="0061567D"/>
    <w:rsid w:val="00620514"/>
    <w:rsid w:val="00620774"/>
    <w:rsid w:val="00621BA5"/>
    <w:rsid w:val="00642589"/>
    <w:rsid w:val="00645A51"/>
    <w:rsid w:val="00664515"/>
    <w:rsid w:val="0067301D"/>
    <w:rsid w:val="006843BF"/>
    <w:rsid w:val="00686D48"/>
    <w:rsid w:val="00690041"/>
    <w:rsid w:val="006951A0"/>
    <w:rsid w:val="00697913"/>
    <w:rsid w:val="006A2418"/>
    <w:rsid w:val="006D1A5B"/>
    <w:rsid w:val="006D3699"/>
    <w:rsid w:val="006D4F3A"/>
    <w:rsid w:val="006F759C"/>
    <w:rsid w:val="00706E79"/>
    <w:rsid w:val="007309F0"/>
    <w:rsid w:val="00744AD1"/>
    <w:rsid w:val="00757E03"/>
    <w:rsid w:val="0076727E"/>
    <w:rsid w:val="00783884"/>
    <w:rsid w:val="00786A5F"/>
    <w:rsid w:val="00786FB7"/>
    <w:rsid w:val="007916FE"/>
    <w:rsid w:val="0079485C"/>
    <w:rsid w:val="00796E55"/>
    <w:rsid w:val="007A543F"/>
    <w:rsid w:val="007B61FD"/>
    <w:rsid w:val="007D333C"/>
    <w:rsid w:val="007D4CA9"/>
    <w:rsid w:val="007F5B93"/>
    <w:rsid w:val="008409F5"/>
    <w:rsid w:val="00843716"/>
    <w:rsid w:val="008516AA"/>
    <w:rsid w:val="00853B1E"/>
    <w:rsid w:val="00863A62"/>
    <w:rsid w:val="00880338"/>
    <w:rsid w:val="008839BC"/>
    <w:rsid w:val="00886031"/>
    <w:rsid w:val="008877C5"/>
    <w:rsid w:val="00887A9F"/>
    <w:rsid w:val="00887B24"/>
    <w:rsid w:val="008A6669"/>
    <w:rsid w:val="008B438E"/>
    <w:rsid w:val="008C5327"/>
    <w:rsid w:val="008E392B"/>
    <w:rsid w:val="009157E9"/>
    <w:rsid w:val="00916099"/>
    <w:rsid w:val="0092632B"/>
    <w:rsid w:val="00932832"/>
    <w:rsid w:val="00936617"/>
    <w:rsid w:val="009428C2"/>
    <w:rsid w:val="00942A5C"/>
    <w:rsid w:val="0095282C"/>
    <w:rsid w:val="00954262"/>
    <w:rsid w:val="00962A76"/>
    <w:rsid w:val="0097547A"/>
    <w:rsid w:val="0098365D"/>
    <w:rsid w:val="00987BE6"/>
    <w:rsid w:val="009A02C3"/>
    <w:rsid w:val="009B1F30"/>
    <w:rsid w:val="009B5494"/>
    <w:rsid w:val="009B5E77"/>
    <w:rsid w:val="009D3B32"/>
    <w:rsid w:val="009D7181"/>
    <w:rsid w:val="009E00A9"/>
    <w:rsid w:val="009F7397"/>
    <w:rsid w:val="00A123D9"/>
    <w:rsid w:val="00A25CAD"/>
    <w:rsid w:val="00A455D9"/>
    <w:rsid w:val="00A46FE1"/>
    <w:rsid w:val="00A5299C"/>
    <w:rsid w:val="00A52C7E"/>
    <w:rsid w:val="00A56FEC"/>
    <w:rsid w:val="00A63F3E"/>
    <w:rsid w:val="00A656A3"/>
    <w:rsid w:val="00A661B0"/>
    <w:rsid w:val="00A668AB"/>
    <w:rsid w:val="00A70E97"/>
    <w:rsid w:val="00A7304C"/>
    <w:rsid w:val="00A9445E"/>
    <w:rsid w:val="00A975C9"/>
    <w:rsid w:val="00AA1AD2"/>
    <w:rsid w:val="00AA3A12"/>
    <w:rsid w:val="00AA51F8"/>
    <w:rsid w:val="00AB3BF4"/>
    <w:rsid w:val="00AD06E8"/>
    <w:rsid w:val="00AD6D33"/>
    <w:rsid w:val="00AE2F6B"/>
    <w:rsid w:val="00AF1A92"/>
    <w:rsid w:val="00AF6C2E"/>
    <w:rsid w:val="00B00F74"/>
    <w:rsid w:val="00B07593"/>
    <w:rsid w:val="00B22836"/>
    <w:rsid w:val="00B24010"/>
    <w:rsid w:val="00B26626"/>
    <w:rsid w:val="00B43D55"/>
    <w:rsid w:val="00B51665"/>
    <w:rsid w:val="00B53544"/>
    <w:rsid w:val="00B53BD2"/>
    <w:rsid w:val="00B55D11"/>
    <w:rsid w:val="00B56C8C"/>
    <w:rsid w:val="00B61ACA"/>
    <w:rsid w:val="00B71909"/>
    <w:rsid w:val="00B71C9A"/>
    <w:rsid w:val="00B80F37"/>
    <w:rsid w:val="00B85A55"/>
    <w:rsid w:val="00B8768C"/>
    <w:rsid w:val="00B92BB5"/>
    <w:rsid w:val="00B97773"/>
    <w:rsid w:val="00BA2712"/>
    <w:rsid w:val="00BA7B2E"/>
    <w:rsid w:val="00BB4782"/>
    <w:rsid w:val="00BC3287"/>
    <w:rsid w:val="00BD14A0"/>
    <w:rsid w:val="00BD64BC"/>
    <w:rsid w:val="00C059ED"/>
    <w:rsid w:val="00C120AF"/>
    <w:rsid w:val="00C1399D"/>
    <w:rsid w:val="00C20C5E"/>
    <w:rsid w:val="00C22092"/>
    <w:rsid w:val="00C22388"/>
    <w:rsid w:val="00C42793"/>
    <w:rsid w:val="00C445A4"/>
    <w:rsid w:val="00C65ED4"/>
    <w:rsid w:val="00C7772F"/>
    <w:rsid w:val="00C90078"/>
    <w:rsid w:val="00CA711E"/>
    <w:rsid w:val="00CC3A4F"/>
    <w:rsid w:val="00CC3AFD"/>
    <w:rsid w:val="00CC6AA1"/>
    <w:rsid w:val="00CD568B"/>
    <w:rsid w:val="00CD723E"/>
    <w:rsid w:val="00CE0ECA"/>
    <w:rsid w:val="00D20FA1"/>
    <w:rsid w:val="00D246BA"/>
    <w:rsid w:val="00D35AEF"/>
    <w:rsid w:val="00D652F4"/>
    <w:rsid w:val="00D92450"/>
    <w:rsid w:val="00DC71E1"/>
    <w:rsid w:val="00DD4C67"/>
    <w:rsid w:val="00DD53D4"/>
    <w:rsid w:val="00DD54E8"/>
    <w:rsid w:val="00DF66B5"/>
    <w:rsid w:val="00E1349E"/>
    <w:rsid w:val="00E17256"/>
    <w:rsid w:val="00E21A5C"/>
    <w:rsid w:val="00E352B7"/>
    <w:rsid w:val="00E42CA8"/>
    <w:rsid w:val="00E50736"/>
    <w:rsid w:val="00E51F96"/>
    <w:rsid w:val="00E54CB7"/>
    <w:rsid w:val="00E55483"/>
    <w:rsid w:val="00E5758D"/>
    <w:rsid w:val="00E57AF6"/>
    <w:rsid w:val="00E62333"/>
    <w:rsid w:val="00E922A6"/>
    <w:rsid w:val="00EA2CD8"/>
    <w:rsid w:val="00EA464A"/>
    <w:rsid w:val="00EA7EBD"/>
    <w:rsid w:val="00EB43BA"/>
    <w:rsid w:val="00EB750E"/>
    <w:rsid w:val="00EB7A31"/>
    <w:rsid w:val="00EC723B"/>
    <w:rsid w:val="00ED3E27"/>
    <w:rsid w:val="00ED6047"/>
    <w:rsid w:val="00EF4A45"/>
    <w:rsid w:val="00EF6420"/>
    <w:rsid w:val="00F242ED"/>
    <w:rsid w:val="00F246FD"/>
    <w:rsid w:val="00F350E4"/>
    <w:rsid w:val="00F50BC3"/>
    <w:rsid w:val="00F96DC9"/>
    <w:rsid w:val="00FA6DDE"/>
    <w:rsid w:val="00FB3B7D"/>
    <w:rsid w:val="00FB6496"/>
    <w:rsid w:val="00FC304D"/>
    <w:rsid w:val="00FD496D"/>
    <w:rsid w:val="00FD4E2B"/>
    <w:rsid w:val="00FE3AD7"/>
    <w:rsid w:val="00FE422B"/>
    <w:rsid w:val="00FE517A"/>
    <w:rsid w:val="00FE6607"/>
    <w:rsid w:val="00FE6D61"/>
    <w:rsid w:val="00FE7BA7"/>
    <w:rsid w:val="00FF0CC3"/>
    <w:rsid w:val="02562E76"/>
    <w:rsid w:val="0613676D"/>
    <w:rsid w:val="096600DB"/>
    <w:rsid w:val="09D655D8"/>
    <w:rsid w:val="0AA61784"/>
    <w:rsid w:val="0DBE2B84"/>
    <w:rsid w:val="10BB15FD"/>
    <w:rsid w:val="11820B22"/>
    <w:rsid w:val="12B54C1E"/>
    <w:rsid w:val="16443E43"/>
    <w:rsid w:val="16566170"/>
    <w:rsid w:val="17A32DEB"/>
    <w:rsid w:val="1D310671"/>
    <w:rsid w:val="202A0447"/>
    <w:rsid w:val="20623A60"/>
    <w:rsid w:val="259923A0"/>
    <w:rsid w:val="28D87E92"/>
    <w:rsid w:val="2ED667A9"/>
    <w:rsid w:val="347556A1"/>
    <w:rsid w:val="34874397"/>
    <w:rsid w:val="37780482"/>
    <w:rsid w:val="4309346A"/>
    <w:rsid w:val="43454BD3"/>
    <w:rsid w:val="47D22EC2"/>
    <w:rsid w:val="4F33177C"/>
    <w:rsid w:val="52B16F46"/>
    <w:rsid w:val="5995510E"/>
    <w:rsid w:val="5AA017E5"/>
    <w:rsid w:val="61447948"/>
    <w:rsid w:val="63FD3E6C"/>
    <w:rsid w:val="65DF3FAF"/>
    <w:rsid w:val="6F2B0871"/>
    <w:rsid w:val="72127A3E"/>
    <w:rsid w:val="7545014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F303D2"/>
  <w15:docId w15:val="{7A9988A0-222B-4FA2-9BD6-A048F54278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qFormat="1"/>
    <w:lsdException w:name="header" w:qFormat="1"/>
    <w:lsdException w:name="footer" w:uiPriority="99" w:qFormat="1"/>
    <w:lsdException w:name="caption" w:semiHidden="1" w:unhideWhenUsed="1" w:qFormat="1"/>
    <w:lsdException w:name="annotation reference" w:qFormat="1"/>
    <w:lsdException w:name="Title" w:qFormat="1"/>
    <w:lsdException w:name="Default Paragraph Font" w:semiHidden="1" w:uiPriority="1" w:unhideWhenUsed="1"/>
    <w:lsdException w:name="Body Text" w:semiHidden="1" w:qFormat="1"/>
    <w:lsdException w:name="Subtitle" w:qFormat="1"/>
    <w:lsdException w:name="Strong" w:uiPriority="22" w:qFormat="1"/>
    <w:lsdException w:name="Emphasis" w:qFormat="1"/>
    <w:lsdException w:name="HTML Top of Form" w:semiHidden="1" w:uiPriority="99" w:unhideWhenUsed="1"/>
    <w:lsdException w:name="HTML Bottom of Form" w:semiHidden="1" w:uiPriority="99" w:unhideWhenUsed="1"/>
    <w:lsdException w:name="Normal (Web)" w:qFormat="1"/>
    <w:lsdException w:name="HTML Code" w:qFormat="1"/>
    <w:lsdException w:name="HTML Preformatted"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semiHidden="1" w:unhideWhenUsed="1"/>
    <w:lsdException w:name="Table Theme" w:semiHidden="1" w:unhideWhenUsed="1"/>
    <w:lsdException w:name="Placeholder Text" w:semiHidden="1" w:uiPriority="99" w:qFormat="1"/>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kinsoku w:val="0"/>
      <w:autoSpaceDE w:val="0"/>
      <w:autoSpaceDN w:val="0"/>
      <w:adjustRightInd w:val="0"/>
      <w:snapToGrid w:val="0"/>
      <w:textAlignment w:val="baseline"/>
    </w:pPr>
    <w:rPr>
      <w:rFonts w:ascii="Arial" w:eastAsia="Arial" w:hAnsi="Arial" w:cs="Arial"/>
      <w:snapToGrid w:val="0"/>
      <w:color w:val="000000"/>
      <w:sz w:val="21"/>
      <w:szCs w:val="21"/>
      <w:lang w:eastAsia="en-US"/>
    </w:rPr>
  </w:style>
  <w:style w:type="paragraph" w:styleId="2">
    <w:name w:val="heading 2"/>
    <w:basedOn w:val="a"/>
    <w:next w:val="a"/>
    <w:uiPriority w:val="9"/>
    <w:unhideWhenUsed/>
    <w:qFormat/>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semiHidden/>
    <w:unhideWhenUsed/>
    <w:qFormat/>
    <w:pPr>
      <w:spacing w:beforeAutospacing="1" w:afterAutospacing="1"/>
      <w:outlineLvl w:val="2"/>
    </w:pPr>
    <w:rPr>
      <w:rFonts w:ascii="宋体" w:eastAsia="宋体" w:hAnsi="宋体" w:cs="Times New Roman" w:hint="eastAsia"/>
      <w:b/>
      <w:bCs/>
      <w:sz w:val="27"/>
      <w:szCs w:val="27"/>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iPriority w:val="99"/>
    <w:qFormat/>
  </w:style>
  <w:style w:type="paragraph" w:styleId="a5">
    <w:name w:val="Body Text"/>
    <w:basedOn w:val="a"/>
    <w:semiHidden/>
    <w:qFormat/>
    <w:rPr>
      <w:rFonts w:ascii="宋体" w:eastAsia="宋体" w:hAnsi="宋体" w:cs="宋体"/>
    </w:rPr>
  </w:style>
  <w:style w:type="paragraph" w:styleId="a6">
    <w:name w:val="Balloon Text"/>
    <w:basedOn w:val="a"/>
    <w:link w:val="a7"/>
    <w:qFormat/>
    <w:rPr>
      <w:sz w:val="18"/>
      <w:szCs w:val="18"/>
    </w:rPr>
  </w:style>
  <w:style w:type="paragraph" w:styleId="a8">
    <w:name w:val="footer"/>
    <w:basedOn w:val="a"/>
    <w:link w:val="a9"/>
    <w:uiPriority w:val="99"/>
    <w:qFormat/>
    <w:pPr>
      <w:tabs>
        <w:tab w:val="center" w:pos="4153"/>
        <w:tab w:val="right" w:pos="8306"/>
      </w:tabs>
    </w:pPr>
    <w:rPr>
      <w:sz w:val="18"/>
      <w:szCs w:val="18"/>
    </w:rPr>
  </w:style>
  <w:style w:type="paragraph" w:styleId="aa">
    <w:name w:val="header"/>
    <w:basedOn w:val="a"/>
    <w:link w:val="ab"/>
    <w:qFormat/>
    <w:pPr>
      <w:pBdr>
        <w:bottom w:val="single" w:sz="6" w:space="1" w:color="auto"/>
      </w:pBdr>
      <w:tabs>
        <w:tab w:val="center" w:pos="4153"/>
        <w:tab w:val="right" w:pos="8306"/>
      </w:tabs>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宋体" w:eastAsia="宋体" w:hAnsi="宋体" w:cs="Times New Roman" w:hint="eastAsia"/>
      <w:sz w:val="24"/>
      <w:szCs w:val="24"/>
      <w:lang w:eastAsia="zh-CN"/>
    </w:rPr>
  </w:style>
  <w:style w:type="paragraph" w:styleId="ac">
    <w:name w:val="Normal (Web)"/>
    <w:basedOn w:val="a"/>
    <w:link w:val="ad"/>
    <w:qFormat/>
    <w:pPr>
      <w:spacing w:beforeAutospacing="1" w:afterAutospacing="1"/>
    </w:pPr>
    <w:rPr>
      <w:rFonts w:cs="Times New Roman"/>
      <w:sz w:val="24"/>
      <w:lang w:eastAsia="zh-CN"/>
    </w:rPr>
  </w:style>
  <w:style w:type="paragraph" w:styleId="ae">
    <w:name w:val="annotation subject"/>
    <w:basedOn w:val="a3"/>
    <w:next w:val="a3"/>
    <w:link w:val="af"/>
    <w:qFormat/>
    <w:rPr>
      <w:b/>
      <w:bCs/>
    </w:rPr>
  </w:style>
  <w:style w:type="character" w:styleId="af0">
    <w:name w:val="Strong"/>
    <w:basedOn w:val="a0"/>
    <w:uiPriority w:val="22"/>
    <w:qFormat/>
    <w:rPr>
      <w:b/>
    </w:rPr>
  </w:style>
  <w:style w:type="character" w:styleId="af1">
    <w:name w:val="Emphasis"/>
    <w:basedOn w:val="a0"/>
    <w:qFormat/>
    <w:rPr>
      <w:i/>
    </w:rPr>
  </w:style>
  <w:style w:type="character" w:styleId="HTML0">
    <w:name w:val="HTML Code"/>
    <w:basedOn w:val="a0"/>
    <w:qFormat/>
    <w:rPr>
      <w:rFonts w:ascii="Courier New" w:hAnsi="Courier New"/>
      <w:sz w:val="20"/>
    </w:rPr>
  </w:style>
  <w:style w:type="character" w:styleId="af2">
    <w:name w:val="annotation reference"/>
    <w:basedOn w:val="a0"/>
    <w:qFormat/>
    <w:rPr>
      <w:sz w:val="21"/>
      <w:szCs w:val="21"/>
    </w:rPr>
  </w:style>
  <w:style w:type="table" w:customStyle="1" w:styleId="TableNormal">
    <w:name w:val="Table Normal"/>
    <w:semiHidden/>
    <w:unhideWhenUsed/>
    <w:qFormat/>
    <w:tblPr>
      <w:tblCellMar>
        <w:top w:w="0" w:type="dxa"/>
        <w:left w:w="0" w:type="dxa"/>
        <w:bottom w:w="0" w:type="dxa"/>
        <w:right w:w="0" w:type="dxa"/>
      </w:tblCellMar>
    </w:tblPr>
  </w:style>
  <w:style w:type="paragraph" w:customStyle="1" w:styleId="TableText">
    <w:name w:val="Table Text"/>
    <w:basedOn w:val="a"/>
    <w:semiHidden/>
    <w:qFormat/>
    <w:rPr>
      <w:rFonts w:ascii="Times New Roman" w:eastAsia="Times New Roman" w:hAnsi="Times New Roman" w:cs="Times New Roman"/>
    </w:rPr>
  </w:style>
  <w:style w:type="character" w:customStyle="1" w:styleId="ab">
    <w:name w:val="页眉 字符"/>
    <w:basedOn w:val="a0"/>
    <w:link w:val="aa"/>
    <w:qFormat/>
    <w:rPr>
      <w:rFonts w:ascii="Arial" w:eastAsia="Arial" w:hAnsi="Arial" w:cs="Arial"/>
      <w:snapToGrid w:val="0"/>
      <w:color w:val="000000"/>
      <w:sz w:val="18"/>
      <w:szCs w:val="18"/>
      <w:lang w:eastAsia="en-US"/>
    </w:rPr>
  </w:style>
  <w:style w:type="character" w:customStyle="1" w:styleId="a9">
    <w:name w:val="页脚 字符"/>
    <w:basedOn w:val="a0"/>
    <w:link w:val="a8"/>
    <w:uiPriority w:val="99"/>
    <w:qFormat/>
    <w:rPr>
      <w:rFonts w:ascii="Arial" w:eastAsia="Arial" w:hAnsi="Arial" w:cs="Arial"/>
      <w:snapToGrid w:val="0"/>
      <w:color w:val="000000"/>
      <w:sz w:val="18"/>
      <w:szCs w:val="18"/>
      <w:lang w:eastAsia="en-US"/>
    </w:rPr>
  </w:style>
  <w:style w:type="paragraph" w:styleId="af3">
    <w:name w:val="List Paragraph"/>
    <w:basedOn w:val="a"/>
    <w:uiPriority w:val="99"/>
    <w:qFormat/>
    <w:pPr>
      <w:ind w:firstLineChars="200" w:firstLine="420"/>
    </w:pPr>
  </w:style>
  <w:style w:type="character" w:styleId="af4">
    <w:name w:val="Placeholder Text"/>
    <w:basedOn w:val="a0"/>
    <w:uiPriority w:val="99"/>
    <w:semiHidden/>
    <w:qFormat/>
    <w:rPr>
      <w:color w:val="808080"/>
    </w:rPr>
  </w:style>
  <w:style w:type="character" w:customStyle="1" w:styleId="a4">
    <w:name w:val="批注文字 字符"/>
    <w:basedOn w:val="a0"/>
    <w:link w:val="a3"/>
    <w:uiPriority w:val="99"/>
    <w:qFormat/>
    <w:rPr>
      <w:rFonts w:ascii="Arial" w:eastAsia="Arial" w:hAnsi="Arial" w:cs="Arial"/>
      <w:snapToGrid w:val="0"/>
      <w:color w:val="000000"/>
      <w:sz w:val="21"/>
      <w:szCs w:val="21"/>
      <w:lang w:eastAsia="en-US"/>
    </w:rPr>
  </w:style>
  <w:style w:type="character" w:customStyle="1" w:styleId="af">
    <w:name w:val="批注主题 字符"/>
    <w:basedOn w:val="a4"/>
    <w:link w:val="ae"/>
    <w:qFormat/>
    <w:rPr>
      <w:rFonts w:ascii="Arial" w:eastAsia="Arial" w:hAnsi="Arial" w:cs="Arial"/>
      <w:b/>
      <w:bCs/>
      <w:snapToGrid w:val="0"/>
      <w:color w:val="000000"/>
      <w:sz w:val="21"/>
      <w:szCs w:val="21"/>
      <w:lang w:eastAsia="en-US"/>
    </w:rPr>
  </w:style>
  <w:style w:type="character" w:customStyle="1" w:styleId="a7">
    <w:name w:val="批注框文本 字符"/>
    <w:basedOn w:val="a0"/>
    <w:link w:val="a6"/>
    <w:qFormat/>
    <w:rPr>
      <w:rFonts w:ascii="Arial" w:eastAsia="Arial" w:hAnsi="Arial" w:cs="Arial"/>
      <w:snapToGrid w:val="0"/>
      <w:color w:val="000000"/>
      <w:sz w:val="18"/>
      <w:szCs w:val="18"/>
      <w:lang w:eastAsia="en-US"/>
    </w:rPr>
  </w:style>
  <w:style w:type="character" w:customStyle="1" w:styleId="MTEquationSection">
    <w:name w:val="MTEquationSection"/>
    <w:basedOn w:val="a0"/>
    <w:qFormat/>
    <w:rPr>
      <w:rFonts w:eastAsia="黑体"/>
      <w:b/>
      <w:bCs/>
      <w:vanish/>
      <w:color w:val="FF0000"/>
      <w:sz w:val="36"/>
      <w:szCs w:val="36"/>
      <w:lang w:eastAsia="zh-CN"/>
    </w:rPr>
  </w:style>
  <w:style w:type="paragraph" w:customStyle="1" w:styleId="MTDisplayEquation">
    <w:name w:val="MTDisplayEquation"/>
    <w:basedOn w:val="ac"/>
    <w:next w:val="a"/>
    <w:link w:val="MTDisplayEquation0"/>
    <w:qFormat/>
    <w:pPr>
      <w:tabs>
        <w:tab w:val="center" w:pos="4500"/>
        <w:tab w:val="right" w:pos="9000"/>
      </w:tabs>
      <w:spacing w:before="160" w:beforeAutospacing="0" w:after="160" w:afterAutospacing="0"/>
    </w:pPr>
    <w:rPr>
      <w:snapToGrid/>
      <w:sz w:val="21"/>
    </w:rPr>
  </w:style>
  <w:style w:type="character" w:customStyle="1" w:styleId="ad">
    <w:name w:val="普通(网站) 字符"/>
    <w:basedOn w:val="a0"/>
    <w:link w:val="ac"/>
    <w:qFormat/>
    <w:rPr>
      <w:rFonts w:ascii="Arial" w:eastAsia="Arial" w:hAnsi="Arial"/>
      <w:snapToGrid w:val="0"/>
      <w:color w:val="000000"/>
      <w:sz w:val="24"/>
      <w:szCs w:val="21"/>
    </w:rPr>
  </w:style>
  <w:style w:type="character" w:customStyle="1" w:styleId="MTDisplayEquation0">
    <w:name w:val="MTDisplayEquation 字符"/>
    <w:basedOn w:val="ad"/>
    <w:link w:val="MTDisplayEquation"/>
    <w:qFormat/>
    <w:rPr>
      <w:rFonts w:ascii="Arial" w:eastAsia="Arial" w:hAnsi="Arial"/>
      <w:snapToGrid/>
      <w:color w:val="000000"/>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package" Target="embeddings/Microsoft_Visio___.vsdx"/><Relationship Id="rId13" Type="http://schemas.openxmlformats.org/officeDocument/2006/relationships/package" Target="embeddings/Microsoft_Visio___1.vsdx"/><Relationship Id="rId18" Type="http://schemas.openxmlformats.org/officeDocument/2006/relationships/image" Target="media/image7.emf"/><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emf"/><Relationship Id="rId12" Type="http://schemas.openxmlformats.org/officeDocument/2006/relationships/image" Target="media/image4.emf"/><Relationship Id="rId17" Type="http://schemas.openxmlformats.org/officeDocument/2006/relationships/package" Target="embeddings/Microsoft_Visio___3.vsdx"/><Relationship Id="rId2" Type="http://schemas.openxmlformats.org/officeDocument/2006/relationships/styles" Target="styles.xml"/><Relationship Id="rId16" Type="http://schemas.openxmlformats.org/officeDocument/2006/relationships/image" Target="media/image6.emf"/><Relationship Id="rId20" Type="http://schemas.openxmlformats.org/officeDocument/2006/relationships/image" Target="media/image8.jpe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5" Type="http://schemas.openxmlformats.org/officeDocument/2006/relationships/package" Target="embeddings/Microsoft_Visio___2.vsdx"/><Relationship Id="rId23" Type="http://schemas.openxmlformats.org/officeDocument/2006/relationships/theme" Target="theme/theme1.xml"/><Relationship Id="rId10" Type="http://schemas.openxmlformats.org/officeDocument/2006/relationships/image" Target="media/image3.wmf"/><Relationship Id="rId19" Type="http://schemas.openxmlformats.org/officeDocument/2006/relationships/package" Target="embeddings/Microsoft_Visio___4.vsdx"/><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5.emf"/><Relationship Id="rId22"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5A9672-B1E6-4CE2-BC15-FA2125E650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8</Pages>
  <Words>2186</Words>
  <Characters>12464</Characters>
  <Application>Microsoft Office Word</Application>
  <DocSecurity>0</DocSecurity>
  <Lines>103</Lines>
  <Paragraphs>29</Paragraphs>
  <ScaleCrop>false</ScaleCrop>
  <Company>微软中国</Company>
  <LinksUpToDate>false</LinksUpToDate>
  <CharactersWithSpaces>14621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微软用户</cp:lastModifiedBy>
  <cp:revision>6</cp:revision>
  <dcterms:created xsi:type="dcterms:W3CDTF">2025-10-25T04:50:00Z</dcterms:created>
  <dcterms:modified xsi:type="dcterms:W3CDTF">2025-10-27T02:19:00Z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wqlLaW5nc29mdCBQREYgdG8gV1BTIDEwMA</vt:lpwstr>
  </property>
  <property fmtid="{D5CDD505-2E9C-101B-9397-08002B2CF9AE}" pid="3" name="Created">
    <vt:filetime>2024-10-01T14:47:01Z</vt:filetime>
  </property>
  <property fmtid="{D5CDD505-2E9C-101B-9397-08002B2CF9AE}" pid="4" name="KSOProductBuildVer">
    <vt:lpwstr>2052-12.1.0.22529</vt:lpwstr>
  </property>
  <property fmtid="{D5CDD505-2E9C-101B-9397-08002B2CF9AE}" pid="5" name="ICV">
    <vt:lpwstr>43592A68DE2B4212985D2BC269F6E41D_13</vt:lpwstr>
  </property>
  <property fmtid="{D5CDD505-2E9C-101B-9397-08002B2CF9AE}" pid="6" name="KSOTemplateDocerSaveRecord">
    <vt:lpwstr>eyJoZGlkIjoiYTYwYTFiZTY2ZDczOWQwZjBmNWJlMmVhMmJlN2QzMTYiLCJ1c2VySWQiOiI2NzUyMDY1OTYifQ==</vt:lpwstr>
  </property>
  <property fmtid="{D5CDD505-2E9C-101B-9397-08002B2CF9AE}" pid="7" name="MTEquationNumber2">
    <vt:lpwstr>(#S1.#E1)</vt:lpwstr>
  </property>
  <property fmtid="{D5CDD505-2E9C-101B-9397-08002B2CF9AE}" pid="8" name="MTEquationSection">
    <vt:lpwstr>1</vt:lpwstr>
  </property>
  <property fmtid="{D5CDD505-2E9C-101B-9397-08002B2CF9AE}" pid="9" name="MTWinEqns">
    <vt:bool>true</vt:bool>
  </property>
</Properties>
</file>