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20AF7" w14:textId="77777777" w:rsidR="00192D35" w:rsidRDefault="005815D7">
      <w:pPr>
        <w:jc w:val="center"/>
        <w:outlineLvl w:val="0"/>
        <w:rPr>
          <w:rFonts w:ascii="黑体" w:eastAsia="黑体" w:hAnsi="黑体" w:cs="黑体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基于</w:t>
      </w:r>
      <w:r>
        <w:rPr>
          <w:rFonts w:ascii="Times New Roman" w:hAnsi="Times New Roman" w:cs="Times New Roman"/>
          <w:b/>
          <w:sz w:val="32"/>
          <w:szCs w:val="32"/>
        </w:rPr>
        <w:t>时分复用光纤</w:t>
      </w:r>
      <w:r>
        <w:rPr>
          <w:rFonts w:ascii="Times New Roman" w:hAnsi="Times New Roman" w:cs="Times New Roman" w:hint="eastAsia"/>
          <w:b/>
          <w:sz w:val="32"/>
          <w:szCs w:val="32"/>
        </w:rPr>
        <w:t>检波器阵列的延时参数测量方法</w:t>
      </w:r>
    </w:p>
    <w:p w14:paraId="0D5B638D" w14:textId="77777777" w:rsidR="00192D35" w:rsidRDefault="005815D7">
      <w:pPr>
        <w:ind w:firstLineChars="350" w:firstLine="843"/>
        <w:jc w:val="center"/>
        <w:outlineLvl w:val="0"/>
        <w:rPr>
          <w:rFonts w:ascii="楷体_GB2312" w:eastAsia="楷体_GB2312" w:hAnsi="楷体_GB2312" w:cs="楷体_GB2312"/>
          <w:b/>
          <w:bCs/>
          <w:color w:val="000000" w:themeColor="text1"/>
          <w:sz w:val="24"/>
        </w:rPr>
      </w:pP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董小卫</w:t>
      </w:r>
      <w:r>
        <w:rPr>
          <w:rFonts w:ascii="Times New Roman" w:eastAsia="楷体_GB2312" w:hAnsi="Times New Roman" w:cs="Times New Roman"/>
          <w:b/>
          <w:bCs/>
          <w:color w:val="000000" w:themeColor="text1"/>
          <w:sz w:val="24"/>
          <w:vertAlign w:val="superscript"/>
        </w:rPr>
        <w:t>1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，田志华</w:t>
      </w:r>
      <w:r>
        <w:rPr>
          <w:rFonts w:ascii="Times New Roman" w:eastAsia="楷体_GB2312" w:hAnsi="Times New Roman" w:cs="Times New Roman" w:hint="eastAsia"/>
          <w:b/>
          <w:bCs/>
          <w:color w:val="000000" w:themeColor="text1"/>
          <w:sz w:val="24"/>
          <w:vertAlign w:val="superscript"/>
        </w:rPr>
        <w:t>1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，李佳琦</w:t>
      </w:r>
      <w:r>
        <w:rPr>
          <w:rFonts w:ascii="Times New Roman" w:eastAsia="楷体_GB2312" w:hAnsi="Times New Roman" w:cs="Times New Roman" w:hint="eastAsia"/>
          <w:b/>
          <w:bCs/>
          <w:color w:val="000000" w:themeColor="text1"/>
          <w:sz w:val="24"/>
          <w:vertAlign w:val="superscript"/>
        </w:rPr>
        <w:t>1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，刘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 xml:space="preserve"> 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飞</w:t>
      </w:r>
      <w:r>
        <w:rPr>
          <w:rFonts w:ascii="Times New Roman" w:eastAsia="楷体_GB2312" w:hAnsi="Times New Roman" w:cs="Times New Roman" w:hint="eastAsia"/>
          <w:b/>
          <w:bCs/>
          <w:color w:val="000000" w:themeColor="text1"/>
          <w:sz w:val="24"/>
          <w:vertAlign w:val="superscript"/>
        </w:rPr>
        <w:t>2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，马俊修</w:t>
      </w:r>
      <w:r>
        <w:rPr>
          <w:rFonts w:ascii="Times New Roman" w:eastAsia="楷体_GB2312" w:hAnsi="Times New Roman" w:cs="Times New Roman" w:hint="eastAsia"/>
          <w:b/>
          <w:bCs/>
          <w:color w:val="000000" w:themeColor="text1"/>
          <w:sz w:val="24"/>
          <w:vertAlign w:val="superscript"/>
        </w:rPr>
        <w:t>1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，李一强</w:t>
      </w:r>
      <w:r>
        <w:rPr>
          <w:rFonts w:ascii="Times New Roman" w:eastAsia="楷体_GB2312" w:hAnsi="Times New Roman" w:cs="Times New Roman" w:hint="eastAsia"/>
          <w:b/>
          <w:bCs/>
          <w:color w:val="000000" w:themeColor="text1"/>
          <w:sz w:val="24"/>
          <w:vertAlign w:val="superscript"/>
        </w:rPr>
        <w:t>1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，汪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 xml:space="preserve"> </w:t>
      </w:r>
      <w:r>
        <w:rPr>
          <w:rFonts w:ascii="楷体_GB2312" w:eastAsia="楷体_GB2312" w:hAnsi="楷体_GB2312" w:cs="楷体_GB2312" w:hint="eastAsia"/>
          <w:b/>
          <w:bCs/>
          <w:color w:val="000000" w:themeColor="text1"/>
          <w:sz w:val="24"/>
        </w:rPr>
        <w:t>志</w:t>
      </w:r>
      <w:r>
        <w:rPr>
          <w:rFonts w:ascii="Times New Roman" w:eastAsia="楷体_GB2312" w:hAnsi="Times New Roman" w:cs="Times New Roman" w:hint="eastAsia"/>
          <w:b/>
          <w:bCs/>
          <w:color w:val="000000" w:themeColor="text1"/>
          <w:sz w:val="24"/>
          <w:vertAlign w:val="superscript"/>
        </w:rPr>
        <w:t>1</w:t>
      </w:r>
    </w:p>
    <w:p w14:paraId="0606C615" w14:textId="77777777" w:rsidR="00192D35" w:rsidRDefault="005815D7">
      <w:pPr>
        <w:jc w:val="center"/>
        <w:rPr>
          <w:rFonts w:ascii="Times New Roman" w:eastAsia="宋体" w:hAnsi="Times New Roman" w:cs="Times New Roman"/>
          <w:sz w:val="15"/>
          <w:szCs w:val="15"/>
        </w:rPr>
      </w:pPr>
      <w:r>
        <w:rPr>
          <w:rFonts w:ascii="Times New Roman" w:eastAsia="宋体" w:hAnsi="Times New Roman" w:cs="Times New Roman" w:hint="eastAsia"/>
          <w:sz w:val="15"/>
          <w:szCs w:val="15"/>
        </w:rPr>
        <w:t>（</w:t>
      </w:r>
      <w:r>
        <w:rPr>
          <w:rFonts w:ascii="Times New Roman" w:eastAsia="宋体" w:hAnsi="Times New Roman" w:cs="Times New Roman" w:hint="eastAsia"/>
          <w:sz w:val="15"/>
          <w:szCs w:val="15"/>
        </w:rPr>
        <w:t>1.</w:t>
      </w:r>
      <w:r>
        <w:rPr>
          <w:rFonts w:ascii="Times New Roman" w:eastAsia="宋体" w:hAnsi="Times New Roman" w:cs="Times New Roman" w:hint="eastAsia"/>
          <w:sz w:val="15"/>
          <w:szCs w:val="15"/>
        </w:rPr>
        <w:t>中国石油新疆油田分公司</w:t>
      </w:r>
      <w:r>
        <w:rPr>
          <w:rFonts w:ascii="Times New Roman" w:eastAsia="宋体" w:hAnsi="Times New Roman" w:cs="Times New Roman" w:hint="eastAsia"/>
          <w:sz w:val="15"/>
          <w:szCs w:val="15"/>
        </w:rPr>
        <w:t xml:space="preserve"> </w:t>
      </w:r>
      <w:r>
        <w:rPr>
          <w:rFonts w:ascii="Times New Roman" w:eastAsia="宋体" w:hAnsi="Times New Roman" w:cs="Times New Roman" w:hint="eastAsia"/>
          <w:sz w:val="15"/>
          <w:szCs w:val="15"/>
        </w:rPr>
        <w:t>采油工艺研究院，新疆</w:t>
      </w:r>
      <w:r>
        <w:rPr>
          <w:rFonts w:ascii="Times New Roman" w:eastAsia="宋体" w:hAnsi="Times New Roman" w:cs="Times New Roman" w:hint="eastAsia"/>
          <w:sz w:val="15"/>
          <w:szCs w:val="15"/>
        </w:rPr>
        <w:t xml:space="preserve"> </w:t>
      </w:r>
      <w:r>
        <w:rPr>
          <w:rFonts w:ascii="Times New Roman" w:eastAsia="宋体" w:hAnsi="Times New Roman" w:cs="Times New Roman" w:hint="eastAsia"/>
          <w:sz w:val="15"/>
          <w:szCs w:val="15"/>
        </w:rPr>
        <w:t>克拉玛依</w:t>
      </w:r>
      <w:r>
        <w:rPr>
          <w:rFonts w:ascii="Times New Roman" w:eastAsia="宋体" w:hAnsi="Times New Roman" w:cs="Times New Roman" w:hint="eastAsia"/>
          <w:sz w:val="15"/>
          <w:szCs w:val="15"/>
        </w:rPr>
        <w:t xml:space="preserve"> 834000</w:t>
      </w:r>
      <w:r>
        <w:rPr>
          <w:rFonts w:ascii="Times New Roman" w:eastAsia="宋体" w:hAnsi="Times New Roman" w:cs="Times New Roman" w:hint="eastAsia"/>
          <w:sz w:val="15"/>
          <w:szCs w:val="15"/>
        </w:rPr>
        <w:t>；</w:t>
      </w:r>
    </w:p>
    <w:p w14:paraId="4CE9CD66" w14:textId="77777777" w:rsidR="00192D35" w:rsidRDefault="005815D7">
      <w:pPr>
        <w:jc w:val="center"/>
        <w:outlineLvl w:val="0"/>
        <w:rPr>
          <w:rFonts w:ascii="黑体" w:eastAsia="黑体" w:hAnsi="等线" w:cs="Times New Roman"/>
          <w:color w:val="0070C0"/>
          <w:sz w:val="15"/>
          <w:szCs w:val="15"/>
        </w:rPr>
      </w:pPr>
      <w:r>
        <w:rPr>
          <w:rFonts w:ascii="Times New Roman" w:eastAsia="宋体" w:hAnsi="Times New Roman" w:cs="Times New Roman" w:hint="eastAsia"/>
          <w:sz w:val="15"/>
          <w:szCs w:val="15"/>
        </w:rPr>
        <w:t>2.</w:t>
      </w:r>
      <w:r>
        <w:rPr>
          <w:rFonts w:ascii="Times New Roman" w:eastAsia="宋体" w:hAnsi="Times New Roman" w:cs="Times New Roman" w:hint="eastAsia"/>
          <w:sz w:val="15"/>
          <w:szCs w:val="15"/>
        </w:rPr>
        <w:t>北京科技大学</w:t>
      </w:r>
      <w:r>
        <w:rPr>
          <w:rFonts w:ascii="Times New Roman" w:eastAsia="宋体" w:hAnsi="Times New Roman" w:cs="Times New Roman" w:hint="eastAsia"/>
          <w:sz w:val="15"/>
          <w:szCs w:val="15"/>
        </w:rPr>
        <w:t xml:space="preserve"> </w:t>
      </w:r>
      <w:r>
        <w:rPr>
          <w:rFonts w:ascii="Times New Roman" w:eastAsia="宋体" w:hAnsi="Times New Roman" w:cs="Times New Roman" w:hint="eastAsia"/>
          <w:sz w:val="15"/>
          <w:szCs w:val="15"/>
        </w:rPr>
        <w:t>计算机与通信工程学院，北京</w:t>
      </w:r>
      <w:r>
        <w:rPr>
          <w:rFonts w:ascii="Times New Roman" w:eastAsia="宋体" w:hAnsi="Times New Roman" w:cs="Times New Roman" w:hint="eastAsia"/>
          <w:sz w:val="15"/>
          <w:szCs w:val="15"/>
        </w:rPr>
        <w:t xml:space="preserve"> 100083</w:t>
      </w:r>
      <w:r>
        <w:rPr>
          <w:rFonts w:ascii="Times New Roman" w:eastAsia="宋体" w:hAnsi="Times New Roman" w:cs="Times New Roman"/>
          <w:sz w:val="15"/>
          <w:szCs w:val="15"/>
        </w:rPr>
        <w:t>）</w:t>
      </w:r>
    </w:p>
    <w:p w14:paraId="40799D9E" w14:textId="77777777" w:rsidR="00192D35" w:rsidRDefault="005815D7">
      <w:pPr>
        <w:rPr>
          <w:rFonts w:ascii="楷体_GB2312" w:eastAsia="楷体_GB2312" w:hAnsi="Times New Roman"/>
          <w:kern w:val="0"/>
          <w:sz w:val="18"/>
          <w:szCs w:val="18"/>
        </w:rPr>
      </w:pPr>
      <w:r>
        <w:rPr>
          <w:rFonts w:asciiTheme="minorEastAsia" w:hAnsiTheme="minorEastAsia" w:cstheme="minorEastAsia" w:hint="eastAsia"/>
          <w:b/>
          <w:bCs/>
          <w:sz w:val="18"/>
          <w:szCs w:val="18"/>
        </w:rPr>
        <w:t>摘要：</w:t>
      </w:r>
      <w:r>
        <w:rPr>
          <w:rFonts w:ascii="楷体_GB2312" w:eastAsia="楷体_GB2312" w:hAnsi="Times New Roman"/>
          <w:kern w:val="0"/>
          <w:sz w:val="18"/>
          <w:szCs w:val="18"/>
        </w:rPr>
        <w:t xml:space="preserve"> </w:t>
      </w:r>
      <w:r>
        <w:rPr>
          <w:rFonts w:ascii="Segoe UI" w:hAnsi="Segoe UI" w:cs="Segoe UI"/>
          <w:color w:val="404040"/>
          <w:shd w:val="clear" w:color="auto" w:fill="FFFFFF"/>
        </w:rPr>
        <w:t>为提高时分复用光纤检波器阵列中延时参数的测量精度与效率，本文提出一种基于信号方差特征和脉冲模板匹配的自动测量方法。该方法通过构建数据矩阵提取方差向量，利用脉冲模板函数进行相关运算，识别干涉脉冲的位置，从而计算延时参数。实验采用</w:t>
      </w:r>
      <w:r>
        <w:rPr>
          <w:rFonts w:ascii="Segoe UI" w:hAnsi="Segoe UI" w:cs="Segoe UI"/>
          <w:color w:val="404040"/>
          <w:shd w:val="clear" w:color="auto" w:fill="FFFFFF"/>
        </w:rPr>
        <w:t>8</w:t>
      </w:r>
      <w:r>
        <w:rPr>
          <w:rFonts w:ascii="Segoe UI" w:hAnsi="Segoe UI" w:cs="Segoe UI"/>
          <w:color w:val="404040"/>
          <w:shd w:val="clear" w:color="auto" w:fill="FFFFFF"/>
        </w:rPr>
        <w:t>时分复用阵列，在不同信噪比条件下验证了方法的可靠性。</w:t>
      </w:r>
      <w:r>
        <w:rPr>
          <w:rFonts w:ascii="Segoe UI" w:hAnsi="Segoe UI" w:cs="Segoe UI" w:hint="eastAsia"/>
          <w:color w:val="404040"/>
          <w:shd w:val="clear" w:color="auto" w:fill="FFFFFF"/>
        </w:rPr>
        <w:t>实验</w:t>
      </w:r>
      <w:r>
        <w:rPr>
          <w:rFonts w:ascii="Segoe UI" w:hAnsi="Segoe UI" w:cs="Segoe UI"/>
          <w:color w:val="404040"/>
          <w:shd w:val="clear" w:color="auto" w:fill="FFFFFF"/>
        </w:rPr>
        <w:t>结果表明：当信噪比高于</w:t>
      </w:r>
      <w:r>
        <w:rPr>
          <w:rFonts w:ascii="Segoe UI" w:hAnsi="Segoe UI" w:cs="Segoe UI"/>
          <w:color w:val="404040"/>
          <w:shd w:val="clear" w:color="auto" w:fill="FFFFFF"/>
        </w:rPr>
        <w:t>12 dB</w:t>
      </w:r>
      <w:r>
        <w:rPr>
          <w:rFonts w:ascii="Segoe UI" w:hAnsi="Segoe UI" w:cs="Segoe UI"/>
          <w:color w:val="404040"/>
          <w:shd w:val="clear" w:color="auto" w:fill="FFFFFF"/>
        </w:rPr>
        <w:t>时，测量正确率达</w:t>
      </w:r>
      <w:r>
        <w:rPr>
          <w:rFonts w:ascii="Segoe UI" w:hAnsi="Segoe UI" w:cs="Segoe UI"/>
          <w:color w:val="404040"/>
          <w:shd w:val="clear" w:color="auto" w:fill="FFFFFF"/>
        </w:rPr>
        <w:t>100%</w:t>
      </w:r>
      <w:r>
        <w:rPr>
          <w:rFonts w:ascii="Segoe UI" w:hAnsi="Segoe UI" w:cs="Segoe UI"/>
          <w:color w:val="404040"/>
          <w:shd w:val="clear" w:color="auto" w:fill="FFFFFF"/>
        </w:rPr>
        <w:t>；信噪比降至</w:t>
      </w:r>
      <w:r>
        <w:rPr>
          <w:rFonts w:ascii="Segoe UI" w:hAnsi="Segoe UI" w:cs="Segoe UI"/>
          <w:color w:val="404040"/>
          <w:shd w:val="clear" w:color="auto" w:fill="FFFFFF"/>
        </w:rPr>
        <w:t>7 dB</w:t>
      </w:r>
      <w:r>
        <w:rPr>
          <w:rFonts w:ascii="Segoe UI" w:hAnsi="Segoe UI" w:cs="Segoe UI"/>
          <w:color w:val="404040"/>
          <w:shd w:val="clear" w:color="auto" w:fill="FFFFFF"/>
        </w:rPr>
        <w:t>时，成功率仍超过</w:t>
      </w:r>
      <w:r>
        <w:rPr>
          <w:rFonts w:ascii="Segoe UI" w:hAnsi="Segoe UI" w:cs="Segoe UI"/>
          <w:color w:val="404040"/>
          <w:shd w:val="clear" w:color="auto" w:fill="FFFFFF"/>
        </w:rPr>
        <w:t>98%</w:t>
      </w:r>
      <w:r>
        <w:rPr>
          <w:rFonts w:ascii="Segoe UI" w:hAnsi="Segoe UI" w:cs="Segoe UI"/>
          <w:color w:val="404040"/>
          <w:shd w:val="clear" w:color="auto" w:fill="FFFFFF"/>
        </w:rPr>
        <w:t>；即使在</w:t>
      </w:r>
      <w:r>
        <w:rPr>
          <w:rFonts w:ascii="Segoe UI" w:hAnsi="Segoe UI" w:cs="Segoe UI"/>
          <w:color w:val="404040"/>
          <w:shd w:val="clear" w:color="auto" w:fill="FFFFFF"/>
        </w:rPr>
        <w:t>-3 dB</w:t>
      </w:r>
      <w:r>
        <w:rPr>
          <w:rFonts w:ascii="Segoe UI" w:hAnsi="Segoe UI" w:cs="Segoe UI"/>
          <w:color w:val="404040"/>
          <w:shd w:val="clear" w:color="auto" w:fill="FFFFFF"/>
        </w:rPr>
        <w:t>的极低信噪比下，仍能保持</w:t>
      </w:r>
      <w:r>
        <w:rPr>
          <w:rFonts w:ascii="Segoe UI" w:hAnsi="Segoe UI" w:cs="Segoe UI"/>
          <w:color w:val="404040"/>
          <w:shd w:val="clear" w:color="auto" w:fill="FFFFFF"/>
        </w:rPr>
        <w:t>65%</w:t>
      </w:r>
      <w:r>
        <w:rPr>
          <w:rFonts w:ascii="Segoe UI" w:hAnsi="Segoe UI" w:cs="Segoe UI"/>
          <w:color w:val="404040"/>
          <w:shd w:val="clear" w:color="auto" w:fill="FFFFFF"/>
        </w:rPr>
        <w:t>以上的正确率。</w:t>
      </w:r>
    </w:p>
    <w:p w14:paraId="1FF263BD" w14:textId="77777777" w:rsidR="00192D35" w:rsidRDefault="005815D7">
      <w:pPr>
        <w:rPr>
          <w:rFonts w:ascii="Times New Roman" w:eastAsia="楷体_GB2312" w:hAnsi="Times New Roman" w:cs="Times New Roman"/>
          <w:sz w:val="18"/>
          <w:szCs w:val="18"/>
        </w:rPr>
      </w:pPr>
      <w:r>
        <w:rPr>
          <w:rFonts w:ascii="Times New Roman" w:eastAsia="宋体" w:hAnsi="Times New Roman" w:cs="Times New Roman"/>
          <w:b/>
          <w:sz w:val="18"/>
          <w:szCs w:val="18"/>
        </w:rPr>
        <w:t>关键词：</w:t>
      </w:r>
      <w:r>
        <w:rPr>
          <w:rFonts w:ascii="楷体_GB2312" w:eastAsia="楷体_GB2312" w:hAnsi="Times New Roman" w:cs="Times New Roman" w:hint="eastAsia"/>
          <w:sz w:val="18"/>
          <w:szCs w:val="18"/>
        </w:rPr>
        <w:t>时分复用；光纤检波器；延时参数；方差向量；脉冲模板函数</w:t>
      </w:r>
    </w:p>
    <w:p w14:paraId="30E91138" w14:textId="77777777" w:rsidR="00192D35" w:rsidRDefault="005815D7">
      <w:pPr>
        <w:rPr>
          <w:rFonts w:ascii="Times New Roman" w:eastAsia="宋体" w:hAnsi="Times New Roman" w:cs="Times New Roman"/>
          <w:sz w:val="18"/>
          <w:szCs w:val="18"/>
        </w:rPr>
      </w:pPr>
      <w:r>
        <w:rPr>
          <w:rFonts w:ascii="等线" w:eastAsia="等线" w:hAnsi="等线" w:cs="Times New Roman" w:hint="eastAsia"/>
          <w:b/>
          <w:color w:val="000000"/>
          <w:sz w:val="18"/>
          <w:szCs w:val="18"/>
        </w:rPr>
        <w:t>中图分类号：</w:t>
      </w:r>
      <w:r>
        <w:rPr>
          <w:rFonts w:ascii="等线" w:eastAsia="等线" w:hAnsi="等线" w:cs="Times New Roman"/>
          <w:color w:val="000000"/>
          <w:sz w:val="18"/>
          <w:szCs w:val="18"/>
        </w:rPr>
        <w:t>T</w:t>
      </w:r>
      <w:r>
        <w:rPr>
          <w:rFonts w:ascii="等线" w:eastAsia="等线" w:hAnsi="等线" w:cs="Times New Roman" w:hint="eastAsia"/>
          <w:color w:val="000000"/>
          <w:sz w:val="18"/>
          <w:szCs w:val="18"/>
        </w:rPr>
        <w:t>N</w:t>
      </w:r>
      <w:r>
        <w:rPr>
          <w:rFonts w:ascii="等线" w:eastAsia="等线" w:hAnsi="等线" w:cs="Times New Roman"/>
          <w:color w:val="000000"/>
          <w:sz w:val="18"/>
          <w:szCs w:val="18"/>
        </w:rPr>
        <w:t>2</w:t>
      </w:r>
      <w:r>
        <w:rPr>
          <w:rFonts w:ascii="等线" w:eastAsia="等线" w:hAnsi="等线" w:cs="Times New Roman" w:hint="eastAsia"/>
          <w:color w:val="000000"/>
          <w:sz w:val="18"/>
          <w:szCs w:val="18"/>
        </w:rPr>
        <w:t>47</w:t>
      </w:r>
      <w:r>
        <w:rPr>
          <w:rFonts w:ascii="等线" w:eastAsia="等线" w:hAnsi="等线" w:cs="Times New Roman"/>
          <w:color w:val="000000"/>
          <w:sz w:val="18"/>
          <w:szCs w:val="18"/>
        </w:rPr>
        <w:t xml:space="preserve"> </w:t>
      </w:r>
      <w:r>
        <w:rPr>
          <w:rFonts w:ascii="等线" w:eastAsia="等线" w:hAnsi="等线" w:cs="Times New Roman" w:hint="eastAsia"/>
          <w:color w:val="000000"/>
          <w:sz w:val="18"/>
          <w:szCs w:val="18"/>
        </w:rPr>
        <w:t xml:space="preserve">   </w:t>
      </w:r>
      <w:r>
        <w:rPr>
          <w:rFonts w:ascii="等线" w:eastAsia="等线" w:hAnsi="等线" w:cs="Times New Roman" w:hint="eastAsia"/>
          <w:color w:val="000000"/>
          <w:sz w:val="18"/>
          <w:szCs w:val="18"/>
        </w:rPr>
        <w:t>文献标识码</w:t>
      </w:r>
      <w:r>
        <w:rPr>
          <w:rFonts w:ascii="等线" w:eastAsia="等线" w:hAnsi="等线" w:cs="Times New Roman"/>
          <w:color w:val="000000"/>
          <w:sz w:val="18"/>
          <w:szCs w:val="18"/>
        </w:rPr>
        <w:t xml:space="preserve">: A    </w:t>
      </w:r>
      <w:r>
        <w:rPr>
          <w:color w:val="000000"/>
          <w:sz w:val="18"/>
          <w:szCs w:val="18"/>
        </w:rPr>
        <w:t xml:space="preserve">   </w:t>
      </w:r>
      <w:r>
        <w:rPr>
          <w:b/>
          <w:bCs/>
          <w:sz w:val="18"/>
          <w:szCs w:val="18"/>
        </w:rPr>
        <w:t>开放科学（资源服务）标识码（</w:t>
      </w:r>
      <w:r>
        <w:rPr>
          <w:b/>
          <w:bCs/>
          <w:sz w:val="18"/>
          <w:szCs w:val="18"/>
        </w:rPr>
        <w:t>OSID</w:t>
      </w:r>
      <w:r>
        <w:rPr>
          <w:b/>
          <w:bCs/>
          <w:sz w:val="18"/>
          <w:szCs w:val="18"/>
        </w:rPr>
        <w:t>）：</w:t>
      </w:r>
      <w:r>
        <w:rPr>
          <w:rFonts w:ascii="等线" w:eastAsia="等线" w:hAnsi="等线" w:cs="Times New Roman"/>
          <w:color w:val="000000"/>
          <w:sz w:val="18"/>
          <w:szCs w:val="18"/>
        </w:rPr>
        <w:t xml:space="preserve">    </w:t>
      </w:r>
    </w:p>
    <w:p w14:paraId="784656B9" w14:textId="77777777" w:rsidR="00192D35" w:rsidRDefault="005815D7">
      <w:pPr>
        <w:adjustRightInd w:val="0"/>
        <w:snapToGrid w:val="0"/>
        <w:ind w:leftChars="250" w:left="525" w:rightChars="250" w:right="525"/>
        <w:jc w:val="center"/>
        <w:rPr>
          <w:rFonts w:ascii="Times New Roman" w:eastAsia="宋体" w:hAnsi="Times New Roman" w:cs="Times New Roman"/>
          <w:b/>
          <w:sz w:val="32"/>
          <w:szCs w:val="32"/>
          <w:highlight w:val="yellow"/>
        </w:rPr>
      </w:pPr>
      <w:bookmarkStart w:id="0" w:name="OLE_LINK5"/>
      <w:r>
        <w:rPr>
          <w:rFonts w:ascii="Times New Roman" w:eastAsia="宋体" w:hAnsi="Times New Roman" w:cs="Times New Roman" w:hint="eastAsia"/>
          <w:b/>
          <w:sz w:val="32"/>
          <w:szCs w:val="32"/>
          <w:highlight w:val="yellow"/>
        </w:rPr>
        <w:t>Delay parameter measurement method based on time-division multiplexing fiber</w:t>
      </w:r>
      <w:r>
        <w:rPr>
          <w:rFonts w:ascii="Times New Roman" w:eastAsia="宋体" w:hAnsi="Times New Roman" w:cs="Times New Roman" w:hint="eastAsia"/>
          <w:b/>
          <w:sz w:val="32"/>
          <w:szCs w:val="32"/>
          <w:highlight w:val="yellow"/>
        </w:rPr>
        <w:t>-optic</w:t>
      </w:r>
      <w:r>
        <w:rPr>
          <w:rFonts w:ascii="Times New Roman" w:eastAsia="宋体" w:hAnsi="Times New Roman" w:cs="Times New Roman" w:hint="eastAsia"/>
          <w:b/>
          <w:sz w:val="32"/>
          <w:szCs w:val="32"/>
          <w:highlight w:val="yellow"/>
        </w:rPr>
        <w:t xml:space="preserve"> detector array</w:t>
      </w:r>
    </w:p>
    <w:p w14:paraId="3D79FF0D" w14:textId="77777777" w:rsidR="00192D35" w:rsidRDefault="005815D7">
      <w:pPr>
        <w:adjustRightInd w:val="0"/>
        <w:snapToGrid w:val="0"/>
        <w:ind w:leftChars="250" w:left="525" w:rightChars="250" w:right="525"/>
        <w:jc w:val="center"/>
        <w:rPr>
          <w:rFonts w:ascii="Times New Roman" w:eastAsia="宋体" w:hAnsi="Times New Roman" w:cs="Times New Roman"/>
          <w:b/>
          <w:szCs w:val="21"/>
        </w:rPr>
      </w:pPr>
      <w:r>
        <w:rPr>
          <w:rFonts w:ascii="Times New Roman" w:eastAsia="宋体" w:hAnsi="Times New Roman" w:cs="Times New Roman" w:hint="eastAsia"/>
          <w:b/>
          <w:szCs w:val="21"/>
        </w:rPr>
        <w:t>DONG</w:t>
      </w:r>
      <w:r>
        <w:rPr>
          <w:rFonts w:ascii="Times New Roman" w:eastAsia="宋体" w:hAnsi="Times New Roman" w:cs="Times New Roman"/>
          <w:b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szCs w:val="21"/>
        </w:rPr>
        <w:t>Xiaowei</w:t>
      </w:r>
      <w:r>
        <w:rPr>
          <w:rFonts w:ascii="Times New Roman" w:eastAsia="宋体" w:hAnsi="Times New Roman" w:cs="Times New Roman" w:hint="eastAsia"/>
          <w:b/>
          <w:szCs w:val="21"/>
          <w:vertAlign w:val="superscript"/>
        </w:rPr>
        <w:t>1</w:t>
      </w:r>
      <w:r>
        <w:rPr>
          <w:rFonts w:ascii="Times New Roman" w:eastAsia="宋体" w:hAnsi="Times New Roman" w:cs="Times New Roman"/>
          <w:b/>
          <w:szCs w:val="21"/>
        </w:rPr>
        <w:t xml:space="preserve">, </w:t>
      </w:r>
      <w:r>
        <w:rPr>
          <w:rFonts w:ascii="Times New Roman" w:eastAsia="宋体" w:hAnsi="Times New Roman" w:cs="Times New Roman" w:hint="eastAsia"/>
          <w:b/>
          <w:szCs w:val="21"/>
        </w:rPr>
        <w:t>TIAN</w:t>
      </w:r>
      <w:r>
        <w:rPr>
          <w:rFonts w:ascii="Times New Roman" w:eastAsia="宋体" w:hAnsi="Times New Roman" w:cs="Times New Roman"/>
          <w:b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szCs w:val="21"/>
        </w:rPr>
        <w:t>Zhihua</w:t>
      </w:r>
      <w:r>
        <w:rPr>
          <w:rFonts w:ascii="Times New Roman" w:eastAsia="宋体" w:hAnsi="Times New Roman" w:cs="Times New Roman" w:hint="eastAsia"/>
          <w:b/>
          <w:szCs w:val="21"/>
          <w:vertAlign w:val="superscript"/>
        </w:rPr>
        <w:t>1</w:t>
      </w:r>
      <w:r>
        <w:rPr>
          <w:rFonts w:ascii="Times New Roman" w:eastAsia="宋体" w:hAnsi="Times New Roman" w:cs="Times New Roman"/>
          <w:b/>
          <w:szCs w:val="21"/>
        </w:rPr>
        <w:t xml:space="preserve">, </w:t>
      </w:r>
      <w:r>
        <w:rPr>
          <w:rFonts w:ascii="Times New Roman" w:eastAsia="宋体" w:hAnsi="Times New Roman" w:cs="Times New Roman" w:hint="eastAsia"/>
          <w:b/>
          <w:szCs w:val="21"/>
        </w:rPr>
        <w:t>LI</w:t>
      </w:r>
      <w:r>
        <w:rPr>
          <w:rFonts w:ascii="Times New Roman" w:eastAsia="宋体" w:hAnsi="Times New Roman" w:cs="Times New Roman"/>
          <w:b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szCs w:val="21"/>
        </w:rPr>
        <w:t>Jiaqi</w:t>
      </w:r>
      <w:r>
        <w:rPr>
          <w:rFonts w:ascii="Times New Roman" w:eastAsia="宋体" w:hAnsi="Times New Roman" w:cs="Times New Roman" w:hint="eastAsia"/>
          <w:b/>
          <w:szCs w:val="21"/>
          <w:vertAlign w:val="superscript"/>
        </w:rPr>
        <w:t>1</w:t>
      </w:r>
      <w:r>
        <w:rPr>
          <w:rFonts w:ascii="Times New Roman" w:eastAsia="宋体" w:hAnsi="Times New Roman" w:cs="Times New Roman"/>
          <w:b/>
          <w:szCs w:val="21"/>
        </w:rPr>
        <w:t xml:space="preserve">, </w:t>
      </w:r>
      <w:r>
        <w:rPr>
          <w:rFonts w:ascii="Times New Roman" w:eastAsia="宋体" w:hAnsi="Times New Roman" w:cs="Times New Roman" w:hint="eastAsia"/>
          <w:b/>
          <w:szCs w:val="21"/>
        </w:rPr>
        <w:t>LIU</w:t>
      </w:r>
      <w:r>
        <w:rPr>
          <w:rFonts w:ascii="Times New Roman" w:eastAsia="宋体" w:hAnsi="Times New Roman" w:cs="Times New Roman"/>
          <w:b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szCs w:val="21"/>
        </w:rPr>
        <w:t>Fei</w:t>
      </w:r>
      <w:r>
        <w:rPr>
          <w:rFonts w:ascii="Times New Roman" w:eastAsia="宋体" w:hAnsi="Times New Roman" w:cs="Times New Roman" w:hint="eastAsia"/>
          <w:b/>
          <w:szCs w:val="21"/>
          <w:vertAlign w:val="superscript"/>
        </w:rPr>
        <w:t>2</w:t>
      </w:r>
      <w:r>
        <w:rPr>
          <w:rFonts w:ascii="Times New Roman" w:eastAsia="宋体" w:hAnsi="Times New Roman" w:cs="Times New Roman"/>
          <w:b/>
          <w:szCs w:val="21"/>
        </w:rPr>
        <w:t xml:space="preserve">, </w:t>
      </w:r>
      <w:r>
        <w:rPr>
          <w:rFonts w:ascii="Times New Roman" w:eastAsia="宋体" w:hAnsi="Times New Roman" w:cs="Times New Roman" w:hint="eastAsia"/>
          <w:b/>
          <w:szCs w:val="21"/>
        </w:rPr>
        <w:t>MA Junxiu</w:t>
      </w:r>
      <w:r>
        <w:rPr>
          <w:rFonts w:ascii="Times New Roman" w:eastAsia="宋体" w:hAnsi="Times New Roman" w:cs="Times New Roman" w:hint="eastAsia"/>
          <w:b/>
          <w:szCs w:val="21"/>
          <w:vertAlign w:val="superscript"/>
        </w:rPr>
        <w:t>1</w:t>
      </w:r>
      <w:r>
        <w:rPr>
          <w:rFonts w:ascii="Times New Roman" w:eastAsia="宋体" w:hAnsi="Times New Roman" w:cs="Times New Roman" w:hint="eastAsia"/>
          <w:b/>
          <w:szCs w:val="21"/>
        </w:rPr>
        <w:t xml:space="preserve">, </w:t>
      </w:r>
    </w:p>
    <w:p w14:paraId="0C3A7BB4" w14:textId="77777777" w:rsidR="00192D35" w:rsidRDefault="005815D7">
      <w:pPr>
        <w:adjustRightInd w:val="0"/>
        <w:snapToGrid w:val="0"/>
        <w:ind w:leftChars="250" w:left="525" w:rightChars="250" w:right="525"/>
        <w:jc w:val="center"/>
        <w:rPr>
          <w:rFonts w:ascii="Times New Roman" w:eastAsia="宋体" w:hAnsi="Times New Roman" w:cs="Times New Roman"/>
          <w:b/>
          <w:szCs w:val="21"/>
        </w:rPr>
      </w:pPr>
      <w:r>
        <w:rPr>
          <w:rFonts w:ascii="Times New Roman" w:eastAsia="宋体" w:hAnsi="Times New Roman" w:cs="Times New Roman" w:hint="eastAsia"/>
          <w:b/>
          <w:szCs w:val="21"/>
        </w:rPr>
        <w:t>LI</w:t>
      </w:r>
      <w:r>
        <w:rPr>
          <w:rFonts w:ascii="Times New Roman" w:eastAsia="宋体" w:hAnsi="Times New Roman" w:cs="Times New Roman"/>
          <w:b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szCs w:val="21"/>
        </w:rPr>
        <w:t>Yiqiang</w:t>
      </w:r>
      <w:r>
        <w:rPr>
          <w:rFonts w:ascii="Times New Roman" w:eastAsia="宋体" w:hAnsi="Times New Roman" w:cs="Times New Roman" w:hint="eastAsia"/>
          <w:b/>
          <w:szCs w:val="21"/>
          <w:vertAlign w:val="superscript"/>
        </w:rPr>
        <w:t>1</w:t>
      </w:r>
      <w:r>
        <w:rPr>
          <w:rFonts w:ascii="Times New Roman" w:eastAsia="宋体" w:hAnsi="Times New Roman" w:cs="Times New Roman"/>
          <w:b/>
          <w:szCs w:val="21"/>
        </w:rPr>
        <w:t xml:space="preserve">, </w:t>
      </w:r>
      <w:r>
        <w:rPr>
          <w:rFonts w:ascii="Times New Roman" w:eastAsia="宋体" w:hAnsi="Times New Roman" w:cs="Times New Roman" w:hint="eastAsia"/>
          <w:b/>
          <w:szCs w:val="21"/>
        </w:rPr>
        <w:t>WANG</w:t>
      </w:r>
      <w:r>
        <w:rPr>
          <w:rFonts w:ascii="Times New Roman" w:eastAsia="宋体" w:hAnsi="Times New Roman" w:cs="Times New Roman"/>
          <w:b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szCs w:val="21"/>
        </w:rPr>
        <w:t>Zhi</w:t>
      </w:r>
      <w:r>
        <w:rPr>
          <w:rFonts w:ascii="Times New Roman" w:eastAsia="宋体" w:hAnsi="Times New Roman" w:cs="Times New Roman" w:hint="eastAsia"/>
          <w:b/>
          <w:szCs w:val="21"/>
          <w:vertAlign w:val="superscript"/>
        </w:rPr>
        <w:t>1</w:t>
      </w:r>
    </w:p>
    <w:p w14:paraId="3AA86409" w14:textId="77777777" w:rsidR="00192D35" w:rsidRDefault="005815D7">
      <w:pPr>
        <w:numPr>
          <w:ilvl w:val="0"/>
          <w:numId w:val="1"/>
        </w:numPr>
        <w:adjustRightInd w:val="0"/>
        <w:snapToGrid w:val="0"/>
        <w:ind w:rightChars="50" w:right="105"/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>
        <w:rPr>
          <w:rFonts w:ascii="Times New Roman" w:eastAsia="宋体" w:hAnsi="Times New Roman" w:cs="Times New Roman" w:hint="eastAsia"/>
          <w:b/>
          <w:sz w:val="15"/>
          <w:szCs w:val="15"/>
        </w:rPr>
        <w:t>Oil Production Technology Research Institute</w:t>
      </w:r>
      <w:r>
        <w:rPr>
          <w:rFonts w:ascii="Times New Roman" w:eastAsia="宋体" w:hAnsi="Times New Roman" w:cs="Times New Roman"/>
          <w:b/>
          <w:sz w:val="15"/>
          <w:szCs w:val="15"/>
        </w:rPr>
        <w:t xml:space="preserve">,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PetroChina Xinjiang Oilfield Company</w:t>
      </w:r>
      <w:r>
        <w:rPr>
          <w:rFonts w:ascii="Times New Roman" w:eastAsia="宋体" w:hAnsi="Times New Roman" w:cs="Times New Roman"/>
          <w:b/>
          <w:sz w:val="15"/>
          <w:szCs w:val="15"/>
        </w:rPr>
        <w:t xml:space="preserve">,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Karamay Xinjiang 834000, China;</w:t>
      </w:r>
    </w:p>
    <w:p w14:paraId="69127739" w14:textId="77777777" w:rsidR="00192D35" w:rsidRDefault="005815D7">
      <w:pPr>
        <w:numPr>
          <w:ilvl w:val="0"/>
          <w:numId w:val="2"/>
        </w:numPr>
        <w:adjustRightInd w:val="0"/>
        <w:snapToGrid w:val="0"/>
        <w:ind w:rightChars="50" w:right="105"/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>
        <w:rPr>
          <w:rFonts w:ascii="Times New Roman" w:eastAsia="宋体" w:hAnsi="Times New Roman" w:cs="Times New Roman" w:hint="eastAsia"/>
          <w:b/>
          <w:sz w:val="15"/>
          <w:szCs w:val="15"/>
        </w:rPr>
        <w:t>School of Computer and Communication Engineering, University of Science and Technology Beijing</w:t>
      </w:r>
      <w:r>
        <w:rPr>
          <w:rFonts w:ascii="Times New Roman" w:eastAsia="宋体" w:hAnsi="Times New Roman" w:cs="Times New Roman"/>
          <w:b/>
          <w:sz w:val="15"/>
          <w:szCs w:val="15"/>
        </w:rPr>
        <w:t xml:space="preserve">,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Beijing 100083, China</w:t>
      </w:r>
      <w:r>
        <w:rPr>
          <w:rFonts w:ascii="Times New Roman" w:eastAsia="宋体" w:hAnsi="Times New Roman" w:cs="Times New Roman"/>
          <w:b/>
          <w:sz w:val="15"/>
          <w:szCs w:val="15"/>
        </w:rPr>
        <w:t>）</w:t>
      </w:r>
    </w:p>
    <w:p w14:paraId="0474AA44" w14:textId="77777777" w:rsidR="00192D35" w:rsidRDefault="00192D35">
      <w:pPr>
        <w:adjustRightInd w:val="0"/>
        <w:snapToGrid w:val="0"/>
        <w:ind w:rightChars="50" w:right="105"/>
        <w:jc w:val="center"/>
        <w:rPr>
          <w:rFonts w:ascii="Times New Roman" w:eastAsia="宋体" w:hAnsi="Times New Roman" w:cs="Times New Roman"/>
          <w:b/>
          <w:sz w:val="15"/>
          <w:szCs w:val="15"/>
        </w:rPr>
      </w:pPr>
    </w:p>
    <w:p w14:paraId="0AB49D0B" w14:textId="77777777" w:rsidR="00192D35" w:rsidRDefault="005815D7">
      <w:pPr>
        <w:rPr>
          <w:rFonts w:ascii="Times New Roman" w:eastAsia="宋体" w:hAnsi="Times New Roman" w:cs="Times New Roman"/>
          <w:sz w:val="18"/>
          <w:szCs w:val="18"/>
          <w:highlight w:val="yellow"/>
        </w:rPr>
      </w:pPr>
      <w:bookmarkStart w:id="1" w:name="OLE_LINK1"/>
      <w:bookmarkEnd w:id="0"/>
      <w:r>
        <w:rPr>
          <w:rFonts w:ascii="Times New Roman" w:eastAsia="宋体" w:hAnsi="Times New Roman" w:cs="Times New Roman"/>
          <w:b/>
          <w:sz w:val="18"/>
          <w:szCs w:val="18"/>
          <w:highlight w:val="yellow"/>
        </w:rPr>
        <w:t>Abstract:</w:t>
      </w:r>
      <w:bookmarkEnd w:id="1"/>
      <w:r>
        <w:rPr>
          <w:rFonts w:ascii="Times New Roman" w:eastAsia="宋体" w:hAnsi="Times New Roman" w:cs="Times New Roman"/>
          <w:b/>
          <w:sz w:val="18"/>
          <w:szCs w:val="18"/>
          <w:highlight w:val="yellow"/>
        </w:rPr>
        <w:t xml:space="preserve"> </w:t>
      </w:r>
      <w:r>
        <w:rPr>
          <w:rFonts w:ascii="Times New Roman" w:eastAsia="宋体" w:hAnsi="Times New Roman" w:cs="Times New Roman" w:hint="eastAsia"/>
          <w:sz w:val="18"/>
          <w:szCs w:val="18"/>
          <w:highlight w:val="yellow"/>
        </w:rPr>
        <w:t>In order to improve the measurement accuracy and efficiency of delay parameter in time-division multiplexing fiber</w:t>
      </w:r>
      <w:r>
        <w:rPr>
          <w:rFonts w:ascii="Times New Roman" w:eastAsia="宋体" w:hAnsi="Times New Roman" w:cs="Times New Roman" w:hint="eastAsia"/>
          <w:sz w:val="18"/>
          <w:szCs w:val="18"/>
          <w:highlight w:val="yellow"/>
        </w:rPr>
        <w:t>-</w:t>
      </w:r>
      <w:r>
        <w:rPr>
          <w:rFonts w:ascii="Times New Roman" w:eastAsia="宋体" w:hAnsi="Times New Roman" w:cs="Times New Roman" w:hint="eastAsia"/>
          <w:sz w:val="18"/>
          <w:szCs w:val="18"/>
          <w:highlight w:val="yellow"/>
        </w:rPr>
        <w:t>optic detector array, an automatic measurement method based on signal variance characteristics and pulse template matching is propo</w:t>
      </w:r>
      <w:r>
        <w:rPr>
          <w:rFonts w:ascii="Times New Roman" w:eastAsia="宋体" w:hAnsi="Times New Roman" w:cs="Times New Roman" w:hint="eastAsia"/>
          <w:sz w:val="18"/>
          <w:szCs w:val="18"/>
          <w:highlight w:val="yellow"/>
        </w:rPr>
        <w:t xml:space="preserve">sed. This method extracts variance vector by constructing a data matrix, performs correlation operations using pulse template function, identifies the position of interference pulses, and calculates delay parameters. The experiment used an 8-time division </w:t>
      </w:r>
      <w:r>
        <w:rPr>
          <w:rFonts w:ascii="Times New Roman" w:eastAsia="宋体" w:hAnsi="Times New Roman" w:cs="Times New Roman" w:hint="eastAsia"/>
          <w:sz w:val="18"/>
          <w:szCs w:val="18"/>
          <w:highlight w:val="yellow"/>
        </w:rPr>
        <w:t>multiplexing array to verify the reliability of the method under different signal-to-noise ratio conditions.</w:t>
      </w:r>
      <w:r>
        <w:rPr>
          <w:rFonts w:ascii="Times New Roman" w:eastAsia="宋体" w:hAnsi="Times New Roman" w:cs="Times New Roman" w:hint="eastAsia"/>
          <w:sz w:val="18"/>
          <w:szCs w:val="18"/>
          <w:highlight w:val="yellow"/>
        </w:rPr>
        <w:t xml:space="preserve"> The experimental results show that the measurement accuracy reaches 100% when the signal-to-noise ratio is higher than 12 dB. When the signal-to-no</w:t>
      </w:r>
      <w:r>
        <w:rPr>
          <w:rFonts w:ascii="Times New Roman" w:eastAsia="宋体" w:hAnsi="Times New Roman" w:cs="Times New Roman" w:hint="eastAsia"/>
          <w:sz w:val="18"/>
          <w:szCs w:val="18"/>
          <w:highlight w:val="yellow"/>
        </w:rPr>
        <w:t>ise ratio drops to 7 dB, the success rate still exceeds 98%. Even under the extremely low signal-to-noise ratio of -3 dB, the accuracy can still be maintained above 65%.</w:t>
      </w:r>
    </w:p>
    <w:p w14:paraId="4DF95429" w14:textId="77777777" w:rsidR="00192D35" w:rsidRDefault="005815D7">
      <w:pPr>
        <w:rPr>
          <w:rFonts w:ascii="Times New Roman" w:eastAsia="宋体" w:hAnsi="Times New Roman" w:cs="Times New Roman"/>
          <w:sz w:val="18"/>
          <w:szCs w:val="18"/>
        </w:rPr>
      </w:pPr>
      <w:r>
        <w:rPr>
          <w:rFonts w:ascii="Times New Roman" w:eastAsia="宋体" w:hAnsi="Times New Roman" w:cs="Times New Roman"/>
          <w:b/>
          <w:sz w:val="18"/>
          <w:szCs w:val="18"/>
        </w:rPr>
        <w:t xml:space="preserve">Key words: </w:t>
      </w:r>
      <w:r>
        <w:rPr>
          <w:rFonts w:ascii="Times New Roman" w:eastAsia="宋体" w:hAnsi="Times New Roman" w:cs="Times New Roman" w:hint="eastAsia"/>
          <w:sz w:val="18"/>
          <w:szCs w:val="18"/>
        </w:rPr>
        <w:t>Time-division multiplexing</w:t>
      </w:r>
      <w:r>
        <w:rPr>
          <w:rFonts w:ascii="Times New Roman" w:eastAsia="宋体" w:hAnsi="Times New Roman" w:cs="Times New Roman"/>
          <w:sz w:val="18"/>
          <w:szCs w:val="18"/>
        </w:rPr>
        <w:t xml:space="preserve">; </w:t>
      </w:r>
      <w:r>
        <w:rPr>
          <w:rFonts w:ascii="Times New Roman" w:eastAsia="宋体" w:hAnsi="Times New Roman" w:cs="Times New Roman" w:hint="eastAsia"/>
          <w:sz w:val="18"/>
          <w:szCs w:val="18"/>
        </w:rPr>
        <w:t>Fiber-opti</w:t>
      </w:r>
      <w:r>
        <w:rPr>
          <w:rFonts w:ascii="Times New Roman" w:eastAsia="宋体" w:hAnsi="Times New Roman" w:cs="Times New Roman" w:hint="eastAsia"/>
          <w:sz w:val="18"/>
          <w:szCs w:val="18"/>
        </w:rPr>
        <w:t>c</w:t>
      </w:r>
      <w:r>
        <w:rPr>
          <w:rFonts w:ascii="Times New Roman" w:eastAsia="宋体" w:hAnsi="Times New Roman" w:cs="Times New Roman" w:hint="eastAsia"/>
          <w:sz w:val="18"/>
          <w:szCs w:val="18"/>
        </w:rPr>
        <w:t xml:space="preserve"> detector</w:t>
      </w:r>
      <w:r>
        <w:rPr>
          <w:rFonts w:ascii="Times New Roman" w:eastAsia="宋体" w:hAnsi="Times New Roman" w:cs="Times New Roman"/>
          <w:sz w:val="18"/>
          <w:szCs w:val="18"/>
        </w:rPr>
        <w:t xml:space="preserve">; </w:t>
      </w:r>
      <w:r>
        <w:rPr>
          <w:rFonts w:ascii="Times New Roman" w:eastAsia="宋体" w:hAnsi="Times New Roman" w:cs="Times New Roman" w:hint="eastAsia"/>
          <w:sz w:val="18"/>
          <w:szCs w:val="18"/>
        </w:rPr>
        <w:t>Delay parameter; Variance</w:t>
      </w:r>
      <w:r>
        <w:rPr>
          <w:rFonts w:ascii="Times New Roman" w:eastAsia="宋体" w:hAnsi="Times New Roman" w:cs="Times New Roman" w:hint="eastAsia"/>
          <w:sz w:val="18"/>
          <w:szCs w:val="18"/>
        </w:rPr>
        <w:t xml:space="preserve"> vector</w:t>
      </w:r>
      <w:r>
        <w:rPr>
          <w:rFonts w:ascii="Times New Roman" w:eastAsia="宋体" w:hAnsi="Times New Roman" w:cs="Times New Roman" w:hint="eastAsia"/>
          <w:sz w:val="18"/>
          <w:szCs w:val="18"/>
        </w:rPr>
        <w:t>；</w:t>
      </w:r>
      <w:r>
        <w:rPr>
          <w:rFonts w:ascii="Times New Roman" w:eastAsia="宋体" w:hAnsi="Times New Roman" w:cs="Times New Roman" w:hint="eastAsia"/>
          <w:sz w:val="18"/>
          <w:szCs w:val="18"/>
        </w:rPr>
        <w:t>Pulse template function</w:t>
      </w:r>
    </w:p>
    <w:p w14:paraId="711E8654" w14:textId="77777777" w:rsidR="00192D35" w:rsidRDefault="00192D35">
      <w:pPr>
        <w:rPr>
          <w:rFonts w:ascii="Times New Roman" w:eastAsia="宋体" w:hAnsi="Times New Roman" w:cs="Times New Roman"/>
          <w:sz w:val="18"/>
          <w:szCs w:val="18"/>
        </w:rPr>
      </w:pPr>
    </w:p>
    <w:p w14:paraId="3B1431C3" w14:textId="77777777" w:rsidR="00192D35" w:rsidRDefault="005815D7">
      <w:pPr>
        <w:outlineLvl w:val="0"/>
        <w:rPr>
          <w:rFonts w:ascii="Times New Roman" w:eastAsia="宋体" w:hAnsi="Times New Roman" w:cs="Times New Roman"/>
          <w:b/>
          <w:sz w:val="24"/>
        </w:rPr>
      </w:pPr>
      <w:r>
        <w:rPr>
          <w:rFonts w:ascii="Times New Roman" w:eastAsia="宋体" w:hAnsi="Times New Roman" w:cs="Times New Roman"/>
          <w:b/>
          <w:sz w:val="24"/>
        </w:rPr>
        <w:t>0</w:t>
      </w:r>
      <w:r>
        <w:rPr>
          <w:rFonts w:ascii="Times New Roman" w:eastAsia="宋体" w:hAnsi="Times New Roman" w:cs="Times New Roman"/>
          <w:b/>
          <w:sz w:val="24"/>
        </w:rPr>
        <w:t>引言</w:t>
      </w:r>
    </w:p>
    <w:p w14:paraId="10C5D963" w14:textId="77777777" w:rsidR="00192D35" w:rsidRDefault="005815D7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微地震监测已成为地球物理普查和能源工业开采的有效手段</w:t>
      </w:r>
      <w:r>
        <w:rPr>
          <w:rFonts w:hint="eastAsia"/>
          <w:szCs w:val="21"/>
        </w:rPr>
        <w:t>[1-2]</w:t>
      </w:r>
      <w:r>
        <w:rPr>
          <w:rFonts w:hint="eastAsia"/>
          <w:szCs w:val="21"/>
        </w:rPr>
        <w:t>。自</w:t>
      </w:r>
      <w:r>
        <w:rPr>
          <w:rFonts w:hint="eastAsia"/>
          <w:szCs w:val="21"/>
        </w:rPr>
        <w:t>20</w:t>
      </w:r>
      <w:r>
        <w:rPr>
          <w:rFonts w:hint="eastAsia"/>
          <w:szCs w:val="21"/>
        </w:rPr>
        <w:t>世纪</w:t>
      </w:r>
      <w:r>
        <w:rPr>
          <w:rFonts w:hint="eastAsia"/>
          <w:szCs w:val="21"/>
        </w:rPr>
        <w:t>90</w:t>
      </w:r>
      <w:r>
        <w:rPr>
          <w:rFonts w:hint="eastAsia"/>
          <w:szCs w:val="21"/>
        </w:rPr>
        <w:t>年代以来，随着光纤技术的进步，干涉型光纤检波器取得了显著发展</w:t>
      </w:r>
      <w:r>
        <w:rPr>
          <w:rFonts w:hint="eastAsia"/>
          <w:szCs w:val="21"/>
        </w:rPr>
        <w:t>[3]</w:t>
      </w:r>
      <w:r>
        <w:rPr>
          <w:rFonts w:hint="eastAsia"/>
          <w:szCs w:val="21"/>
        </w:rPr>
        <w:t>。这类检波器具有高灵敏度、宽频带、抗电磁干扰和易于复用等优势</w:t>
      </w:r>
      <w:r>
        <w:rPr>
          <w:rFonts w:hint="eastAsia"/>
          <w:szCs w:val="21"/>
        </w:rPr>
        <w:t>[4]</w:t>
      </w:r>
      <w:r>
        <w:rPr>
          <w:rFonts w:hint="eastAsia"/>
          <w:szCs w:val="21"/>
        </w:rPr>
        <w:t>，能够实现地震信号的高保真采集</w:t>
      </w:r>
      <w:r>
        <w:rPr>
          <w:rFonts w:hint="eastAsia"/>
          <w:szCs w:val="21"/>
        </w:rPr>
        <w:t>[5]</w:t>
      </w:r>
      <w:r>
        <w:rPr>
          <w:rFonts w:hint="eastAsia"/>
          <w:szCs w:val="21"/>
        </w:rPr>
        <w:t>。</w:t>
      </w:r>
    </w:p>
    <w:p w14:paraId="113172C0" w14:textId="77777777" w:rsidR="00192D35" w:rsidRDefault="005815D7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为优化资源利用，通常需要采用复用技术构建多检波器传感网络</w:t>
      </w:r>
      <w:r>
        <w:rPr>
          <w:rFonts w:hint="eastAsia"/>
          <w:szCs w:val="21"/>
        </w:rPr>
        <w:t>[6]</w:t>
      </w:r>
      <w:r>
        <w:rPr>
          <w:rFonts w:hint="eastAsia"/>
          <w:szCs w:val="21"/>
        </w:rPr>
        <w:t>。基于光波的不同物理特性，研究人员开发了空分复用、波分复用和时分复用等方案</w:t>
      </w:r>
      <w:r>
        <w:rPr>
          <w:rFonts w:hint="eastAsia"/>
          <w:szCs w:val="21"/>
        </w:rPr>
        <w:t>[7]</w:t>
      </w:r>
      <w:r>
        <w:rPr>
          <w:rFonts w:hint="eastAsia"/>
          <w:szCs w:val="21"/>
        </w:rPr>
        <w:t>。其中，时分复用方案在系统性价比、检波器性能和阵列增益之间实现了良好平衡</w:t>
      </w:r>
      <w:r>
        <w:rPr>
          <w:rFonts w:hint="eastAsia"/>
          <w:szCs w:val="21"/>
        </w:rPr>
        <w:t>[8]</w:t>
      </w:r>
      <w:r>
        <w:rPr>
          <w:rFonts w:hint="eastAsia"/>
          <w:szCs w:val="21"/>
        </w:rPr>
        <w:t>。该方案通过将连续光调制为脉冲光，并利用阵列中各检波器返回脉冲的时间差来重构干涉信号</w:t>
      </w:r>
      <w:r>
        <w:rPr>
          <w:rFonts w:hint="eastAsia"/>
          <w:szCs w:val="21"/>
        </w:rPr>
        <w:t>[9]</w:t>
      </w:r>
      <w:r>
        <w:rPr>
          <w:rFonts w:hint="eastAsia"/>
          <w:szCs w:val="21"/>
        </w:rPr>
        <w:t>。此外，时分复用还可与其他复用技术结合，构建更大规模的检波器阵列</w:t>
      </w:r>
      <w:r>
        <w:rPr>
          <w:rFonts w:hint="eastAsia"/>
          <w:szCs w:val="21"/>
        </w:rPr>
        <w:t>[10]</w:t>
      </w:r>
      <w:r>
        <w:rPr>
          <w:rFonts w:hint="eastAsia"/>
          <w:szCs w:val="21"/>
        </w:rPr>
        <w:t>。典型的时分复用结构</w:t>
      </w:r>
      <w:r>
        <w:rPr>
          <w:rFonts w:hint="eastAsia"/>
          <w:szCs w:val="21"/>
        </w:rPr>
        <w:t>[11]</w:t>
      </w:r>
      <w:r>
        <w:rPr>
          <w:rFonts w:hint="eastAsia"/>
          <w:szCs w:val="21"/>
        </w:rPr>
        <w:t>包括：传统梯状型结构</w:t>
      </w:r>
      <w:r>
        <w:rPr>
          <w:rFonts w:hint="eastAsia"/>
          <w:szCs w:val="21"/>
        </w:rPr>
        <w:t>[12]</w:t>
      </w:r>
      <w:r>
        <w:rPr>
          <w:rFonts w:hint="eastAsia"/>
          <w:szCs w:val="21"/>
        </w:rPr>
        <w:t>，每个检波器需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个耦合器；</w:t>
      </w:r>
      <w:r>
        <w:rPr>
          <w:rFonts w:hint="eastAsia"/>
          <w:szCs w:val="21"/>
        </w:rPr>
        <w:t xml:space="preserve"> In-line Michelson</w:t>
      </w:r>
      <w:r>
        <w:rPr>
          <w:rFonts w:hint="eastAsia"/>
          <w:szCs w:val="21"/>
        </w:rPr>
        <w:t>结构</w:t>
      </w:r>
      <w:r>
        <w:rPr>
          <w:rFonts w:hint="eastAsia"/>
          <w:szCs w:val="21"/>
        </w:rPr>
        <w:t>[13]</w:t>
      </w:r>
      <w:r>
        <w:rPr>
          <w:rFonts w:hint="eastAsia"/>
          <w:szCs w:val="21"/>
        </w:rPr>
        <w:t>，每个检波器仅需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个耦合器；光纤光栅（</w:t>
      </w:r>
      <w:r>
        <w:rPr>
          <w:rFonts w:hint="eastAsia"/>
          <w:szCs w:val="21"/>
        </w:rPr>
        <w:t>FBG</w:t>
      </w:r>
      <w:r>
        <w:rPr>
          <w:rFonts w:hint="eastAsia"/>
          <w:szCs w:val="21"/>
        </w:rPr>
        <w:t>）构成的</w:t>
      </w:r>
      <w:r>
        <w:rPr>
          <w:rFonts w:hint="eastAsia"/>
          <w:szCs w:val="21"/>
        </w:rPr>
        <w:t>F-P</w:t>
      </w:r>
      <w:r>
        <w:rPr>
          <w:rFonts w:hint="eastAsia"/>
          <w:szCs w:val="21"/>
        </w:rPr>
        <w:t>腔结构</w:t>
      </w:r>
      <w:r>
        <w:rPr>
          <w:rFonts w:hint="eastAsia"/>
          <w:szCs w:val="21"/>
        </w:rPr>
        <w:t>[14]</w:t>
      </w:r>
      <w:r>
        <w:rPr>
          <w:rFonts w:hint="eastAsia"/>
          <w:szCs w:val="21"/>
        </w:rPr>
        <w:t>。其中，</w:t>
      </w:r>
      <w:r>
        <w:rPr>
          <w:rFonts w:hint="eastAsia"/>
          <w:szCs w:val="21"/>
        </w:rPr>
        <w:t>In-line Michelson</w:t>
      </w:r>
      <w:r>
        <w:rPr>
          <w:rFonts w:hint="eastAsia"/>
          <w:szCs w:val="21"/>
        </w:rPr>
        <w:t>结构因结构简单而广泛应用</w:t>
      </w:r>
      <w:r>
        <w:rPr>
          <w:rFonts w:hint="eastAsia"/>
          <w:szCs w:val="21"/>
        </w:rPr>
        <w:t>[15]</w:t>
      </w:r>
      <w:r>
        <w:rPr>
          <w:rFonts w:hint="eastAsia"/>
          <w:szCs w:val="21"/>
        </w:rPr>
        <w:t>，但阵列中各检波器返回脉冲的识别仍需深入研究。</w:t>
      </w:r>
      <w:r>
        <w:rPr>
          <w:rFonts w:hint="eastAsia"/>
          <w:szCs w:val="21"/>
        </w:rPr>
        <w:t>FREITAS D</w:t>
      </w:r>
      <w:r>
        <w:rPr>
          <w:rFonts w:hint="eastAsia"/>
          <w:szCs w:val="21"/>
        </w:rPr>
        <w:t>等人</w:t>
      </w:r>
      <w:r>
        <w:rPr>
          <w:rFonts w:hint="eastAsia"/>
          <w:szCs w:val="21"/>
        </w:rPr>
        <w:t>[16]</w:t>
      </w:r>
      <w:r>
        <w:rPr>
          <w:rFonts w:hint="eastAsia"/>
          <w:szCs w:val="21"/>
        </w:rPr>
        <w:t>研究了时分复用阵列的串扰问题，但其假设各检波器延时参数相同，在实际应用中难以保证。李树鹏等</w:t>
      </w:r>
      <w:r>
        <w:rPr>
          <w:rFonts w:hint="eastAsia"/>
          <w:szCs w:val="21"/>
        </w:rPr>
        <w:t>[17]</w:t>
      </w:r>
      <w:r>
        <w:rPr>
          <w:rFonts w:hint="eastAsia"/>
          <w:szCs w:val="21"/>
        </w:rPr>
        <w:t>提出的测量方法虽精确，但设备复杂昂贵。</w:t>
      </w:r>
    </w:p>
    <w:p w14:paraId="310BE3AD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hint="eastAsia"/>
          <w:szCs w:val="21"/>
        </w:rPr>
        <w:lastRenderedPageBreak/>
        <w:t>针对上述问题，</w:t>
      </w:r>
      <w:r>
        <w:rPr>
          <w:rFonts w:ascii="Times New Roman" w:hAnsi="Times New Roman" w:cs="Times New Roman" w:hint="eastAsia"/>
          <w:szCs w:val="21"/>
        </w:rPr>
        <w:t>本文在外差方案的光纤微地震监测系统基础上，提出一种基于</w:t>
      </w:r>
      <w:r>
        <w:rPr>
          <w:rFonts w:ascii="Times New Roman" w:hAnsi="Times New Roman" w:cs="Times New Roman"/>
          <w:szCs w:val="21"/>
        </w:rPr>
        <w:t>时分复用光纤</w:t>
      </w:r>
      <w:r>
        <w:rPr>
          <w:rFonts w:ascii="Times New Roman" w:hAnsi="Times New Roman" w:cs="Times New Roman" w:hint="eastAsia"/>
          <w:szCs w:val="21"/>
        </w:rPr>
        <w:t>检波器阵列的延时参数测量方法，并使用不同信噪比的原始数据验证了该方案的可</w:t>
      </w:r>
      <w:r>
        <w:rPr>
          <w:rFonts w:ascii="Times New Roman" w:hAnsi="Times New Roman" w:cs="Times New Roman" w:hint="eastAsia"/>
          <w:szCs w:val="21"/>
        </w:rPr>
        <w:t>靠性。</w:t>
      </w:r>
    </w:p>
    <w:p w14:paraId="302A38F8" w14:textId="77777777" w:rsidR="00192D35" w:rsidRDefault="00192D35">
      <w:pPr>
        <w:ind w:firstLineChars="200" w:firstLine="420"/>
        <w:rPr>
          <w:rFonts w:ascii="Times New Roman" w:hAnsi="Times New Roman" w:cs="Times New Roman"/>
          <w:szCs w:val="21"/>
        </w:rPr>
      </w:pPr>
    </w:p>
    <w:p w14:paraId="5ED842C1" w14:textId="77777777" w:rsidR="00192D35" w:rsidRDefault="005815D7">
      <w:pPr>
        <w:pStyle w:val="af0"/>
        <w:numPr>
          <w:ilvl w:val="0"/>
          <w:numId w:val="3"/>
        </w:numPr>
        <w:ind w:firstLineChars="0"/>
        <w:outlineLvl w:val="0"/>
        <w:rPr>
          <w:rFonts w:ascii="Times New Roman" w:eastAsia="宋体" w:hAnsi="Times New Roman" w:cs="Times New Roman"/>
          <w:b/>
          <w:sz w:val="24"/>
        </w:rPr>
      </w:pPr>
      <w:r>
        <w:rPr>
          <w:rFonts w:ascii="Times New Roman" w:eastAsia="宋体" w:hAnsi="Times New Roman" w:cs="Times New Roman" w:hint="eastAsia"/>
          <w:b/>
          <w:sz w:val="24"/>
        </w:rPr>
        <w:t>基于时</w:t>
      </w:r>
      <w:r>
        <w:rPr>
          <w:rFonts w:ascii="Times New Roman" w:eastAsia="宋体" w:hAnsi="Times New Roman" w:cs="Times New Roman"/>
          <w:b/>
          <w:sz w:val="24"/>
        </w:rPr>
        <w:t>分复用光纤检</w:t>
      </w:r>
      <w:r>
        <w:rPr>
          <w:rFonts w:ascii="Times New Roman" w:eastAsia="宋体" w:hAnsi="Times New Roman" w:cs="Times New Roman" w:hint="eastAsia"/>
          <w:b/>
          <w:sz w:val="24"/>
        </w:rPr>
        <w:t>波</w:t>
      </w:r>
      <w:r>
        <w:rPr>
          <w:rFonts w:ascii="Times New Roman" w:eastAsia="宋体" w:hAnsi="Times New Roman" w:cs="Times New Roman"/>
          <w:b/>
          <w:sz w:val="24"/>
        </w:rPr>
        <w:t>器阵列</w:t>
      </w:r>
      <w:r>
        <w:rPr>
          <w:rFonts w:ascii="Times New Roman" w:eastAsia="宋体" w:hAnsi="Times New Roman" w:cs="Times New Roman" w:hint="eastAsia"/>
          <w:b/>
          <w:sz w:val="24"/>
        </w:rPr>
        <w:t>监测</w:t>
      </w:r>
      <w:r>
        <w:rPr>
          <w:rFonts w:ascii="Times New Roman" w:eastAsia="宋体" w:hAnsi="Times New Roman" w:cs="Times New Roman"/>
          <w:b/>
          <w:sz w:val="24"/>
        </w:rPr>
        <w:t>系统</w:t>
      </w:r>
    </w:p>
    <w:p w14:paraId="2985DCF4" w14:textId="77777777" w:rsidR="00192D35" w:rsidRDefault="005815D7">
      <w:pPr>
        <w:outlineLvl w:val="0"/>
        <w:rPr>
          <w:rFonts w:ascii="Times New Roman" w:eastAsia="宋体" w:hAnsi="Times New Roman" w:cs="Times New Roman"/>
          <w:b/>
          <w:sz w:val="24"/>
        </w:rPr>
      </w:pPr>
      <w:r>
        <w:rPr>
          <w:rFonts w:ascii="Times New Roman" w:eastAsia="宋体" w:hAnsi="Times New Roman" w:cs="Times New Roman" w:hint="eastAsia"/>
          <w:b/>
          <w:sz w:val="24"/>
        </w:rPr>
        <w:t>1</w:t>
      </w:r>
      <w:r>
        <w:rPr>
          <w:rFonts w:ascii="Times New Roman" w:eastAsia="宋体" w:hAnsi="Times New Roman" w:cs="Times New Roman"/>
          <w:b/>
          <w:sz w:val="24"/>
        </w:rPr>
        <w:t xml:space="preserve">.1 </w:t>
      </w:r>
      <w:r>
        <w:rPr>
          <w:rFonts w:ascii="Times New Roman" w:eastAsia="宋体" w:hAnsi="Times New Roman" w:cs="Times New Roman" w:hint="eastAsia"/>
          <w:b/>
          <w:sz w:val="24"/>
        </w:rPr>
        <w:t>监测</w:t>
      </w:r>
      <w:r>
        <w:rPr>
          <w:rFonts w:ascii="Times New Roman" w:eastAsia="宋体" w:hAnsi="Times New Roman" w:cs="Times New Roman"/>
          <w:b/>
          <w:sz w:val="24"/>
        </w:rPr>
        <w:t>系统结构设计</w:t>
      </w:r>
    </w:p>
    <w:p w14:paraId="0F7A3344" w14:textId="77777777" w:rsidR="00192D35" w:rsidRDefault="005815D7">
      <w:pPr>
        <w:pStyle w:val="a7"/>
        <w:shd w:val="clear" w:color="auto" w:fill="FFFFFF"/>
        <w:spacing w:before="240" w:after="240"/>
        <w:ind w:firstLine="420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 w:val="21"/>
          <w:szCs w:val="21"/>
        </w:rPr>
        <w:t>基于外差方案的光纤检波器阵列监测系统整体结构</w:t>
      </w:r>
      <w:r>
        <w:rPr>
          <w:rFonts w:ascii="Times New Roman" w:hAnsi="Times New Roman"/>
          <w:sz w:val="21"/>
          <w:szCs w:val="21"/>
          <w:vertAlign w:val="superscript"/>
        </w:rPr>
        <w:t>[</w:t>
      </w:r>
      <w:r>
        <w:rPr>
          <w:rFonts w:ascii="Times New Roman" w:hAnsi="Times New Roman" w:hint="eastAsia"/>
          <w:sz w:val="21"/>
          <w:szCs w:val="21"/>
          <w:vertAlign w:val="superscript"/>
        </w:rPr>
        <w:t>12</w:t>
      </w:r>
      <w:r>
        <w:rPr>
          <w:rFonts w:ascii="Times New Roman" w:hAnsi="Times New Roman"/>
          <w:sz w:val="21"/>
          <w:szCs w:val="21"/>
          <w:vertAlign w:val="superscript"/>
        </w:rPr>
        <w:t>-</w:t>
      </w:r>
      <w:r>
        <w:rPr>
          <w:rFonts w:ascii="Times New Roman" w:hAnsi="Times New Roman" w:hint="eastAsia"/>
          <w:sz w:val="21"/>
          <w:szCs w:val="21"/>
          <w:vertAlign w:val="superscript"/>
        </w:rPr>
        <w:t>13</w:t>
      </w:r>
      <w:r>
        <w:rPr>
          <w:rFonts w:ascii="Times New Roman" w:hAnsi="Times New Roman"/>
          <w:sz w:val="21"/>
          <w:szCs w:val="21"/>
          <w:vertAlign w:val="superscript"/>
        </w:rPr>
        <w:t>]</w:t>
      </w:r>
      <w:r>
        <w:rPr>
          <w:rFonts w:ascii="Times New Roman" w:hAnsi="Times New Roman" w:hint="eastAsia"/>
          <w:sz w:val="21"/>
          <w:szCs w:val="21"/>
        </w:rPr>
        <w:t>如图</w:t>
      </w:r>
      <w:r>
        <w:rPr>
          <w:rFonts w:ascii="Times New Roman" w:hAnsi="Times New Roman" w:hint="eastAsia"/>
          <w:sz w:val="21"/>
          <w:szCs w:val="21"/>
        </w:rPr>
        <w:t>1</w:t>
      </w:r>
      <w:r>
        <w:rPr>
          <w:rFonts w:ascii="Times New Roman" w:hAnsi="Times New Roman" w:hint="eastAsia"/>
          <w:sz w:val="21"/>
          <w:szCs w:val="21"/>
        </w:rPr>
        <w:t>所示。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光源发出的连续光在脉冲发生器控制下通过集成光开关（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IOS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）调制为脉冲光（时间宽度为</w:t>
      </w:r>
      <w:r>
        <w:rPr>
          <w:rFonts w:ascii="KaTeX_Math" w:eastAsia="宋体" w:hAnsi="KaTeX_Math"/>
          <w:i/>
          <w:iCs/>
          <w:color w:val="2C2C36"/>
          <w:spacing w:val="1"/>
          <w:sz w:val="21"/>
          <w:szCs w:val="21"/>
        </w:rPr>
        <w:t>w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，重复频率为</w:t>
      </w:r>
      <w:r>
        <w:rPr>
          <w:rFonts w:ascii="KaTeX_Math" w:eastAsia="宋体" w:hAnsi="KaTeX_Math"/>
          <w:i/>
          <w:iCs/>
          <w:color w:val="2C2C36"/>
          <w:spacing w:val="1"/>
          <w:sz w:val="21"/>
          <w:szCs w:val="21"/>
        </w:rPr>
        <w:t>f</w:t>
      </w:r>
      <w:r>
        <w:rPr>
          <w:rFonts w:ascii="KaTeX_Math" w:eastAsia="宋体" w:hAnsi="KaTeX_Math"/>
          <w:iCs/>
          <w:color w:val="2C2C36"/>
          <w:spacing w:val="1"/>
          <w:sz w:val="21"/>
          <w:szCs w:val="21"/>
          <w:vertAlign w:val="subscript"/>
        </w:rPr>
        <w:t>rep</w:t>
      </w:r>
      <w:r>
        <w:rPr>
          <w:rFonts w:ascii="Times New Roman" w:eastAsia="宋体" w:hAnsi="Times New Roman"/>
          <w:color w:val="2C2C36"/>
          <w:spacing w:val="1"/>
          <w:sz w:val="21"/>
          <w:szCs w:val="21"/>
          <w:vertAlign w:val="subscript"/>
        </w:rPr>
        <w:t>​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）。随后，这些脉冲光经过一个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50:50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耦合器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C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  <w:vertAlign w:val="subscript"/>
        </w:rPr>
        <w:t>1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进入马赫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-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曾德尔干涉仪（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MZI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）的两臂。</w:t>
      </w:r>
      <w:r>
        <w:rPr>
          <w:rFonts w:ascii="PingFang SC" w:eastAsia="宋体" w:hAnsi="PingFang SC" w:cs="宋体" w:hint="eastAsia"/>
          <w:color w:val="2C2C36"/>
          <w:spacing w:val="1"/>
          <w:sz w:val="21"/>
          <w:szCs w:val="21"/>
        </w:rPr>
        <w:t>2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个声光调制器（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AOM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）不仅对脉冲光进行调制，还分别将光信号移频至</w:t>
      </w:r>
      <w:r>
        <w:rPr>
          <w:rFonts w:ascii="Times New Roman" w:hAnsi="Times New Roman" w:hint="eastAsia"/>
          <w:i/>
          <w:iCs/>
          <w:szCs w:val="21"/>
        </w:rPr>
        <w:t>f</w:t>
      </w:r>
      <w:r>
        <w:rPr>
          <w:rFonts w:ascii="Times New Roman" w:hAnsi="Times New Roman" w:hint="eastAsia"/>
          <w:i/>
          <w:iCs/>
          <w:szCs w:val="21"/>
          <w:vertAlign w:val="subscript"/>
        </w:rPr>
        <w:t>1</w:t>
      </w:r>
      <w:r>
        <w:rPr>
          <w:rFonts w:ascii="Times New Roman" w:hAnsi="Times New Roman" w:hint="eastAsia"/>
          <w:szCs w:val="21"/>
        </w:rPr>
        <w:t>、</w:t>
      </w:r>
      <w:r>
        <w:rPr>
          <w:rFonts w:ascii="Times New Roman" w:hAnsi="Times New Roman" w:hint="eastAsia"/>
          <w:i/>
          <w:iCs/>
          <w:szCs w:val="21"/>
        </w:rPr>
        <w:t>f</w:t>
      </w:r>
      <w:r>
        <w:rPr>
          <w:rFonts w:ascii="Times New Roman" w:hAnsi="Times New Roman" w:hint="eastAsia"/>
          <w:i/>
          <w:iCs/>
          <w:szCs w:val="21"/>
          <w:vertAlign w:val="subscript"/>
        </w:rPr>
        <w:t>2</w:t>
      </w:r>
      <w:r>
        <w:rPr>
          <w:rFonts w:ascii="Times New Roman" w:hAnsi="Times New Roman" w:hint="eastAsia"/>
          <w:szCs w:val="21"/>
        </w:rPr>
        <w:t>，</w:t>
      </w:r>
      <w:r>
        <w:rPr>
          <w:rFonts w:ascii="Times New Roman" w:eastAsia="宋体" w:hAnsi="Times New Roman"/>
          <w:color w:val="2C2C36"/>
          <w:spacing w:val="1"/>
          <w:sz w:val="21"/>
          <w:szCs w:val="21"/>
        </w:rPr>
        <w:t>​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。此外，移频量为</w:t>
      </w:r>
      <w:r>
        <w:rPr>
          <w:rFonts w:ascii="Times New Roman" w:hAnsi="Times New Roman" w:hint="eastAsia"/>
          <w:i/>
          <w:iCs/>
          <w:szCs w:val="21"/>
        </w:rPr>
        <w:t>f</w:t>
      </w:r>
      <w:r>
        <w:rPr>
          <w:rFonts w:ascii="Times New Roman" w:hAnsi="Times New Roman" w:hint="eastAsia"/>
          <w:i/>
          <w:iCs/>
          <w:szCs w:val="21"/>
          <w:vertAlign w:val="subscript"/>
        </w:rPr>
        <w:t>2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的脉冲光还需通过一段长度为</w:t>
      </w:r>
      <w:r>
        <w:rPr>
          <w:rFonts w:ascii="Times New Roman" w:eastAsia="宋体" w:hAnsi="Times New Roman"/>
          <w:color w:val="2C2C36"/>
          <w:spacing w:val="1"/>
          <w:sz w:val="21"/>
          <w:szCs w:val="21"/>
        </w:rPr>
        <w:t>2Δ</w:t>
      </w:r>
      <w:r>
        <w:rPr>
          <w:rFonts w:ascii="KaTeX_Math" w:eastAsia="宋体" w:hAnsi="KaTeX_Math"/>
          <w:i/>
          <w:iCs/>
          <w:color w:val="2C2C36"/>
          <w:spacing w:val="1"/>
          <w:sz w:val="21"/>
          <w:szCs w:val="21"/>
        </w:rPr>
        <w:t>L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的延时光纤，使得两束光在通过光纤耦合器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C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  <w:vertAlign w:val="subscript"/>
        </w:rPr>
        <w:t>2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合束后形成具有特定时间差</w:t>
      </w:r>
      <w:r>
        <w:rPr>
          <w:rFonts w:ascii="KaTeX_Math" w:eastAsia="宋体" w:hAnsi="KaTeX_Math"/>
          <w:i/>
          <w:iCs/>
          <w:color w:val="2C2C36"/>
          <w:spacing w:val="1"/>
          <w:sz w:val="21"/>
          <w:szCs w:val="21"/>
        </w:rPr>
        <w:t>τ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的脉冲对。生成的外差脉冲对通过耦合器被注入到检波器阵列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[14]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，该阵列检测由外界震动引起的脉冲干涉信号。这些信号依次通过环形耦合器的三端口到达掺铒放大器（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EDFA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）、滤波器、探测器及数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/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模转换器（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ADC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）。最终，信号经由后端信号处理平台解调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[15]</w:t>
      </w:r>
      <w:r>
        <w:rPr>
          <w:rFonts w:ascii="PingFang SC" w:eastAsia="宋体" w:hAnsi="PingFang SC" w:cs="宋体"/>
          <w:color w:val="2C2C36"/>
          <w:spacing w:val="1"/>
          <w:sz w:val="21"/>
          <w:szCs w:val="21"/>
        </w:rPr>
        <w:t>，从而获取检波器阵列上接收到的震动信息。</w:t>
      </w:r>
    </w:p>
    <w:p w14:paraId="5E0D7B23" w14:textId="77777777" w:rsidR="00192D35" w:rsidRDefault="005815D7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noProof/>
          <w:szCs w:val="21"/>
        </w:rPr>
        <w:drawing>
          <wp:inline distT="0" distB="0" distL="114300" distR="114300">
            <wp:extent cx="5400040" cy="2308225"/>
            <wp:effectExtent l="0" t="0" r="10160" b="15875"/>
            <wp:docPr id="3" name="图片 3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0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9D9D6" w14:textId="77777777" w:rsidR="00192D35" w:rsidRDefault="005815D7">
      <w:pPr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>
        <w:rPr>
          <w:rFonts w:ascii="Times New Roman" w:eastAsia="宋体" w:hAnsi="Times New Roman" w:cs="Times New Roman" w:hint="eastAsia"/>
          <w:b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1 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系统结构设计框架</w:t>
      </w:r>
    </w:p>
    <w:p w14:paraId="3466C4B4" w14:textId="77777777" w:rsidR="00192D35" w:rsidRDefault="005815D7">
      <w:pPr>
        <w:rPr>
          <w:rFonts w:ascii="Times New Roman" w:eastAsia="宋体" w:hAnsi="Times New Roman" w:cs="Times New Roman"/>
          <w:b/>
          <w:szCs w:val="21"/>
        </w:rPr>
      </w:pPr>
      <w:r>
        <w:rPr>
          <w:rFonts w:ascii="Times New Roman" w:eastAsia="宋体" w:hAnsi="Times New Roman" w:cs="Times New Roman" w:hint="eastAsia"/>
          <w:b/>
          <w:szCs w:val="21"/>
        </w:rPr>
        <w:t>1</w:t>
      </w:r>
      <w:r>
        <w:rPr>
          <w:rFonts w:ascii="Times New Roman" w:eastAsia="宋体" w:hAnsi="Times New Roman" w:cs="Times New Roman"/>
          <w:b/>
          <w:szCs w:val="21"/>
        </w:rPr>
        <w:t xml:space="preserve">.2 </w:t>
      </w:r>
      <w:r>
        <w:rPr>
          <w:rFonts w:ascii="Times New Roman" w:eastAsia="宋体" w:hAnsi="Times New Roman" w:cs="Times New Roman" w:hint="eastAsia"/>
          <w:b/>
          <w:szCs w:val="21"/>
        </w:rPr>
        <w:t>检波器阵列光路结构</w:t>
      </w:r>
    </w:p>
    <w:p w14:paraId="6594FEB0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本文采用基于</w:t>
      </w:r>
      <w:r>
        <w:rPr>
          <w:rFonts w:ascii="Times New Roman" w:hAnsi="Times New Roman" w:cs="Times New Roman" w:hint="eastAsia"/>
          <w:szCs w:val="21"/>
        </w:rPr>
        <w:t xml:space="preserve">In-line </w:t>
      </w:r>
      <w:r>
        <w:rPr>
          <w:rFonts w:ascii="Times New Roman" w:hAnsi="Times New Roman" w:cs="Times New Roman" w:hint="eastAsia"/>
          <w:szCs w:val="21"/>
        </w:rPr>
        <w:t>Michelson</w:t>
      </w:r>
      <w:r>
        <w:rPr>
          <w:rFonts w:ascii="Times New Roman" w:hAnsi="Times New Roman" w:cs="Times New Roman" w:hint="eastAsia"/>
          <w:szCs w:val="21"/>
        </w:rPr>
        <w:t>结构的时分复用方案，将图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 w:hint="eastAsia"/>
          <w:szCs w:val="21"/>
        </w:rPr>
        <w:t>所示的单一检波器替换为图</w:t>
      </w:r>
      <w:r>
        <w:rPr>
          <w:rFonts w:ascii="Times New Roman" w:hAnsi="Times New Roman" w:cs="Times New Roman" w:hint="eastAsia"/>
          <w:szCs w:val="21"/>
        </w:rPr>
        <w:t>2</w:t>
      </w:r>
      <w:r>
        <w:rPr>
          <w:rFonts w:ascii="Times New Roman" w:hAnsi="Times New Roman" w:cs="Times New Roman" w:hint="eastAsia"/>
          <w:szCs w:val="21"/>
        </w:rPr>
        <w:t>所示的检波器阵列。该阵列主要由以下三部分组成：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 w:hint="eastAsia"/>
          <w:szCs w:val="21"/>
        </w:rPr>
        <w:t>）</w:t>
      </w:r>
      <w:r>
        <w:rPr>
          <w:rFonts w:ascii="Times New Roman" w:hAnsi="Times New Roman" w:cs="Times New Roman" w:hint="eastAsia"/>
          <w:i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个分光比各异的耦合器</w:t>
      </w:r>
      <w:r>
        <w:rPr>
          <w:rFonts w:ascii="Times New Roman" w:hAnsi="Times New Roman" w:cs="Times New Roman" w:hint="eastAsia"/>
          <w:szCs w:val="21"/>
        </w:rPr>
        <w:t>[16]</w:t>
      </w:r>
      <w:r>
        <w:rPr>
          <w:rFonts w:ascii="Times New Roman" w:hAnsi="Times New Roman" w:cs="Times New Roman" w:hint="eastAsia"/>
          <w:szCs w:val="21"/>
        </w:rPr>
        <w:t>；</w:t>
      </w:r>
      <w:r>
        <w:rPr>
          <w:rFonts w:ascii="Times New Roman" w:hAnsi="Times New Roman" w:cs="Times New Roman" w:hint="eastAsia"/>
          <w:szCs w:val="21"/>
        </w:rPr>
        <w:t>2</w:t>
      </w:r>
      <w:r>
        <w:rPr>
          <w:rFonts w:ascii="Times New Roman" w:hAnsi="Times New Roman" w:cs="Times New Roman" w:hint="eastAsia"/>
          <w:szCs w:val="21"/>
        </w:rPr>
        <w:t>）</w:t>
      </w:r>
      <w:r>
        <w:rPr>
          <w:rFonts w:ascii="Times New Roman" w:hAnsi="Times New Roman" w:cs="Times New Roman" w:hint="eastAsia"/>
          <w:i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+1</w:t>
      </w:r>
      <w:r>
        <w:rPr>
          <w:rFonts w:ascii="Times New Roman" w:hAnsi="Times New Roman" w:cs="Times New Roman" w:hint="eastAsia"/>
          <w:szCs w:val="21"/>
        </w:rPr>
        <w:t>个用于抑制偏振衰落效应的法拉第旋镜（</w:t>
      </w:r>
      <w:r>
        <w:rPr>
          <w:rFonts w:ascii="Times New Roman" w:hAnsi="Times New Roman" w:cs="Times New Roman" w:hint="eastAsia"/>
          <w:szCs w:val="21"/>
        </w:rPr>
        <w:t>FRM</w:t>
      </w:r>
      <w:r>
        <w:rPr>
          <w:rFonts w:ascii="Times New Roman" w:hAnsi="Times New Roman" w:cs="Times New Roman" w:hint="eastAsia"/>
          <w:szCs w:val="21"/>
        </w:rPr>
        <w:t>）反射单元</w:t>
      </w:r>
      <w:r>
        <w:rPr>
          <w:rFonts w:ascii="Times New Roman" w:hAnsi="Times New Roman" w:cs="Times New Roman" w:hint="eastAsia"/>
          <w:szCs w:val="21"/>
        </w:rPr>
        <w:t>[17]</w:t>
      </w:r>
      <w:r>
        <w:rPr>
          <w:rFonts w:ascii="Times New Roman" w:hAnsi="Times New Roman" w:cs="Times New Roman" w:hint="eastAsia"/>
          <w:szCs w:val="21"/>
        </w:rPr>
        <w:t>；</w:t>
      </w:r>
      <w:r>
        <w:rPr>
          <w:rFonts w:ascii="Times New Roman" w:hAnsi="Times New Roman" w:cs="Times New Roman" w:hint="eastAsia"/>
          <w:szCs w:val="21"/>
        </w:rPr>
        <w:t xml:space="preserve"> 3</w:t>
      </w:r>
      <w:r>
        <w:rPr>
          <w:rFonts w:ascii="Times New Roman" w:hAnsi="Times New Roman" w:cs="Times New Roman" w:hint="eastAsia"/>
          <w:szCs w:val="21"/>
        </w:rPr>
        <w:t>）</w:t>
      </w:r>
      <w:r>
        <w:rPr>
          <w:rFonts w:ascii="Times New Roman" w:hAnsi="Times New Roman" w:cs="Times New Roman" w:hint="eastAsia"/>
          <w:i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段长度略大于Δ</w:t>
      </w:r>
      <w:r>
        <w:rPr>
          <w:rFonts w:ascii="Times New Roman" w:hAnsi="Times New Roman" w:cs="Times New Roman" w:hint="eastAsia"/>
          <w:i/>
          <w:szCs w:val="21"/>
        </w:rPr>
        <w:t>L</w:t>
      </w:r>
      <w:r>
        <w:rPr>
          <w:rFonts w:ascii="Times New Roman" w:hAnsi="Times New Roman" w:cs="Times New Roman" w:hint="eastAsia"/>
          <w:szCs w:val="21"/>
        </w:rPr>
        <w:t>的光纤（需确保各检波器中参考臂与传感臂的光程差严格保持为Δ</w:t>
      </w:r>
      <w:r>
        <w:rPr>
          <w:rFonts w:ascii="Times New Roman" w:hAnsi="Times New Roman" w:cs="Times New Roman" w:hint="eastAsia"/>
          <w:i/>
          <w:szCs w:val="21"/>
        </w:rPr>
        <w:t>L</w:t>
      </w:r>
      <w:r>
        <w:rPr>
          <w:rFonts w:ascii="Times New Roman" w:hAnsi="Times New Roman" w:cs="Times New Roman" w:hint="eastAsia"/>
          <w:szCs w:val="21"/>
        </w:rPr>
        <w:t>，以形成稳定的干涉信号）。</w:t>
      </w:r>
    </w:p>
    <w:p w14:paraId="1FFB82DA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从结构组成来看，除末级检波器外，每个检波单元均由一个耦合器、连接在该耦合器输出端的</w:t>
      </w:r>
      <w:r>
        <w:rPr>
          <w:rFonts w:ascii="Times New Roman" w:hAnsi="Times New Roman" w:cs="Times New Roman" w:hint="eastAsia"/>
          <w:szCs w:val="21"/>
        </w:rPr>
        <w:t>FRM</w:t>
      </w:r>
      <w:r>
        <w:rPr>
          <w:rFonts w:ascii="Times New Roman" w:hAnsi="Times New Roman" w:cs="Times New Roman" w:hint="eastAsia"/>
          <w:szCs w:val="21"/>
        </w:rPr>
        <w:t>、一段延时光纤以及相邻下一级耦合器所接的</w:t>
      </w:r>
      <w:r>
        <w:rPr>
          <w:rFonts w:ascii="Times New Roman" w:hAnsi="Times New Roman" w:cs="Times New Roman" w:hint="eastAsia"/>
          <w:szCs w:val="21"/>
        </w:rPr>
        <w:t>FRM</w:t>
      </w:r>
      <w:r>
        <w:rPr>
          <w:rFonts w:ascii="Times New Roman" w:hAnsi="Times New Roman" w:cs="Times New Roman" w:hint="eastAsia"/>
          <w:szCs w:val="21"/>
        </w:rPr>
        <w:t>共同组成</w:t>
      </w:r>
      <w:r>
        <w:rPr>
          <w:rFonts w:ascii="Times New Roman" w:hAnsi="Times New Roman" w:cs="Times New Roman" w:hint="eastAsia"/>
          <w:szCs w:val="21"/>
        </w:rPr>
        <w:t>[18]</w:t>
      </w:r>
      <w:r>
        <w:rPr>
          <w:rFonts w:ascii="Times New Roman" w:hAnsi="Times New Roman" w:cs="Times New Roman" w:hint="eastAsia"/>
          <w:szCs w:val="21"/>
        </w:rPr>
        <w:t>。末级检波器则仅包含一个耦</w:t>
      </w:r>
      <w:r>
        <w:rPr>
          <w:rFonts w:ascii="Times New Roman" w:hAnsi="Times New Roman" w:cs="Times New Roman" w:hint="eastAsia"/>
          <w:szCs w:val="21"/>
        </w:rPr>
        <w:t>合器及其配套的</w:t>
      </w:r>
      <w:r>
        <w:rPr>
          <w:rFonts w:ascii="Times New Roman" w:hAnsi="Times New Roman" w:cs="Times New Roman" w:hint="eastAsia"/>
          <w:szCs w:val="21"/>
        </w:rPr>
        <w:t>FRM</w:t>
      </w:r>
      <w:r>
        <w:rPr>
          <w:rFonts w:ascii="Times New Roman" w:hAnsi="Times New Roman" w:cs="Times New Roman" w:hint="eastAsia"/>
          <w:szCs w:val="21"/>
        </w:rPr>
        <w:t>。特别地，除首尾两个独立使用的</w:t>
      </w:r>
      <w:r>
        <w:rPr>
          <w:rFonts w:ascii="Times New Roman" w:hAnsi="Times New Roman" w:cs="Times New Roman" w:hint="eastAsia"/>
          <w:szCs w:val="21"/>
        </w:rPr>
        <w:t>FRM</w:t>
      </w:r>
      <w:r>
        <w:rPr>
          <w:rFonts w:ascii="Times New Roman" w:hAnsi="Times New Roman" w:cs="Times New Roman" w:hint="eastAsia"/>
          <w:szCs w:val="21"/>
        </w:rPr>
        <w:t>外，其余</w:t>
      </w:r>
      <w:r>
        <w:rPr>
          <w:rFonts w:ascii="Times New Roman" w:hAnsi="Times New Roman" w:cs="Times New Roman" w:hint="eastAsia"/>
          <w:szCs w:val="21"/>
        </w:rPr>
        <w:t>FRM</w:t>
      </w:r>
      <w:r>
        <w:rPr>
          <w:rFonts w:ascii="Times New Roman" w:hAnsi="Times New Roman" w:cs="Times New Roman" w:hint="eastAsia"/>
          <w:szCs w:val="21"/>
        </w:rPr>
        <w:t>均被设计为相邻</w:t>
      </w:r>
      <w:r>
        <w:rPr>
          <w:rFonts w:ascii="Times New Roman" w:hAnsi="Times New Roman" w:cs="Times New Roman" w:hint="eastAsia"/>
          <w:szCs w:val="21"/>
        </w:rPr>
        <w:t>2</w:t>
      </w:r>
      <w:r>
        <w:rPr>
          <w:rFonts w:ascii="Times New Roman" w:hAnsi="Times New Roman" w:cs="Times New Roman" w:hint="eastAsia"/>
          <w:szCs w:val="21"/>
        </w:rPr>
        <w:t>个检波单元所共享。</w:t>
      </w:r>
    </w:p>
    <w:p w14:paraId="0ED7A1AA" w14:textId="77777777" w:rsidR="00192D35" w:rsidRDefault="005815D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lastRenderedPageBreak/>
        <w:drawing>
          <wp:inline distT="0" distB="0" distL="114300" distR="114300">
            <wp:extent cx="2520315" cy="1207135"/>
            <wp:effectExtent l="0" t="0" r="13335" b="12065"/>
            <wp:docPr id="18" name="图片 18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0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1C0A4" w14:textId="77777777" w:rsidR="00192D35" w:rsidRDefault="005815D7">
      <w:pPr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>
        <w:rPr>
          <w:rFonts w:ascii="Times New Roman" w:eastAsia="宋体" w:hAnsi="Times New Roman" w:cs="Times New Roman" w:hint="eastAsia"/>
          <w:b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2 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检波器阵列光路结构示意图</w:t>
      </w:r>
    </w:p>
    <w:p w14:paraId="1E280ACD" w14:textId="77777777" w:rsidR="00192D35" w:rsidRDefault="005815D7">
      <w:pPr>
        <w:rPr>
          <w:rFonts w:ascii="Times New Roman" w:eastAsia="宋体" w:hAnsi="Times New Roman" w:cs="Times New Roman"/>
          <w:b/>
          <w:szCs w:val="21"/>
        </w:rPr>
      </w:pPr>
      <w:r>
        <w:rPr>
          <w:rFonts w:ascii="Times New Roman" w:eastAsia="宋体" w:hAnsi="Times New Roman" w:cs="Times New Roman" w:hint="eastAsia"/>
          <w:b/>
          <w:szCs w:val="21"/>
        </w:rPr>
        <w:t>1</w:t>
      </w:r>
      <w:r>
        <w:rPr>
          <w:rFonts w:ascii="Times New Roman" w:eastAsia="宋体" w:hAnsi="Times New Roman" w:cs="Times New Roman"/>
          <w:b/>
          <w:szCs w:val="21"/>
        </w:rPr>
        <w:t xml:space="preserve">.3 </w:t>
      </w:r>
      <w:r>
        <w:rPr>
          <w:rFonts w:ascii="Times New Roman" w:eastAsia="宋体" w:hAnsi="Times New Roman" w:cs="Times New Roman" w:hint="eastAsia"/>
          <w:b/>
          <w:szCs w:val="21"/>
        </w:rPr>
        <w:t>检波器阵列返回的光脉冲序列</w:t>
      </w:r>
    </w:p>
    <w:p w14:paraId="01332F4C" w14:textId="77777777" w:rsidR="00192D35" w:rsidRDefault="005815D7">
      <w:pPr>
        <w:pStyle w:val="ds-markdown-paragraph"/>
        <w:ind w:firstLineChars="200" w:firstLine="420"/>
        <w:rPr>
          <w:rFonts w:ascii="Times New Roman" w:hAnsi="Times New Roman" w:cs="Times New Roman"/>
          <w:szCs w:val="21"/>
        </w:rPr>
      </w:pPr>
      <w:r>
        <w:rPr>
          <w:sz w:val="21"/>
          <w:szCs w:val="21"/>
        </w:rPr>
        <w:t>从阵列返回的光脉冲序列如图</w:t>
      </w:r>
      <w:r>
        <w:rPr>
          <w:sz w:val="21"/>
          <w:szCs w:val="21"/>
        </w:rPr>
        <w:t>3</w:t>
      </w:r>
      <w:r>
        <w:rPr>
          <w:sz w:val="21"/>
          <w:szCs w:val="21"/>
        </w:rPr>
        <w:t>所示。该序列以频率</w:t>
      </w:r>
      <w:r>
        <w:rPr>
          <w:rStyle w:val="mord"/>
          <w:rFonts w:ascii="KaTeX_Math" w:hAnsi="KaTeX_Math" w:cs="Times New Roman"/>
          <w:i/>
          <w:iCs/>
          <w:sz w:val="21"/>
          <w:szCs w:val="21"/>
        </w:rPr>
        <w:t>f</w:t>
      </w:r>
      <w:r>
        <w:rPr>
          <w:rStyle w:val="mord"/>
          <w:rFonts w:ascii="KaTeX_Math" w:hAnsi="KaTeX_Math" w:cs="Times New Roman"/>
          <w:iCs/>
          <w:sz w:val="21"/>
          <w:szCs w:val="21"/>
          <w:vertAlign w:val="subscript"/>
        </w:rPr>
        <w:t>rep</w:t>
      </w:r>
      <w:r>
        <w:rPr>
          <w:rStyle w:val="vlist-s"/>
          <w:rFonts w:ascii="Times New Roman" w:hAnsi="Times New Roman" w:cs="Times New Roman"/>
          <w:sz w:val="21"/>
          <w:szCs w:val="21"/>
        </w:rPr>
        <w:t>​</w:t>
      </w:r>
      <w:r>
        <w:rPr>
          <w:sz w:val="21"/>
          <w:szCs w:val="21"/>
        </w:rPr>
        <w:t>周期性出现，包含</w:t>
      </w:r>
      <w:r>
        <w:rPr>
          <w:rStyle w:val="mord"/>
          <w:rFonts w:ascii="KaTeX_Math" w:hAnsi="KaTeX_Math" w:cs="Times New Roman"/>
          <w:i/>
          <w:iCs/>
          <w:sz w:val="21"/>
          <w:szCs w:val="21"/>
        </w:rPr>
        <w:t>N</w:t>
      </w:r>
      <w:r>
        <w:rPr>
          <w:rStyle w:val="mbin"/>
          <w:rFonts w:ascii="Times New Roman" w:hAnsi="Times New Roman" w:cs="Times New Roman"/>
          <w:sz w:val="21"/>
          <w:szCs w:val="21"/>
        </w:rPr>
        <w:t>+</w:t>
      </w:r>
      <w:r>
        <w:rPr>
          <w:rStyle w:val="mord"/>
          <w:rFonts w:ascii="Times New Roman" w:hAnsi="Times New Roman" w:cs="Times New Roman"/>
          <w:sz w:val="21"/>
          <w:szCs w:val="21"/>
        </w:rPr>
        <w:t>2</w:t>
      </w:r>
      <w:r>
        <w:rPr>
          <w:sz w:val="21"/>
          <w:szCs w:val="21"/>
        </w:rPr>
        <w:t>个光脉冲。其中，首尾</w:t>
      </w:r>
      <w:r>
        <w:rPr>
          <w:rFonts w:hint="eastAsia"/>
          <w:sz w:val="21"/>
          <w:szCs w:val="21"/>
        </w:rPr>
        <w:t>2</w:t>
      </w:r>
      <w:r>
        <w:rPr>
          <w:sz w:val="21"/>
          <w:szCs w:val="21"/>
        </w:rPr>
        <w:t>个脉冲分别由声光调制器（</w:t>
      </w:r>
      <w:r>
        <w:rPr>
          <w:sz w:val="21"/>
          <w:szCs w:val="21"/>
        </w:rPr>
        <w:t>AOM</w:t>
      </w:r>
      <w:r>
        <w:rPr>
          <w:sz w:val="21"/>
          <w:szCs w:val="21"/>
        </w:rPr>
        <w:t>）移频至</w:t>
      </w:r>
      <w:r>
        <w:rPr>
          <w:rFonts w:ascii="Times New Roman" w:hAnsi="Times New Roman" w:cs="Times New Roman" w:hint="eastAsia"/>
          <w:i/>
          <w:iCs/>
          <w:szCs w:val="21"/>
        </w:rPr>
        <w:t>f</w:t>
      </w:r>
      <w:r>
        <w:rPr>
          <w:rFonts w:ascii="Times New Roman" w:hAnsi="Times New Roman" w:cs="Times New Roman" w:hint="eastAsia"/>
          <w:i/>
          <w:iCs/>
          <w:szCs w:val="21"/>
          <w:vertAlign w:val="subscript"/>
        </w:rPr>
        <w:t>1</w:t>
      </w:r>
      <w:r>
        <w:rPr>
          <w:rFonts w:ascii="Times New Roman" w:hAnsi="Times New Roman" w:cs="Times New Roman" w:hint="eastAsia"/>
          <w:szCs w:val="21"/>
        </w:rPr>
        <w:t>和</w:t>
      </w:r>
      <w:r>
        <w:rPr>
          <w:rFonts w:ascii="Times New Roman" w:hAnsi="Times New Roman" w:cs="Times New Roman" w:hint="eastAsia"/>
          <w:i/>
          <w:iCs/>
          <w:szCs w:val="21"/>
        </w:rPr>
        <w:t>f</w:t>
      </w:r>
      <w:r>
        <w:rPr>
          <w:rFonts w:ascii="Times New Roman" w:hAnsi="Times New Roman" w:cs="Times New Roman" w:hint="eastAsia"/>
          <w:i/>
          <w:iCs/>
          <w:szCs w:val="21"/>
          <w:vertAlign w:val="subscript"/>
        </w:rPr>
        <w:t>2</w:t>
      </w:r>
      <w:r>
        <w:rPr>
          <w:sz w:val="21"/>
          <w:szCs w:val="21"/>
        </w:rPr>
        <w:t>，其强度保持稳定；中间</w:t>
      </w:r>
      <w:r>
        <w:rPr>
          <w:rStyle w:val="mord"/>
          <w:rFonts w:ascii="KaTeX_Math" w:hAnsi="KaTeX_Math" w:cs="Times New Roman"/>
          <w:i/>
          <w:iCs/>
          <w:sz w:val="21"/>
          <w:szCs w:val="21"/>
        </w:rPr>
        <w:t>N</w:t>
      </w:r>
      <w:r>
        <w:rPr>
          <w:sz w:val="21"/>
          <w:szCs w:val="21"/>
        </w:rPr>
        <w:t>个脉冲则为携带干涉信息的波动信号。在信号处理过程中，首先需将电信号按照不同的延时时间进行分选，从而分离出各检波器对应的干涉脉冲。随后，对每个独立的干涉信号分别进行解调处理，最终提取出各检波器的相位信息。</w:t>
      </w:r>
    </w:p>
    <w:p w14:paraId="23AA26E7" w14:textId="77777777" w:rsidR="00192D35" w:rsidRDefault="005815D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drawing>
          <wp:inline distT="0" distB="0" distL="114300" distR="114300">
            <wp:extent cx="2520315" cy="2100580"/>
            <wp:effectExtent l="0" t="0" r="13335" b="0"/>
            <wp:docPr id="29" name="图片 29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0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33529" w14:textId="77777777" w:rsidR="00192D35" w:rsidRDefault="005815D7">
      <w:pPr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>
        <w:rPr>
          <w:rFonts w:ascii="Times New Roman" w:eastAsia="宋体" w:hAnsi="Times New Roman" w:cs="Times New Roman" w:hint="eastAsia"/>
          <w:b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3 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检波器阵列返回的光脉冲序列示意图</w:t>
      </w:r>
    </w:p>
    <w:p w14:paraId="7D3B4D4B" w14:textId="77777777" w:rsidR="00192D35" w:rsidRDefault="00192D35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6711298F" w14:textId="77777777" w:rsidR="00192D35" w:rsidRDefault="005815D7">
      <w:pPr>
        <w:outlineLvl w:val="0"/>
        <w:rPr>
          <w:rFonts w:ascii="Times New Roman" w:eastAsia="宋体" w:hAnsi="Times New Roman" w:cs="Times New Roman"/>
          <w:b/>
          <w:sz w:val="24"/>
        </w:rPr>
      </w:pPr>
      <w:r>
        <w:rPr>
          <w:rFonts w:ascii="Times New Roman" w:eastAsia="宋体" w:hAnsi="Times New Roman" w:cs="Times New Roman" w:hint="eastAsia"/>
          <w:b/>
          <w:sz w:val="24"/>
        </w:rPr>
        <w:t xml:space="preserve">2  </w:t>
      </w:r>
      <w:r>
        <w:rPr>
          <w:rFonts w:ascii="Times New Roman" w:eastAsia="宋体" w:hAnsi="Times New Roman" w:cs="Times New Roman" w:hint="eastAsia"/>
          <w:b/>
          <w:sz w:val="24"/>
        </w:rPr>
        <w:t>延时参数测量</w:t>
      </w:r>
    </w:p>
    <w:p w14:paraId="187441C5" w14:textId="77777777" w:rsidR="00192D35" w:rsidRDefault="005815D7">
      <w:pPr>
        <w:pStyle w:val="ds-markdown-paragraph"/>
        <w:shd w:val="clear" w:color="auto" w:fill="FFFFFF"/>
        <w:ind w:firstLine="420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Segoe UI" w:hAnsi="Segoe UI" w:cs="Segoe UI"/>
          <w:color w:val="404040"/>
          <w:sz w:val="21"/>
          <w:szCs w:val="21"/>
        </w:rPr>
        <w:t>在解时分复用脉冲序列时，首先需精确测量光脉冲序列的延时参数</w:t>
      </w:r>
      <w:r>
        <w:rPr>
          <w:rFonts w:ascii="Segoe UI" w:hAnsi="Segoe UI" w:cs="Segoe UI"/>
          <w:color w:val="404040"/>
          <w:sz w:val="21"/>
          <w:szCs w:val="21"/>
        </w:rPr>
        <w:t>[19]</w:t>
      </w:r>
      <w:r>
        <w:rPr>
          <w:rFonts w:ascii="Segoe UI" w:hAnsi="Segoe UI" w:cs="Segoe UI"/>
          <w:color w:val="404040"/>
          <w:sz w:val="21"/>
          <w:szCs w:val="21"/>
        </w:rPr>
        <w:t>，即图</w:t>
      </w:r>
      <w:r>
        <w:rPr>
          <w:rFonts w:ascii="Segoe UI" w:hAnsi="Segoe UI" w:cs="Segoe UI"/>
          <w:color w:val="404040"/>
          <w:sz w:val="21"/>
          <w:szCs w:val="21"/>
        </w:rPr>
        <w:t>4</w:t>
      </w:r>
      <w:r>
        <w:rPr>
          <w:rFonts w:ascii="Segoe UI" w:hAnsi="Segoe UI" w:cs="Segoe UI"/>
          <w:color w:val="404040"/>
          <w:sz w:val="21"/>
          <w:szCs w:val="21"/>
        </w:rPr>
        <w:t>中各相邻干涉脉冲的时间间隔</w:t>
      </w:r>
      <w:r>
        <w:rPr>
          <w:rFonts w:ascii="Times New Roman" w:hAnsi="Times New Roman" w:cs="Times New Roman" w:hint="eastAsia"/>
          <w:i/>
          <w:iCs/>
          <w:szCs w:val="21"/>
        </w:rPr>
        <w:t>q</w:t>
      </w:r>
      <w:r>
        <w:rPr>
          <w:rFonts w:ascii="Times New Roman" w:hAnsi="Times New Roman" w:cs="Times New Roman" w:hint="eastAsia"/>
          <w:szCs w:val="21"/>
          <w:vertAlign w:val="subscript"/>
        </w:rPr>
        <w:t>0</w:t>
      </w:r>
      <w:r>
        <w:rPr>
          <w:rFonts w:ascii="Times New Roman" w:hAnsi="Times New Roman" w:cs="Times New Roman" w:hint="eastAsia"/>
          <w:szCs w:val="21"/>
        </w:rPr>
        <w:t>~</w:t>
      </w:r>
      <w:r>
        <w:rPr>
          <w:rFonts w:ascii="Times New Roman" w:hAnsi="Times New Roman" w:cs="Times New Roman" w:hint="eastAsia"/>
          <w:i/>
          <w:iCs/>
          <w:szCs w:val="21"/>
        </w:rPr>
        <w:t>q</w:t>
      </w:r>
      <w:r>
        <w:rPr>
          <w:rFonts w:ascii="Times New Roman" w:hAnsi="Times New Roman" w:cs="Times New Roman" w:hint="eastAsia"/>
          <w:szCs w:val="21"/>
          <w:vertAlign w:val="subscript"/>
        </w:rPr>
        <w:t>N-1</w:t>
      </w:r>
      <w:r>
        <w:rPr>
          <w:rFonts w:ascii="Segoe UI" w:hAnsi="Segoe UI" w:cs="Segoe UI"/>
          <w:color w:val="404040"/>
          <w:sz w:val="21"/>
          <w:szCs w:val="21"/>
        </w:rPr>
        <w:t>。这些延时参数作为各检波器在光脉冲序列中的位置标识，其测量精度直接影响解时分操作的准确性。传统方法采用人工测定方式获取延时参数，但由于干涉信号强度存在随机涨落特性，操作时需筛选合适的信号片段进行测量。这种方法不仅效率较低、操作流程繁琐，而且容易受到脉冲序列中噪声的干扰，导致参数提取出现偏差。</w:t>
      </w:r>
    </w:p>
    <w:p w14:paraId="3F0BEED8" w14:textId="77777777" w:rsidR="00192D35" w:rsidRDefault="005815D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drawing>
          <wp:inline distT="0" distB="0" distL="114300" distR="114300">
            <wp:extent cx="2520315" cy="1118870"/>
            <wp:effectExtent l="0" t="0" r="13335" b="5080"/>
            <wp:docPr id="5" name="图片 5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6AADC" w14:textId="77777777" w:rsidR="00192D35" w:rsidRDefault="005815D7">
      <w:pPr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>
        <w:rPr>
          <w:rFonts w:ascii="Times New Roman" w:eastAsia="宋体" w:hAnsi="Times New Roman" w:cs="Times New Roman" w:hint="eastAsia"/>
          <w:b/>
          <w:sz w:val="15"/>
          <w:szCs w:val="15"/>
        </w:rPr>
        <w:lastRenderedPageBreak/>
        <w:t>图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4 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解时分过程示意图</w:t>
      </w:r>
    </w:p>
    <w:p w14:paraId="1165A453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本文提出一种基于信号方差特征的延时参数自动提取方法，利用干涉信号方差显著高于噪声方差的特点</w:t>
      </w:r>
      <w:r>
        <w:rPr>
          <w:rFonts w:ascii="Times New Roman" w:hAnsi="Times New Roman" w:cs="Times New Roman" w:hint="eastAsia"/>
          <w:szCs w:val="21"/>
        </w:rPr>
        <w:t>[20]</w:t>
      </w:r>
      <w:r>
        <w:rPr>
          <w:rFonts w:ascii="Times New Roman" w:hAnsi="Times New Roman" w:cs="Times New Roman" w:hint="eastAsia"/>
          <w:szCs w:val="21"/>
        </w:rPr>
        <w:t>，通过方差分析和脉冲模板匹配实现检波器位置的精确识别</w:t>
      </w:r>
      <w:r>
        <w:rPr>
          <w:rFonts w:ascii="Times New Roman" w:hAnsi="Times New Roman" w:cs="Times New Roman" w:hint="eastAsia"/>
          <w:szCs w:val="21"/>
        </w:rPr>
        <w:t>[21]</w:t>
      </w:r>
      <w:r>
        <w:rPr>
          <w:rFonts w:ascii="Times New Roman" w:hAnsi="Times New Roman" w:cs="Times New Roman" w:hint="eastAsia"/>
          <w:szCs w:val="21"/>
        </w:rPr>
        <w:t>。该方法的具体实施流程如下：</w:t>
      </w:r>
    </w:p>
    <w:p w14:paraId="035DB4EF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 w:hint="eastAsia"/>
          <w:szCs w:val="21"/>
        </w:rPr>
        <w:t>）基准脉冲定位：系统通过引入高幅值定位脉冲作为时间基准，该脉冲与脉冲发生器的触发信号同步。在原始信号中，定位脉冲的幅值显著高于光脉冲序列，采用峰值检测算法即可准确识别首个定位脉冲的位置。</w:t>
      </w:r>
    </w:p>
    <w:p w14:paraId="3CF2F1D1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2</w:t>
      </w:r>
      <w:r>
        <w:rPr>
          <w:rFonts w:ascii="Times New Roman" w:hAnsi="Times New Roman" w:cs="Times New Roman" w:hint="eastAsia"/>
          <w:szCs w:val="21"/>
        </w:rPr>
        <w:t>）数据矩阵构建：以首个定位脉冲为基准，按照已知的重复周期</w:t>
      </w:r>
      <w:r>
        <w:rPr>
          <w:rFonts w:ascii="Times New Roman" w:hAnsi="Times New Roman" w:cs="Times New Roman"/>
          <w:i/>
          <w:iCs/>
          <w:szCs w:val="21"/>
        </w:rPr>
        <w:t>T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rep</w:t>
      </w:r>
      <w:r>
        <w:rPr>
          <w:rFonts w:ascii="Times New Roman" w:hAnsi="Times New Roman" w:cs="Times New Roman"/>
          <w:szCs w:val="21"/>
        </w:rPr>
        <w:t>（</w:t>
      </w:r>
      <w:r>
        <w:rPr>
          <w:rFonts w:ascii="Times New Roman" w:hAnsi="Times New Roman" w:cs="Times New Roman"/>
          <w:i/>
          <w:iCs/>
          <w:szCs w:val="21"/>
        </w:rPr>
        <w:t>T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rep</w:t>
      </w:r>
      <w:r>
        <w:rPr>
          <w:rFonts w:ascii="Times New Roman" w:hAnsi="Times New Roman" w:cs="Times New Roman"/>
          <w:szCs w:val="21"/>
        </w:rPr>
        <w:t>=1/</w:t>
      </w:r>
      <w:r>
        <w:rPr>
          <w:rFonts w:ascii="Times New Roman" w:hAnsi="Times New Roman" w:cs="Times New Roman"/>
          <w:i/>
          <w:iCs/>
          <w:szCs w:val="21"/>
        </w:rPr>
        <w:t>f</w:t>
      </w:r>
      <w:r>
        <w:rPr>
          <w:rFonts w:ascii="Times New Roman" w:hAnsi="Times New Roman" w:cs="Times New Roman"/>
          <w:i/>
          <w:iCs/>
          <w:szCs w:val="21"/>
          <w:vertAlign w:val="subscript"/>
        </w:rPr>
        <w:t>rep</w:t>
      </w:r>
      <w:r>
        <w:rPr>
          <w:rFonts w:ascii="Times New Roman" w:hAnsi="Times New Roman" w:cs="Times New Roman"/>
          <w:szCs w:val="21"/>
        </w:rPr>
        <w:t>）</w:t>
      </w:r>
      <w:r>
        <w:rPr>
          <w:rFonts w:ascii="Times New Roman" w:hAnsi="Times New Roman" w:cs="Times New Roman" w:hint="eastAsia"/>
          <w:szCs w:val="21"/>
        </w:rPr>
        <w:t>将原始信号划分为</w:t>
      </w:r>
      <w:r>
        <w:rPr>
          <w:rFonts w:ascii="Times New Roman" w:hAnsi="Times New Roman" w:cs="Times New Roman" w:hint="eastAsia"/>
          <w:i/>
          <w:szCs w:val="21"/>
        </w:rPr>
        <w:t>m</w:t>
      </w:r>
      <w:r>
        <w:rPr>
          <w:rFonts w:ascii="Times New Roman" w:hAnsi="Times New Roman" w:cs="Times New Roman" w:hint="eastAsia"/>
          <w:szCs w:val="21"/>
        </w:rPr>
        <w:t>×</w:t>
      </w:r>
      <w:r>
        <w:rPr>
          <w:rFonts w:ascii="Times New Roman" w:hAnsi="Times New Roman" w:cs="Times New Roman" w:hint="eastAsia"/>
          <w:i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维数据矩阵</w:t>
      </w:r>
      <w:r>
        <w:rPr>
          <w:rFonts w:ascii="Times New Roman" w:hAnsi="Times New Roman" w:cs="Times New Roman" w:hint="eastAsia"/>
          <w:b/>
          <w:i/>
          <w:szCs w:val="21"/>
        </w:rPr>
        <w:t>A</w:t>
      </w:r>
      <w:r>
        <w:rPr>
          <w:rFonts w:ascii="Times New Roman" w:hAnsi="Times New Roman" w:cs="Times New Roman" w:hint="eastAsia"/>
          <w:szCs w:val="21"/>
        </w:rPr>
        <w:t>。其中</w:t>
      </w:r>
      <w:r>
        <w:rPr>
          <w:rFonts w:ascii="Times New Roman" w:hAnsi="Times New Roman" w:cs="Times New Roman" w:hint="eastAsia"/>
          <w:i/>
          <w:szCs w:val="21"/>
        </w:rPr>
        <w:t>m</w:t>
      </w:r>
      <w:r>
        <w:rPr>
          <w:rFonts w:ascii="Times New Roman" w:hAnsi="Times New Roman" w:cs="Times New Roman" w:hint="eastAsia"/>
          <w:szCs w:val="21"/>
        </w:rPr>
        <w:t>表示单个周期内的采样点数，</w:t>
      </w:r>
      <w:r>
        <w:rPr>
          <w:rFonts w:ascii="Times New Roman" w:hAnsi="Times New Roman" w:cs="Times New Roman" w:hint="eastAsia"/>
          <w:i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为周期总数（建议</w:t>
      </w:r>
      <w:r>
        <w:rPr>
          <w:rFonts w:ascii="Times New Roman" w:hAnsi="Times New Roman" w:cs="Times New Roman" w:hint="eastAsia"/>
          <w:i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≥</w:t>
      </w:r>
      <w:r>
        <w:rPr>
          <w:rFonts w:ascii="Times New Roman" w:hAnsi="Times New Roman" w:cs="Times New Roman" w:hint="eastAsia"/>
          <w:szCs w:val="21"/>
        </w:rPr>
        <w:t>20</w:t>
      </w:r>
      <w:r>
        <w:rPr>
          <w:rFonts w:ascii="Times New Roman" w:hAnsi="Times New Roman" w:cs="Times New Roman" w:hint="eastAsia"/>
          <w:szCs w:val="21"/>
        </w:rPr>
        <w:t>以保证统计可靠性）。矩阵的行向量</w:t>
      </w:r>
      <w:r>
        <w:rPr>
          <w:rFonts w:ascii="Times New Roman" w:hAnsi="Times New Roman" w:cs="Times New Roman" w:hint="eastAsia"/>
          <w:b/>
          <w:i/>
          <w:szCs w:val="21"/>
        </w:rPr>
        <w:t>a</w:t>
      </w:r>
      <w:r>
        <w:rPr>
          <w:rFonts w:ascii="Times New Roman" w:hAnsi="Times New Roman" w:cs="Times New Roman" w:hint="eastAsia"/>
          <w:i/>
          <w:szCs w:val="21"/>
          <w:vertAlign w:val="subscript"/>
        </w:rPr>
        <w:t>i</w:t>
      </w: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i/>
          <w:szCs w:val="21"/>
        </w:rPr>
        <w:t>i</w:t>
      </w:r>
      <w:r>
        <w:rPr>
          <w:rFonts w:ascii="Times New Roman" w:hAnsi="Times New Roman" w:cs="Times New Roman" w:hint="eastAsia"/>
          <w:szCs w:val="21"/>
        </w:rPr>
        <w:t>=0</w:t>
      </w:r>
      <w:r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Ansi="Times New Roman" w:cs="Times New Roman" w:hint="eastAsia"/>
          <w:szCs w:val="21"/>
        </w:rPr>
        <w:t>...</w:t>
      </w:r>
      <w:r>
        <w:rPr>
          <w:rFonts w:ascii="Times New Roman" w:hAnsi="Times New Roman" w:cs="Times New Roman" w:hint="eastAsia"/>
          <w:szCs w:val="21"/>
        </w:rPr>
        <w:t>，</w:t>
      </w:r>
      <w:r>
        <w:rPr>
          <w:rFonts w:ascii="Times New Roman" w:hAnsi="Times New Roman" w:cs="Times New Roman" w:hint="eastAsia"/>
          <w:i/>
          <w:szCs w:val="21"/>
        </w:rPr>
        <w:t>m</w:t>
      </w:r>
      <w:r>
        <w:rPr>
          <w:rFonts w:ascii="Times New Roman" w:hAnsi="Times New Roman" w:cs="Times New Roman" w:hint="eastAsia"/>
          <w:szCs w:val="21"/>
        </w:rPr>
        <w:t>-1</w:t>
      </w:r>
      <w:r>
        <w:rPr>
          <w:rFonts w:ascii="Times New Roman" w:hAnsi="Times New Roman" w:cs="Times New Roman" w:hint="eastAsia"/>
          <w:szCs w:val="21"/>
        </w:rPr>
        <w:t>）表示各周期内相同时间位置的信号采样值。</w:t>
      </w:r>
    </w:p>
    <w:p w14:paraId="4F33B338" w14:textId="21F96E39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3</w:t>
      </w:r>
      <w:r>
        <w:rPr>
          <w:rFonts w:ascii="Times New Roman" w:hAnsi="Times New Roman" w:cs="Times New Roman" w:hint="eastAsia"/>
          <w:szCs w:val="21"/>
        </w:rPr>
        <w:t>）方差特征提取：计算各行的方差值，构建方差向量</w:t>
      </w:r>
      <w:r>
        <w:rPr>
          <w:rFonts w:ascii="Times New Roman" w:hAnsi="Times New Roman" w:cs="Times New Roman" w:hint="eastAsia"/>
          <w:b/>
          <w:i/>
          <w:szCs w:val="21"/>
        </w:rPr>
        <w:t>c</w:t>
      </w:r>
      <w:r>
        <w:rPr>
          <w:rFonts w:ascii="Times New Roman" w:hAnsi="Times New Roman" w:cs="Times New Roman" w:hint="eastAsia"/>
          <w:szCs w:val="21"/>
        </w:rPr>
        <w:t>，其元素</w:t>
      </w:r>
      <w:r>
        <w:rPr>
          <w:rFonts w:ascii="Times New Roman" w:hAnsi="Times New Roman" w:cs="Times New Roman" w:hint="eastAsia"/>
          <w:i/>
          <w:szCs w:val="21"/>
        </w:rPr>
        <w:t>c</w:t>
      </w:r>
      <w:r>
        <w:rPr>
          <w:rFonts w:ascii="Times New Roman" w:hAnsi="Times New Roman" w:cs="Times New Roman" w:hint="eastAsia"/>
          <w:i/>
          <w:szCs w:val="21"/>
          <w:vertAlign w:val="subscript"/>
        </w:rPr>
        <w:t>i</w:t>
      </w:r>
      <w:r>
        <w:rPr>
          <w:rFonts w:ascii="Times New Roman" w:hAnsi="Times New Roman" w:cs="Times New Roman" w:hint="eastAsia"/>
          <w:szCs w:val="21"/>
        </w:rPr>
        <w:t>=</w:t>
      </w:r>
      <w:r w:rsidR="00424B2D" w:rsidRPr="00424B2D">
        <w:rPr>
          <w:rFonts w:ascii="Times New Roman" w:hAnsi="Times New Roman" w:cs="Times New Roman"/>
          <w:i/>
          <w:szCs w:val="21"/>
        </w:rPr>
        <w:t>V</w:t>
      </w:r>
      <w:r>
        <w:rPr>
          <w:rFonts w:ascii="Times New Roman" w:hAnsi="Times New Roman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b/>
          <w:i/>
          <w:szCs w:val="21"/>
        </w:rPr>
        <w:t>a</w:t>
      </w:r>
      <w:r>
        <w:rPr>
          <w:rFonts w:ascii="Times New Roman" w:hAnsi="Times New Roman" w:cs="Times New Roman" w:hint="eastAsia"/>
          <w:i/>
          <w:szCs w:val="21"/>
          <w:vertAlign w:val="subscript"/>
        </w:rPr>
        <w:t>i</w:t>
      </w:r>
      <w:r>
        <w:rPr>
          <w:rFonts w:ascii="Times New Roman" w:hAnsi="Times New Roman" w:cs="Times New Roman" w:hint="eastAsia"/>
          <w:szCs w:val="21"/>
        </w:rPr>
        <w:t>）。</w:t>
      </w:r>
      <w:r w:rsidR="00424B2D">
        <w:rPr>
          <w:rFonts w:ascii="Times New Roman" w:hAnsi="Times New Roman" w:cs="Times New Roman" w:hint="eastAsia"/>
          <w:szCs w:val="21"/>
        </w:rPr>
        <w:t>其中，</w:t>
      </w:r>
      <w:r w:rsidR="00424B2D" w:rsidRPr="00424B2D">
        <w:rPr>
          <w:rFonts w:ascii="Times New Roman" w:hAnsi="Times New Roman" w:cs="Times New Roman"/>
          <w:i/>
          <w:szCs w:val="21"/>
        </w:rPr>
        <w:t>V</w:t>
      </w:r>
      <w:r w:rsidR="00424B2D">
        <w:rPr>
          <w:rFonts w:ascii="Times New Roman" w:hAnsi="Times New Roman" w:cs="Times New Roman" w:hint="eastAsia"/>
          <w:szCs w:val="21"/>
        </w:rPr>
        <w:t>（</w:t>
      </w:r>
      <w:r w:rsidR="00424B2D" w:rsidRPr="00424B2D">
        <w:rPr>
          <w:rFonts w:ascii="Times New Roman" w:hAnsi="Times New Roman" w:cs="Times New Roman" w:hint="eastAsia"/>
          <w:szCs w:val="21"/>
        </w:rPr>
        <w:t>·</w:t>
      </w:r>
      <w:r w:rsidR="00424B2D">
        <w:rPr>
          <w:rFonts w:ascii="Times New Roman" w:hAnsi="Times New Roman" w:cs="Times New Roman" w:hint="eastAsia"/>
          <w:szCs w:val="21"/>
        </w:rPr>
        <w:t>）</w:t>
      </w:r>
      <w:r w:rsidR="00424B2D">
        <w:rPr>
          <w:rFonts w:ascii="Times New Roman" w:hAnsi="Times New Roman" w:cs="Times New Roman" w:hint="eastAsia"/>
          <w:szCs w:val="21"/>
        </w:rPr>
        <w:t>表示</w:t>
      </w:r>
      <w:r w:rsidR="00424B2D">
        <w:rPr>
          <w:rFonts w:ascii="Times New Roman" w:hAnsi="Times New Roman" w:cs="Times New Roman"/>
          <w:szCs w:val="21"/>
        </w:rPr>
        <w:t>方差。</w:t>
      </w:r>
      <w:r>
        <w:rPr>
          <w:rFonts w:ascii="Times New Roman" w:hAnsi="Times New Roman" w:cs="Times New Roman" w:hint="eastAsia"/>
          <w:szCs w:val="21"/>
        </w:rPr>
        <w:t>该向量反映了信号在时间轴上的能量分布特征。</w:t>
      </w:r>
    </w:p>
    <w:p w14:paraId="02BAB6DC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4</w:t>
      </w:r>
      <w:r>
        <w:rPr>
          <w:rFonts w:ascii="Times New Roman" w:hAnsi="Times New Roman" w:cs="Times New Roman" w:hint="eastAsia"/>
          <w:szCs w:val="21"/>
        </w:rPr>
        <w:t>）脉冲模板匹配：</w:t>
      </w:r>
      <w:r>
        <w:rPr>
          <w:rFonts w:ascii="Segoe UI" w:hAnsi="Segoe UI" w:cs="Segoe UI"/>
          <w:color w:val="404040"/>
          <w:shd w:val="clear" w:color="auto" w:fill="FFFFFF"/>
        </w:rPr>
        <w:t>基于光脉冲的时域特性构建数字模板函数</w:t>
      </w:r>
      <w:r>
        <w:rPr>
          <w:rFonts w:ascii="Times New Roman" w:hAnsi="Times New Roman" w:cs="Times New Roman" w:hint="eastAsia"/>
          <w:i/>
          <w:szCs w:val="21"/>
        </w:rPr>
        <w:t>h</w:t>
      </w:r>
      <w:r>
        <w:rPr>
          <w:rFonts w:ascii="Times New Roman" w:hAnsi="Times New Roman" w:cs="Times New Roman"/>
          <w:szCs w:val="21"/>
        </w:rPr>
        <w:t>。</w:t>
      </w:r>
      <w:r>
        <w:rPr>
          <w:rFonts w:ascii="Times New Roman" w:hAnsi="Times New Roman" w:cs="Times New Roman" w:hint="eastAsia"/>
          <w:i/>
          <w:szCs w:val="21"/>
        </w:rPr>
        <w:t>h</w:t>
      </w:r>
      <w:r>
        <w:rPr>
          <w:rFonts w:ascii="Times New Roman" w:hAnsi="Times New Roman" w:cs="Times New Roman"/>
          <w:szCs w:val="21"/>
        </w:rPr>
        <w:t>中元素</w:t>
      </w:r>
      <w:r>
        <w:rPr>
          <w:rFonts w:ascii="Times New Roman" w:hAnsi="Times New Roman" w:cs="Times New Roman" w:hint="eastAsia"/>
          <w:i/>
          <w:iCs/>
          <w:szCs w:val="21"/>
        </w:rPr>
        <w:t>h</w:t>
      </w:r>
      <w:r>
        <w:rPr>
          <w:rFonts w:ascii="Times New Roman" w:hAnsi="Times New Roman" w:cs="Times New Roman" w:hint="eastAsia"/>
          <w:i/>
          <w:iCs/>
          <w:szCs w:val="21"/>
          <w:vertAlign w:val="subscript"/>
        </w:rPr>
        <w:t>l</w:t>
      </w:r>
      <w:r>
        <w:rPr>
          <w:rFonts w:ascii="Times New Roman" w:hAnsi="Times New Roman" w:cs="Times New Roman"/>
          <w:szCs w:val="21"/>
        </w:rPr>
        <w:t>具有以下的表达式：</w:t>
      </w:r>
    </w:p>
    <w:p w14:paraId="5005C86C" w14:textId="77777777" w:rsidR="00192D35" w:rsidRDefault="005815D7">
      <w:pPr>
        <w:spacing w:line="360" w:lineRule="auto"/>
        <w:ind w:firstLineChars="200" w:firstLine="480"/>
        <w:jc w:val="right"/>
        <w:rPr>
          <w:rFonts w:ascii="Times New Roman" w:hAnsi="Times New Roman" w:cs="Times New Roman"/>
          <w:sz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h</m:t>
            </m:r>
          </m:e>
          <m:sub>
            <m:r>
              <w:rPr>
                <w:rFonts w:ascii="Cambria Math" w:hAnsi="Cambria Math" w:cs="Times New Roman"/>
                <w:sz w:val="24"/>
              </w:rPr>
              <m:t>l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sz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sz w:val="24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</w:rPr>
                        <m:t>l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r</m:t>
                          </m:r>
                        </m:sub>
                      </m:sSub>
                    </m:den>
                  </m:f>
                </m: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0≤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l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&lt;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r</m:t>
                          </m:r>
                        </m:sub>
                      </m:sSub>
                    </m:e>
                  </m:d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</w:rPr>
                    <m:t>1</m:t>
                  </m:r>
                </m: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r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</w:rPr>
                        <m:t>≤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l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&lt;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T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f</m:t>
                          </m:r>
                        </m:sub>
                      </m:sSub>
                    </m:e>
                  </m:d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</w:rPr>
                        <m:t>T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l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f</m:t>
                          </m:r>
                        </m:sub>
                      </m:sSub>
                    </m:den>
                  </m:f>
                </m: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T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f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</w:rPr>
                        <m:t>≤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l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≤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T</m:t>
                      </m:r>
                    </m:e>
                  </m:d>
                </m:e>
              </m:mr>
            </m:m>
          </m:e>
        </m:d>
      </m:oMath>
      <w:r>
        <w:rPr>
          <w:rFonts w:hAnsi="Cambria Math" w:cs="Times New Roman" w:hint="eastAsia"/>
          <w:sz w:val="24"/>
        </w:rPr>
        <w:t xml:space="preserve">                  </w:t>
      </w:r>
      <w:r>
        <w:rPr>
          <w:rFonts w:hAnsi="Cambria Math" w:cs="Times New Roman" w:hint="eastAsia"/>
          <w:szCs w:val="21"/>
        </w:rPr>
        <w:t>（</w:t>
      </w:r>
      <w:r>
        <w:rPr>
          <w:rFonts w:ascii="Times New Roman" w:hAnsi="Times New Roman" w:cs="Times New Roman"/>
          <w:szCs w:val="21"/>
        </w:rPr>
        <w:t>1</w:t>
      </w:r>
      <w:r>
        <w:rPr>
          <w:rFonts w:hAnsi="Cambria Math" w:cs="Times New Roman" w:hint="eastAsia"/>
          <w:szCs w:val="21"/>
        </w:rPr>
        <w:t>）</w:t>
      </w:r>
    </w:p>
    <w:p w14:paraId="0AB605A3" w14:textId="77777777" w:rsidR="00192D35" w:rsidRDefault="005815D7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其中，</w:t>
      </w:r>
      <w:r>
        <w:rPr>
          <w:rFonts w:ascii="Times New Roman" w:hAnsi="Times New Roman" w:cs="Times New Roman" w:hint="eastAsia"/>
          <w:i/>
          <w:szCs w:val="21"/>
        </w:rPr>
        <w:t>T</w:t>
      </w:r>
      <w:r>
        <w:rPr>
          <w:rFonts w:ascii="Times New Roman" w:hAnsi="Times New Roman" w:cs="Times New Roman" w:hint="eastAsia"/>
          <w:szCs w:val="21"/>
        </w:rPr>
        <w:t>、</w:t>
      </w:r>
      <w:r>
        <w:rPr>
          <w:rFonts w:ascii="Times New Roman" w:hAnsi="Times New Roman" w:cs="Times New Roman" w:hint="eastAsia"/>
          <w:i/>
          <w:szCs w:val="21"/>
        </w:rPr>
        <w:t>T</w:t>
      </w:r>
      <w:r>
        <w:rPr>
          <w:rFonts w:ascii="Times New Roman" w:hAnsi="Times New Roman" w:cs="Times New Roman" w:hint="eastAsia"/>
          <w:szCs w:val="21"/>
          <w:vertAlign w:val="subscript"/>
        </w:rPr>
        <w:t>r</w:t>
      </w:r>
      <w:r>
        <w:rPr>
          <w:rFonts w:ascii="Times New Roman" w:hAnsi="Times New Roman" w:cs="Times New Roman" w:hint="eastAsia"/>
          <w:szCs w:val="21"/>
        </w:rPr>
        <w:t>、</w:t>
      </w:r>
      <w:r>
        <w:rPr>
          <w:rFonts w:ascii="Times New Roman" w:hAnsi="Times New Roman" w:cs="Times New Roman" w:hint="eastAsia"/>
          <w:i/>
          <w:szCs w:val="21"/>
        </w:rPr>
        <w:t>T</w:t>
      </w:r>
      <w:r>
        <w:rPr>
          <w:rFonts w:ascii="Times New Roman" w:hAnsi="Times New Roman" w:cs="Times New Roman" w:hint="eastAsia"/>
          <w:szCs w:val="21"/>
          <w:vertAlign w:val="subscript"/>
        </w:rPr>
        <w:t>f</w:t>
      </w:r>
      <w:r>
        <w:rPr>
          <w:rFonts w:ascii="Times New Roman" w:hAnsi="Times New Roman" w:cs="Times New Roman" w:hint="eastAsia"/>
          <w:szCs w:val="21"/>
        </w:rPr>
        <w:t>分别对应脉冲宽度、上升时间和下降时间的离散化值。</w:t>
      </w:r>
    </w:p>
    <w:p w14:paraId="040301CE" w14:textId="77777777" w:rsidR="00192D35" w:rsidRDefault="005815D7">
      <w:pPr>
        <w:ind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5</w:t>
      </w:r>
      <w:r>
        <w:rPr>
          <w:rFonts w:ascii="Times New Roman" w:hAnsi="Times New Roman" w:cs="Times New Roman" w:hint="eastAsia"/>
          <w:szCs w:val="21"/>
        </w:rPr>
        <w:t>）相关运算处理：通过滑动相关计算得到匹配度向量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</w:rPr>
              <m:t>i</m:t>
            </m:r>
          </m:sub>
        </m:sSub>
      </m:oMath>
      <w:r>
        <w:rPr>
          <w:rFonts w:ascii="Times New Roman" w:hAnsi="Times New Roman" w:cs="Times New Roman"/>
          <w:szCs w:val="21"/>
        </w:rPr>
        <w:t>，其表达式为</w:t>
      </w:r>
    </w:p>
    <w:p w14:paraId="46365B20" w14:textId="77777777" w:rsidR="00192D35" w:rsidRDefault="005815D7">
      <w:pPr>
        <w:spacing w:line="360" w:lineRule="auto"/>
        <w:jc w:val="right"/>
        <w:rPr>
          <w:rFonts w:ascii="Times New Roman" w:hAnsi="Times New Roman" w:cs="Times New Roman"/>
          <w:szCs w:val="21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</w:rPr>
              <m:t>l</m:t>
            </m:r>
            <m:r>
              <w:rPr>
                <w:rFonts w:ascii="Cambria Math" w:hAnsi="Cambria Math" w:cs="Times New Roman"/>
                <w:sz w:val="24"/>
              </w:rPr>
              <m:t>=0</m:t>
            </m:r>
          </m:sub>
          <m:sup>
            <m:r>
              <w:rPr>
                <w:rFonts w:ascii="Cambria Math" w:hAnsi="Cambria Math" w:cs="Times New Roman"/>
                <w:sz w:val="24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c</m:t>
                </m:r>
              </m:e>
              <m:sub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i</m:t>
                    </m:r>
                    <m:r>
                      <w:rPr>
                        <w:rFonts w:ascii="Cambria Math" w:hAnsi="Cambria Math" w:cs="Times New Roman"/>
                        <w:sz w:val="24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sz w:val="24"/>
                      </w:rPr>
                      <m:t>l</m:t>
                    </m:r>
                  </m:e>
                </m:d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4"/>
                  </w:rPr>
                  <m:t>l</m:t>
                </m:r>
              </m:sub>
            </m:sSub>
          </m:e>
        </m:nary>
      </m:oMath>
      <w:r>
        <w:rPr>
          <w:rFonts w:hAnsi="Cambria Math" w:cs="Times New Roman" w:hint="eastAsia"/>
          <w:sz w:val="24"/>
        </w:rPr>
        <w:t xml:space="preserve">                      </w:t>
      </w:r>
      <w:r>
        <w:rPr>
          <w:rFonts w:hAnsi="Cambria Math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2</w:t>
      </w:r>
      <w:r>
        <w:rPr>
          <w:rFonts w:hAnsi="Cambria Math" w:cs="Times New Roman" w:hint="eastAsia"/>
          <w:szCs w:val="21"/>
        </w:rPr>
        <w:t>）</w:t>
      </w:r>
    </w:p>
    <w:p w14:paraId="2832DF7A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 w:hint="eastAsia"/>
          <w:szCs w:val="21"/>
        </w:rPr>
        <w:t>）特征峰值检测：识别匹配度向量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</w:rPr>
              <m:t>i</m:t>
            </m:r>
          </m:sub>
        </m:sSub>
      </m:oMath>
      <w:r>
        <w:rPr>
          <w:rFonts w:ascii="Times New Roman" w:hAnsi="Times New Roman" w:cs="Times New Roman" w:hint="eastAsia"/>
          <w:szCs w:val="21"/>
        </w:rPr>
        <w:t>中前</w:t>
      </w:r>
      <w:r>
        <w:rPr>
          <w:rFonts w:ascii="Times New Roman" w:hAnsi="Times New Roman" w:cs="Times New Roman" w:hint="eastAsia"/>
          <w:i/>
          <w:szCs w:val="21"/>
        </w:rPr>
        <w:t>N</w:t>
      </w:r>
      <w:r>
        <w:rPr>
          <w:rFonts w:ascii="Times New Roman" w:hAnsi="Times New Roman" w:cs="Times New Roman" w:hint="eastAsia"/>
          <w:szCs w:val="21"/>
        </w:rPr>
        <w:t>个显著极大值点，将其索引按升序排列为位置向量</w:t>
      </w:r>
      <w:r>
        <w:rPr>
          <w:rFonts w:ascii="Times New Roman" w:hAnsi="Times New Roman" w:cs="Times New Roman" w:hint="eastAsia"/>
          <w:b/>
          <w:i/>
          <w:szCs w:val="21"/>
        </w:rPr>
        <w:t>p</w:t>
      </w:r>
      <w:r>
        <w:rPr>
          <w:rFonts w:ascii="Times New Roman" w:hAnsi="Times New Roman" w:cs="Times New Roman" w:hint="eastAsia"/>
          <w:szCs w:val="21"/>
        </w:rPr>
        <w:t>。</w:t>
      </w:r>
    </w:p>
    <w:p w14:paraId="654D0606" w14:textId="29E228D9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7</w:t>
      </w:r>
      <w:r>
        <w:rPr>
          <w:rFonts w:ascii="Times New Roman" w:hAnsi="Times New Roman" w:cs="Times New Roman"/>
          <w:szCs w:val="21"/>
        </w:rPr>
        <w:t>）</w:t>
      </w:r>
      <w:r>
        <w:rPr>
          <w:rFonts w:ascii="Times New Roman" w:hAnsi="Times New Roman" w:cs="Times New Roman" w:hint="eastAsia"/>
          <w:szCs w:val="21"/>
        </w:rPr>
        <w:t>延时参数计算：</w:t>
      </w:r>
      <w:r>
        <w:rPr>
          <w:rFonts w:ascii="Times New Roman" w:hAnsi="Times New Roman" w:cs="Times New Roman"/>
          <w:szCs w:val="21"/>
        </w:rPr>
        <w:t>对</w:t>
      </w:r>
      <w:r>
        <w:rPr>
          <w:rFonts w:ascii="Times New Roman" w:hAnsi="Times New Roman" w:cs="Times New Roman" w:hint="eastAsia"/>
          <w:b/>
          <w:i/>
          <w:szCs w:val="21"/>
        </w:rPr>
        <w:t>p</w:t>
      </w:r>
      <w:r>
        <w:rPr>
          <w:rFonts w:ascii="Times New Roman" w:hAnsi="Times New Roman" w:cs="Times New Roman"/>
          <w:szCs w:val="21"/>
        </w:rPr>
        <w:t>求差分，可得到</w:t>
      </w:r>
      <w:r>
        <w:rPr>
          <w:rFonts w:ascii="Times New Roman" w:hAnsi="Times New Roman" w:cs="Times New Roman"/>
          <w:i/>
          <w:iCs/>
          <w:szCs w:val="21"/>
        </w:rPr>
        <w:t>N</w:t>
      </w:r>
      <w:r>
        <w:rPr>
          <w:rFonts w:ascii="Times New Roman" w:hAnsi="Times New Roman" w:cs="Times New Roman"/>
          <w:szCs w:val="21"/>
        </w:rPr>
        <w:t>-1</w:t>
      </w:r>
      <w:r>
        <w:rPr>
          <w:rFonts w:ascii="Times New Roman" w:hAnsi="Times New Roman" w:cs="Times New Roman"/>
          <w:szCs w:val="21"/>
        </w:rPr>
        <w:t>个延时参数值，第一个延时参数</w:t>
      </w:r>
      <w:r>
        <w:rPr>
          <w:rFonts w:ascii="Times New Roman" w:hAnsi="Times New Roman" w:cs="Times New Roman" w:hint="eastAsia"/>
          <w:szCs w:val="21"/>
        </w:rPr>
        <w:t>为</w:t>
      </w:r>
      <w:r>
        <w:rPr>
          <w:rFonts w:ascii="Times New Roman" w:hAnsi="Times New Roman" w:cs="Times New Roman" w:hint="eastAsia"/>
          <w:i/>
          <w:iCs/>
          <w:szCs w:val="21"/>
        </w:rPr>
        <w:t>p</w:t>
      </w:r>
      <w:r>
        <w:rPr>
          <w:rFonts w:ascii="Times New Roman" w:hAnsi="Times New Roman" w:cs="Times New Roman" w:hint="eastAsia"/>
          <w:iCs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加上</w:t>
      </w:r>
      <w:r>
        <w:rPr>
          <w:rFonts w:ascii="Times New Roman" w:hAnsi="Times New Roman" w:cs="Times New Roman"/>
          <w:i/>
          <w:iCs/>
          <w:szCs w:val="21"/>
        </w:rPr>
        <w:t>T</w:t>
      </w:r>
      <w:r>
        <w:rPr>
          <w:rFonts w:ascii="Times New Roman" w:hAnsi="Times New Roman" w:cs="Times New Roman"/>
          <w:szCs w:val="21"/>
        </w:rPr>
        <w:t>/2</w:t>
      </w:r>
      <w:r>
        <w:rPr>
          <w:rFonts w:ascii="Times New Roman" w:hAnsi="Times New Roman" w:cs="Times New Roman"/>
          <w:szCs w:val="21"/>
        </w:rPr>
        <w:t>，则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</w:rPr>
              <m:t>k</m:t>
            </m:r>
          </m:sub>
        </m:sSub>
      </m:oMath>
      <w:r>
        <w:rPr>
          <w:rFonts w:ascii="Times New Roman" w:hAnsi="Times New Roman" w:cs="Times New Roman"/>
          <w:szCs w:val="21"/>
        </w:rPr>
        <w:t>的表达式为</w:t>
      </w:r>
    </w:p>
    <w:p w14:paraId="04072B5F" w14:textId="68D1A49A" w:rsidR="00192D35" w:rsidRDefault="005815D7">
      <w:pPr>
        <w:spacing w:line="360" w:lineRule="auto"/>
        <w:jc w:val="right"/>
        <w:rPr>
          <w:rFonts w:hAnsi="Cambria Math" w:cs="Times New Roman"/>
          <w:szCs w:val="21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</w:rPr>
              <m:t>k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sz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iCs/>
                    <w:sz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</w:rPr>
                    <m:t>R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</w:rPr>
                      </m:ctrlPr>
                    </m:dPr>
                    <m:e>
                      <m:f>
                        <m:fPr>
                          <m:type m:val="lin"/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T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</w:rPr>
                            <m:t>2</m:t>
                          </m:r>
                        </m:den>
                      </m:f>
                    </m:e>
                  </m:d>
                </m: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=0</m:t>
                      </m:r>
                    </m:e>
                  </m:d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</w:rPr>
                        <m:t>k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1</m:t>
                      </m:r>
                    </m:sub>
                  </m:sSub>
                </m: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</w:rPr>
                        <m:t>1≤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k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≤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  <w:sz w:val="24"/>
                        </w:rPr>
                        <m:t>1</m:t>
                      </m:r>
                    </m:e>
                  </m:d>
                </m:e>
              </m:mr>
            </m:m>
          </m:e>
        </m:d>
      </m:oMath>
      <w:r>
        <w:rPr>
          <w:rFonts w:hAnsi="Cambria Math" w:cs="Times New Roman" w:hint="eastAsia"/>
          <w:sz w:val="24"/>
        </w:rPr>
        <w:t xml:space="preserve">         </w:t>
      </w:r>
      <w:r>
        <w:rPr>
          <w:rFonts w:hAnsi="Cambria Math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3</w:t>
      </w:r>
      <w:r>
        <w:rPr>
          <w:rFonts w:hAnsi="Cambria Math" w:cs="Times New Roman" w:hint="eastAsia"/>
          <w:szCs w:val="21"/>
        </w:rPr>
        <w:t>）</w:t>
      </w:r>
    </w:p>
    <w:p w14:paraId="143759A8" w14:textId="15738CD3" w:rsidR="00192D35" w:rsidRDefault="00424B2D" w:rsidP="00424B2D">
      <w:pPr>
        <w:rPr>
          <w:rFonts w:ascii="Times New Roman" w:eastAsia="宋体" w:hAnsi="Times New Roman" w:cs="Times New Roman" w:hint="eastAsia"/>
          <w:color w:val="0000FF"/>
          <w:szCs w:val="22"/>
        </w:rPr>
      </w:pPr>
      <w:r>
        <w:rPr>
          <w:rFonts w:ascii="Times New Roman" w:eastAsia="宋体" w:hAnsi="Times New Roman" w:cs="Times New Roman" w:hint="eastAsia"/>
          <w:color w:val="0000FF"/>
          <w:szCs w:val="22"/>
        </w:rPr>
        <w:t>其中</w:t>
      </w:r>
      <w:r>
        <w:rPr>
          <w:rFonts w:ascii="Times New Roman" w:eastAsia="宋体" w:hAnsi="Times New Roman" w:cs="Times New Roman"/>
          <w:color w:val="0000FF"/>
          <w:szCs w:val="22"/>
        </w:rPr>
        <w:t>，</w:t>
      </w:r>
      <w:r w:rsidRPr="00424B2D">
        <w:rPr>
          <w:rFonts w:ascii="Times New Roman" w:eastAsia="宋体" w:hAnsi="Times New Roman" w:cs="Times New Roman" w:hint="eastAsia"/>
          <w:i/>
          <w:color w:val="0000FF"/>
          <w:szCs w:val="22"/>
        </w:rPr>
        <w:t>R</w:t>
      </w:r>
      <w:r>
        <w:rPr>
          <w:rFonts w:ascii="Times New Roman" w:hAnsi="Times New Roman" w:cs="Times New Roman" w:hint="eastAsia"/>
          <w:szCs w:val="21"/>
        </w:rPr>
        <w:t>（</w:t>
      </w:r>
      <w:r w:rsidRPr="00424B2D">
        <w:rPr>
          <w:rFonts w:ascii="Times New Roman" w:hAnsi="Times New Roman" w:cs="Times New Roman" w:hint="eastAsia"/>
          <w:szCs w:val="21"/>
        </w:rPr>
        <w:t>·</w:t>
      </w:r>
      <w:r>
        <w:rPr>
          <w:rFonts w:ascii="Times New Roman" w:hAnsi="Times New Roman" w:cs="Times New Roman" w:hint="eastAsia"/>
          <w:szCs w:val="21"/>
        </w:rPr>
        <w:t>）</w:t>
      </w:r>
      <w:r>
        <w:rPr>
          <w:rFonts w:ascii="Times New Roman" w:hAnsi="Times New Roman" w:cs="Times New Roman" w:hint="eastAsia"/>
          <w:szCs w:val="21"/>
        </w:rPr>
        <w:t>表示</w:t>
      </w:r>
      <w:r>
        <w:rPr>
          <w:rFonts w:ascii="Times New Roman" w:hAnsi="Times New Roman" w:cs="Times New Roman"/>
          <w:szCs w:val="21"/>
        </w:rPr>
        <w:t>四舍五入操作</w:t>
      </w:r>
      <w:r>
        <w:rPr>
          <w:rFonts w:ascii="Times New Roman" w:hAnsi="Times New Roman" w:cs="Times New Roman" w:hint="eastAsia"/>
          <w:szCs w:val="21"/>
        </w:rPr>
        <w:t>。</w:t>
      </w:r>
    </w:p>
    <w:p w14:paraId="3E0BFB36" w14:textId="77777777" w:rsidR="00424B2D" w:rsidRDefault="00424B2D" w:rsidP="00424B2D">
      <w:pPr>
        <w:rPr>
          <w:rFonts w:ascii="Times New Roman" w:eastAsia="宋体" w:hAnsi="Times New Roman" w:cs="Times New Roman" w:hint="eastAsia"/>
          <w:color w:val="0000FF"/>
          <w:szCs w:val="22"/>
        </w:rPr>
      </w:pPr>
    </w:p>
    <w:p w14:paraId="2A772DF1" w14:textId="77777777" w:rsidR="00192D35" w:rsidRDefault="005815D7">
      <w:pPr>
        <w:outlineLvl w:val="0"/>
        <w:rPr>
          <w:rFonts w:ascii="Times New Roman" w:eastAsia="宋体" w:hAnsi="Times New Roman" w:cs="Times New Roman"/>
          <w:b/>
          <w:sz w:val="24"/>
        </w:rPr>
      </w:pPr>
      <w:r>
        <w:rPr>
          <w:rFonts w:ascii="Times New Roman" w:eastAsia="宋体" w:hAnsi="Times New Roman" w:cs="Times New Roman" w:hint="eastAsia"/>
          <w:b/>
          <w:sz w:val="24"/>
        </w:rPr>
        <w:t xml:space="preserve">3  </w:t>
      </w:r>
      <w:r>
        <w:rPr>
          <w:rFonts w:ascii="Times New Roman" w:eastAsia="宋体" w:hAnsi="Times New Roman" w:cs="Times New Roman" w:hint="eastAsia"/>
          <w:b/>
          <w:sz w:val="24"/>
        </w:rPr>
        <w:t>实验结果分析</w:t>
      </w:r>
    </w:p>
    <w:p w14:paraId="392A3AF6" w14:textId="77777777" w:rsidR="00192D35" w:rsidRDefault="005815D7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Segoe UI" w:hAnsi="Segoe UI" w:cs="Segoe UI"/>
          <w:color w:val="404040"/>
          <w:shd w:val="clear" w:color="auto" w:fill="FFFFFF"/>
        </w:rPr>
        <w:t>为分析本文所述测量延时参数方法的效果，选取实际应用中</w:t>
      </w:r>
      <w:r>
        <w:rPr>
          <w:rFonts w:ascii="Segoe UI" w:hAnsi="Segoe UI" w:cs="Segoe UI"/>
          <w:color w:val="404040"/>
          <w:shd w:val="clear" w:color="auto" w:fill="FFFFFF"/>
        </w:rPr>
        <w:t>8</w:t>
      </w:r>
      <w:r>
        <w:rPr>
          <w:rFonts w:ascii="Segoe UI" w:hAnsi="Segoe UI" w:cs="Segoe UI"/>
          <w:color w:val="404040"/>
          <w:shd w:val="clear" w:color="auto" w:fill="FFFFFF"/>
        </w:rPr>
        <w:t>时分复用阵列的一段原始信号进行测试。该</w:t>
      </w:r>
      <w:r>
        <w:rPr>
          <w:rFonts w:ascii="Segoe UI" w:hAnsi="Segoe UI" w:cs="Segoe UI"/>
          <w:color w:val="404040"/>
          <w:shd w:val="clear" w:color="auto" w:fill="FFFFFF"/>
        </w:rPr>
        <w:t>8</w:t>
      </w:r>
      <w:r>
        <w:rPr>
          <w:rFonts w:ascii="Segoe UI" w:hAnsi="Segoe UI" w:cs="Segoe UI"/>
          <w:color w:val="404040"/>
          <w:shd w:val="clear" w:color="auto" w:fill="FFFFFF"/>
        </w:rPr>
        <w:t>时分复用检波器阵列采用</w:t>
      </w:r>
      <w:r>
        <w:rPr>
          <w:rFonts w:ascii="Segoe UI" w:hAnsi="Segoe UI" w:cs="Segoe UI"/>
          <w:color w:val="404040"/>
          <w:shd w:val="clear" w:color="auto" w:fill="FFFFFF"/>
        </w:rPr>
        <w:t>NKT E15</w:t>
      </w:r>
      <w:r>
        <w:rPr>
          <w:rFonts w:ascii="Segoe UI" w:hAnsi="Segoe UI" w:cs="Segoe UI"/>
          <w:color w:val="404040"/>
          <w:shd w:val="clear" w:color="auto" w:fill="FFFFFF"/>
        </w:rPr>
        <w:t>激光器（线宽</w:t>
      </w:r>
      <w:r>
        <w:rPr>
          <w:rFonts w:ascii="Segoe UI" w:hAnsi="Segoe UI" w:cs="Segoe UI"/>
          <w:color w:val="404040"/>
          <w:shd w:val="clear" w:color="auto" w:fill="FFFFFF"/>
        </w:rPr>
        <w:t>≈100 Hz</w:t>
      </w:r>
      <w:r>
        <w:rPr>
          <w:rFonts w:ascii="Segoe UI" w:hAnsi="Segoe UI" w:cs="Segoe UI"/>
          <w:color w:val="404040"/>
          <w:shd w:val="clear" w:color="auto" w:fill="FFFFFF"/>
        </w:rPr>
        <w:t>），调制脉冲宽度约为</w:t>
      </w:r>
      <w:r>
        <w:rPr>
          <w:rFonts w:ascii="Segoe UI" w:hAnsi="Segoe UI" w:cs="Segoe UI"/>
          <w:color w:val="404040"/>
          <w:shd w:val="clear" w:color="auto" w:fill="FFFFFF"/>
        </w:rPr>
        <w:t>160 ns</w:t>
      </w:r>
      <w:r>
        <w:rPr>
          <w:rFonts w:ascii="Segoe UI" w:hAnsi="Segoe UI" w:cs="Segoe UI"/>
          <w:color w:val="404040"/>
          <w:shd w:val="clear" w:color="auto" w:fill="FFFFFF"/>
        </w:rPr>
        <w:t>，脉冲重复频率为</w:t>
      </w:r>
      <w:r>
        <w:rPr>
          <w:rFonts w:ascii="Segoe UI" w:hAnsi="Segoe UI" w:cs="Segoe UI"/>
          <w:color w:val="404040"/>
          <w:shd w:val="clear" w:color="auto" w:fill="FFFFFF"/>
        </w:rPr>
        <w:t>200 kHz</w:t>
      </w:r>
      <w:r>
        <w:rPr>
          <w:rFonts w:ascii="Segoe UI" w:hAnsi="Segoe UI" w:cs="Segoe UI"/>
          <w:color w:val="404040"/>
          <w:shd w:val="clear" w:color="auto" w:fill="FFFFFF"/>
        </w:rPr>
        <w:t>（即脉冲重复周期为</w:t>
      </w:r>
      <w:r>
        <w:rPr>
          <w:rFonts w:ascii="Segoe UI" w:hAnsi="Segoe UI" w:cs="Segoe UI"/>
          <w:color w:val="404040"/>
          <w:shd w:val="clear" w:color="auto" w:fill="FFFFFF"/>
        </w:rPr>
        <w:t>5 μs</w:t>
      </w:r>
      <w:r>
        <w:rPr>
          <w:rFonts w:ascii="Segoe UI" w:hAnsi="Segoe UI" w:cs="Segoe UI"/>
          <w:color w:val="404040"/>
          <w:shd w:val="clear" w:color="auto" w:fill="FFFFFF"/>
        </w:rPr>
        <w:t>）。通过逐步增大高斯白噪声的功率</w:t>
      </w:r>
      <w:r>
        <w:rPr>
          <w:rFonts w:ascii="Segoe UI" w:hAnsi="Segoe UI" w:cs="Segoe UI"/>
          <w:color w:val="404040"/>
          <w:shd w:val="clear" w:color="auto" w:fill="FFFFFF"/>
        </w:rPr>
        <w:t>[23]</w:t>
      </w:r>
      <w:r>
        <w:rPr>
          <w:rFonts w:ascii="Segoe UI" w:hAnsi="Segoe UI" w:cs="Segoe UI"/>
          <w:color w:val="404040"/>
          <w:shd w:val="clear" w:color="auto" w:fill="FFFFFF"/>
        </w:rPr>
        <w:t>加入不同幅度噪声，降低原始信号的信噪比。此处信噪比定义为</w:t>
      </w:r>
    </w:p>
    <w:p w14:paraId="2424C2FD" w14:textId="165F6761" w:rsidR="00192D35" w:rsidRDefault="005815D7">
      <w:pPr>
        <w:spacing w:line="360" w:lineRule="auto"/>
        <w:ind w:firstLineChars="200" w:firstLine="480"/>
        <w:jc w:val="right"/>
        <w:rPr>
          <w:rFonts w:ascii="Times New Roman" w:hAnsi="Times New Roman" w:cs="Times New Roman"/>
          <w:szCs w:val="21"/>
        </w:rPr>
      </w:pPr>
      <m:oMath>
        <m:r>
          <w:rPr>
            <w:rFonts w:ascii="Cambria Math" w:hAnsi="Cambria Math" w:cs="Times New Roman"/>
            <w:sz w:val="24"/>
          </w:rPr>
          <m:t>S</m:t>
        </m:r>
        <m:r>
          <m:rPr>
            <m:sty m:val="p"/>
          </m:rPr>
          <w:rPr>
            <w:rFonts w:ascii="Cambria Math" w:hAnsi="Cambria Math" w:cs="Times New Roman"/>
            <w:sz w:val="24"/>
          </w:rPr>
          <m:t>=10</m:t>
        </m:r>
        <m:r>
          <m:rPr>
            <m:sty m:val="p"/>
          </m:rPr>
          <w:rPr>
            <w:rFonts w:ascii="Cambria Math" w:hAnsi="Cambria Math" w:cs="Times New Roman" w:hint="eastAsia"/>
            <w:sz w:val="24"/>
          </w:rPr>
          <m:t>lg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sz w:val="24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sz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</w:rPr>
                  <m:t>E</m:t>
                </m:r>
                <m:d>
                  <m:dPr>
                    <m:ctrlPr>
                      <w:rPr>
                        <w:rFonts w:ascii="Cambria Math" w:hAnsi="Cambria Math" w:cs="Times New Roman"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sz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sz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</w:rPr>
                              <m:t>signal</m:t>
                            </m:r>
                          </m:sub>
                        </m:sSub>
                      </m:e>
                    </m:d>
                  </m:e>
                </m:d>
              </m:num>
              <m:den>
                <m:r>
                  <w:rPr>
                    <w:rFonts w:ascii="Cambria Math" w:hAnsi="Cambria Math" w:cs="Times New Roman"/>
                    <w:sz w:val="24"/>
                  </w:rPr>
                  <m:t>E</m:t>
                </m:r>
                <m:d>
                  <m:dPr>
                    <m:ctrlPr>
                      <w:rPr>
                        <w:rFonts w:ascii="Cambria Math" w:hAnsi="Cambria Math" w:cs="Times New Roman"/>
                        <w:sz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sz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sz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</w:rPr>
                              <m:t>noise</m:t>
                            </m:r>
                          </m:sub>
                        </m:sSub>
                      </m:e>
                    </m:d>
                  </m:e>
                </m:d>
              </m:den>
            </m:f>
          </m:e>
        </m:d>
      </m:oMath>
      <w:r>
        <w:rPr>
          <w:rFonts w:hAnsi="Cambria Math" w:cs="Times New Roman" w:hint="eastAsia"/>
          <w:sz w:val="24"/>
        </w:rPr>
        <w:t xml:space="preserve">                  </w:t>
      </w:r>
      <w:r>
        <w:rPr>
          <w:rFonts w:hAnsi="Cambria Math" w:cs="Times New Roman" w:hint="eastAsia"/>
          <w:szCs w:val="21"/>
        </w:rPr>
        <w:t>（</w:t>
      </w:r>
      <w:r>
        <w:rPr>
          <w:rFonts w:ascii="Times New Roman" w:hAnsi="Times New Roman" w:cs="Times New Roman" w:hint="eastAsia"/>
          <w:szCs w:val="21"/>
        </w:rPr>
        <w:t>4</w:t>
      </w:r>
      <w:r>
        <w:rPr>
          <w:rFonts w:hAnsi="Cambria Math" w:cs="Times New Roman" w:hint="eastAsia"/>
          <w:szCs w:val="21"/>
        </w:rPr>
        <w:t>）</w:t>
      </w:r>
    </w:p>
    <w:p w14:paraId="463D3555" w14:textId="2A83C3AB" w:rsidR="00192D35" w:rsidRDefault="005815D7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其中，</w:t>
      </w:r>
      <w:r>
        <w:rPr>
          <w:rFonts w:ascii="Times New Roman" w:hAnsi="Times New Roman" w:cs="Times New Roman" w:hint="eastAsia"/>
          <w:b/>
          <w:i/>
          <w:szCs w:val="21"/>
        </w:rPr>
        <w:t>a</w:t>
      </w:r>
      <w:r>
        <w:rPr>
          <w:rFonts w:ascii="Times New Roman" w:hAnsi="Times New Roman" w:cs="Times New Roman" w:hint="eastAsia"/>
          <w:iCs/>
          <w:szCs w:val="21"/>
          <w:vertAlign w:val="subscript"/>
        </w:rPr>
        <w:t>signal</w:t>
      </w:r>
      <w:r>
        <w:rPr>
          <w:rFonts w:ascii="Times New Roman" w:hAnsi="Times New Roman" w:cs="Times New Roman" w:hint="eastAsia"/>
          <w:szCs w:val="21"/>
        </w:rPr>
        <w:t>为</w:t>
      </w:r>
      <w:r>
        <w:rPr>
          <w:rFonts w:ascii="Times New Roman" w:hAnsi="Times New Roman" w:cs="Times New Roman" w:hint="eastAsia"/>
          <w:b/>
          <w:i/>
          <w:szCs w:val="21"/>
        </w:rPr>
        <w:t>a</w:t>
      </w:r>
      <w:r>
        <w:rPr>
          <w:rFonts w:ascii="Times New Roman" w:hAnsi="Times New Roman" w:cs="Times New Roman" w:hint="eastAsia"/>
          <w:i/>
          <w:iCs/>
          <w:szCs w:val="21"/>
          <w:vertAlign w:val="subscript"/>
        </w:rPr>
        <w:t>i</w:t>
      </w:r>
      <w:r>
        <w:rPr>
          <w:rFonts w:ascii="Times New Roman" w:hAnsi="Times New Roman" w:cs="Times New Roman" w:hint="eastAsia"/>
          <w:szCs w:val="21"/>
        </w:rPr>
        <w:t>中对应干涉信</w:t>
      </w:r>
      <w:r>
        <w:rPr>
          <w:rFonts w:ascii="Times New Roman" w:hAnsi="Times New Roman" w:cs="Times New Roman" w:hint="eastAsia"/>
          <w:szCs w:val="21"/>
        </w:rPr>
        <w:t>号的向量；</w:t>
      </w:r>
      <w:r>
        <w:rPr>
          <w:rFonts w:ascii="Times New Roman" w:hAnsi="Times New Roman" w:cs="Times New Roman" w:hint="eastAsia"/>
          <w:b/>
          <w:i/>
          <w:szCs w:val="21"/>
        </w:rPr>
        <w:t>a</w:t>
      </w:r>
      <w:r>
        <w:rPr>
          <w:rFonts w:ascii="Times New Roman" w:hAnsi="Times New Roman" w:cs="Times New Roman" w:hint="eastAsia"/>
          <w:iCs/>
          <w:szCs w:val="21"/>
          <w:vertAlign w:val="subscript"/>
        </w:rPr>
        <w:t>noise</w:t>
      </w:r>
      <w:r>
        <w:rPr>
          <w:rFonts w:ascii="Times New Roman" w:hAnsi="Times New Roman" w:cs="Times New Roman" w:hint="eastAsia"/>
          <w:szCs w:val="21"/>
        </w:rPr>
        <w:t>为</w:t>
      </w:r>
      <w:r>
        <w:rPr>
          <w:rFonts w:ascii="Times New Roman" w:hAnsi="Times New Roman" w:cs="Times New Roman" w:hint="eastAsia"/>
          <w:szCs w:val="21"/>
        </w:rPr>
        <w:t>a</w:t>
      </w:r>
      <w:r>
        <w:rPr>
          <w:rFonts w:ascii="Times New Roman" w:hAnsi="Times New Roman" w:cs="Times New Roman" w:hint="eastAsia"/>
          <w:i/>
          <w:iCs/>
          <w:szCs w:val="21"/>
          <w:vertAlign w:val="subscript"/>
        </w:rPr>
        <w:t>i</w:t>
      </w:r>
      <w:r>
        <w:rPr>
          <w:rFonts w:ascii="Times New Roman" w:hAnsi="Times New Roman" w:cs="Times New Roman" w:hint="eastAsia"/>
          <w:szCs w:val="21"/>
        </w:rPr>
        <w:t>中对应噪声的向量。</w:t>
      </w:r>
      <w:r w:rsidR="002B6E66" w:rsidRPr="002B6E66">
        <w:rPr>
          <w:rFonts w:hint="eastAsia"/>
          <w:i/>
        </w:rPr>
        <w:t>E</w:t>
      </w:r>
      <w:r w:rsidR="002B6E66">
        <w:rPr>
          <w:rFonts w:ascii="Times New Roman" w:hAnsi="Times New Roman" w:cs="Times New Roman" w:hint="eastAsia"/>
          <w:szCs w:val="21"/>
        </w:rPr>
        <w:t>（</w:t>
      </w:r>
      <w:r w:rsidR="002B6E66" w:rsidRPr="00424B2D">
        <w:rPr>
          <w:rFonts w:ascii="Times New Roman" w:hAnsi="Times New Roman" w:cs="Times New Roman" w:hint="eastAsia"/>
          <w:szCs w:val="21"/>
        </w:rPr>
        <w:t>·</w:t>
      </w:r>
      <w:r w:rsidR="002B6E66">
        <w:rPr>
          <w:rFonts w:ascii="Times New Roman" w:hAnsi="Times New Roman" w:cs="Times New Roman" w:hint="eastAsia"/>
          <w:szCs w:val="21"/>
        </w:rPr>
        <w:t>）</w:t>
      </w:r>
      <w:r w:rsidR="002B6E66">
        <w:rPr>
          <w:rFonts w:hint="eastAsia"/>
        </w:rPr>
        <w:t>表示求</w:t>
      </w:r>
      <w:r w:rsidR="002B6E66" w:rsidRPr="002B6E66">
        <w:rPr>
          <w:rFonts w:hint="eastAsia"/>
        </w:rPr>
        <w:t>随机变量的均值</w:t>
      </w:r>
      <w:r w:rsidR="002B6E66">
        <w:rPr>
          <w:rFonts w:hint="eastAsia"/>
        </w:rPr>
        <w:t>。</w:t>
      </w:r>
    </w:p>
    <w:p w14:paraId="3533D4DF" w14:textId="77777777" w:rsidR="00192D35" w:rsidRDefault="005815D7">
      <w:pPr>
        <w:pStyle w:val="ds-markdown-paragraph"/>
        <w:shd w:val="clear" w:color="auto" w:fill="FFFFFF"/>
        <w:ind w:firstLine="420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Segoe UI" w:hAnsi="Segoe UI" w:cs="Segoe UI"/>
          <w:color w:val="404040"/>
          <w:sz w:val="21"/>
          <w:szCs w:val="21"/>
        </w:rPr>
        <w:lastRenderedPageBreak/>
        <w:t>在每个信噪比下计算</w:t>
      </w:r>
      <w:r>
        <w:rPr>
          <w:rFonts w:ascii="Segoe UI" w:hAnsi="Segoe UI" w:cs="Segoe UI"/>
          <w:color w:val="404040"/>
          <w:sz w:val="21"/>
          <w:szCs w:val="21"/>
        </w:rPr>
        <w:t>500</w:t>
      </w:r>
      <w:r>
        <w:rPr>
          <w:rFonts w:ascii="Segoe UI" w:hAnsi="Segoe UI" w:cs="Segoe UI"/>
          <w:color w:val="404040"/>
          <w:sz w:val="21"/>
          <w:szCs w:val="21"/>
        </w:rPr>
        <w:t>次延时参数，将结果与准确值（无噪声干扰时手动测量值）比较。若出现</w:t>
      </w:r>
      <w:r>
        <w:rPr>
          <w:rFonts w:ascii="Segoe UI" w:hAnsi="Segoe UI" w:cs="Segoe UI"/>
          <w:color w:val="404040"/>
          <w:sz w:val="21"/>
          <w:szCs w:val="21"/>
        </w:rPr>
        <w:t>1</w:t>
      </w:r>
      <w:r>
        <w:rPr>
          <w:rFonts w:ascii="Segoe UI" w:hAnsi="Segoe UI" w:cs="Segoe UI"/>
          <w:color w:val="404040"/>
          <w:sz w:val="21"/>
          <w:szCs w:val="21"/>
        </w:rPr>
        <w:t>个及以上延时参数值与准确值的偏差超过</w:t>
      </w:r>
      <w:r>
        <w:rPr>
          <w:rFonts w:ascii="Segoe UI" w:hAnsi="Segoe UI" w:cs="Segoe UI"/>
          <w:i/>
          <w:color w:val="404040"/>
          <w:sz w:val="21"/>
          <w:szCs w:val="21"/>
        </w:rPr>
        <w:t>w</w:t>
      </w:r>
      <w:r>
        <w:rPr>
          <w:rFonts w:ascii="Segoe UI" w:hAnsi="Segoe UI" w:cs="Segoe UI"/>
          <w:color w:val="404040"/>
          <w:sz w:val="21"/>
          <w:szCs w:val="21"/>
        </w:rPr>
        <w:t>/4</w:t>
      </w:r>
      <w:r>
        <w:rPr>
          <w:rFonts w:ascii="Segoe UI" w:hAnsi="Segoe UI" w:cs="Segoe UI"/>
          <w:color w:val="404040"/>
          <w:sz w:val="21"/>
          <w:szCs w:val="21"/>
        </w:rPr>
        <w:t>，则认为本次计算失败，否则视为成功。</w:t>
      </w:r>
    </w:p>
    <w:p w14:paraId="207A446F" w14:textId="77777777" w:rsidR="00192D35" w:rsidRDefault="005815D7">
      <w:pPr>
        <w:pStyle w:val="ds-markdown-paragraph"/>
        <w:shd w:val="clear" w:color="auto" w:fill="FFFFFF"/>
        <w:ind w:firstLine="420"/>
        <w:rPr>
          <w:rFonts w:ascii="Times New Roman" w:hAnsi="Times New Roman" w:cs="Times New Roman"/>
          <w:color w:val="0000FF"/>
          <w:szCs w:val="21"/>
        </w:rPr>
      </w:pPr>
      <w:r>
        <w:rPr>
          <w:rFonts w:ascii="Times New Roman" w:hAnsi="Times New Roman" w:cs="Times New Roman" w:hint="eastAsia"/>
          <w:sz w:val="21"/>
          <w:szCs w:val="21"/>
        </w:rPr>
        <w:t>不同信噪比条件下延时参数测量方法正确率统计情况</w:t>
      </w:r>
      <w:r>
        <w:rPr>
          <w:rFonts w:ascii="Times New Roman" w:hAnsi="Times New Roman" w:cs="Times New Roman"/>
          <w:sz w:val="21"/>
          <w:szCs w:val="21"/>
        </w:rPr>
        <w:t>如</w:t>
      </w:r>
      <w:r>
        <w:rPr>
          <w:rFonts w:ascii="Segoe UI" w:hAnsi="Segoe UI" w:cs="Segoe UI"/>
          <w:color w:val="404040"/>
          <w:sz w:val="21"/>
          <w:szCs w:val="21"/>
        </w:rPr>
        <w:t>图</w:t>
      </w:r>
      <w:r>
        <w:rPr>
          <w:rFonts w:ascii="Segoe UI" w:hAnsi="Segoe UI" w:cs="Segoe UI"/>
          <w:color w:val="404040"/>
          <w:sz w:val="21"/>
          <w:szCs w:val="21"/>
        </w:rPr>
        <w:t>5</w:t>
      </w:r>
      <w:r>
        <w:rPr>
          <w:rFonts w:ascii="Segoe UI" w:hAnsi="Segoe UI" w:cs="Segoe UI" w:hint="eastAsia"/>
          <w:color w:val="404040"/>
          <w:sz w:val="21"/>
          <w:szCs w:val="21"/>
        </w:rPr>
        <w:t>所示。可</w:t>
      </w:r>
      <w:r>
        <w:rPr>
          <w:rFonts w:ascii="Segoe UI" w:hAnsi="Segoe UI" w:cs="Segoe UI"/>
          <w:color w:val="404040"/>
          <w:sz w:val="21"/>
          <w:szCs w:val="21"/>
        </w:rPr>
        <w:t>以看出，当信噪比高于</w:t>
      </w:r>
      <w:r>
        <w:rPr>
          <w:rFonts w:ascii="Segoe UI" w:hAnsi="Segoe UI" w:cs="Segoe UI"/>
          <w:color w:val="404040"/>
          <w:sz w:val="21"/>
          <w:szCs w:val="21"/>
        </w:rPr>
        <w:t>12 dB</w:t>
      </w:r>
      <w:r>
        <w:rPr>
          <w:rFonts w:ascii="Segoe UI" w:hAnsi="Segoe UI" w:cs="Segoe UI"/>
          <w:color w:val="404040"/>
          <w:sz w:val="21"/>
          <w:szCs w:val="21"/>
        </w:rPr>
        <w:t>时，正确率达</w:t>
      </w:r>
      <w:r>
        <w:rPr>
          <w:rFonts w:ascii="Segoe UI" w:hAnsi="Segoe UI" w:cs="Segoe UI"/>
          <w:color w:val="404040"/>
          <w:sz w:val="21"/>
          <w:szCs w:val="21"/>
        </w:rPr>
        <w:t>100%</w:t>
      </w:r>
      <w:r>
        <w:rPr>
          <w:rFonts w:ascii="Segoe UI" w:hAnsi="Segoe UI" w:cs="Segoe UI"/>
          <w:color w:val="404040"/>
          <w:sz w:val="21"/>
          <w:szCs w:val="21"/>
        </w:rPr>
        <w:t>；信噪比降至</w:t>
      </w:r>
      <w:r>
        <w:rPr>
          <w:rFonts w:ascii="Segoe UI" w:hAnsi="Segoe UI" w:cs="Segoe UI"/>
          <w:color w:val="404040"/>
          <w:sz w:val="21"/>
          <w:szCs w:val="21"/>
        </w:rPr>
        <w:t>7 dB</w:t>
      </w:r>
      <w:r>
        <w:rPr>
          <w:rFonts w:ascii="Segoe UI" w:hAnsi="Segoe UI" w:cs="Segoe UI"/>
          <w:color w:val="404040"/>
          <w:sz w:val="21"/>
          <w:szCs w:val="21"/>
        </w:rPr>
        <w:t>时，成功率仍高于</w:t>
      </w:r>
      <w:r>
        <w:rPr>
          <w:rFonts w:ascii="Segoe UI" w:hAnsi="Segoe UI" w:cs="Segoe UI"/>
          <w:color w:val="404040"/>
          <w:sz w:val="21"/>
          <w:szCs w:val="21"/>
        </w:rPr>
        <w:t>98%</w:t>
      </w:r>
      <w:r>
        <w:rPr>
          <w:rFonts w:ascii="Segoe UI" w:hAnsi="Segoe UI" w:cs="Segoe UI"/>
          <w:color w:val="404040"/>
          <w:sz w:val="21"/>
          <w:szCs w:val="21"/>
        </w:rPr>
        <w:t>；即使信噪比低至</w:t>
      </w:r>
      <w:r>
        <w:rPr>
          <w:rFonts w:ascii="Segoe UI" w:hAnsi="Segoe UI" w:cs="Segoe UI"/>
          <w:color w:val="404040"/>
          <w:sz w:val="21"/>
          <w:szCs w:val="21"/>
        </w:rPr>
        <w:t>-3 dB</w:t>
      </w:r>
      <w:r>
        <w:rPr>
          <w:rFonts w:ascii="Segoe UI" w:hAnsi="Segoe UI" w:cs="Segoe UI"/>
          <w:color w:val="404040"/>
          <w:sz w:val="21"/>
          <w:szCs w:val="21"/>
        </w:rPr>
        <w:t>（干涉信号被噪声掩盖），仍有</w:t>
      </w:r>
      <w:r>
        <w:rPr>
          <w:rFonts w:ascii="Segoe UI" w:hAnsi="Segoe UI" w:cs="Segoe UI"/>
          <w:color w:val="404040"/>
          <w:sz w:val="21"/>
          <w:szCs w:val="21"/>
        </w:rPr>
        <w:t>65%</w:t>
      </w:r>
      <w:r>
        <w:rPr>
          <w:rFonts w:ascii="Segoe UI" w:hAnsi="Segoe UI" w:cs="Segoe UI"/>
          <w:color w:val="404040"/>
          <w:sz w:val="21"/>
          <w:szCs w:val="21"/>
        </w:rPr>
        <w:t>的成功率。</w:t>
      </w:r>
    </w:p>
    <w:p w14:paraId="0DA00C80" w14:textId="77777777" w:rsidR="00192D35" w:rsidRDefault="005815D7">
      <w:pPr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noProof/>
          <w:szCs w:val="21"/>
        </w:rPr>
        <w:drawing>
          <wp:inline distT="0" distB="0" distL="114300" distR="114300">
            <wp:extent cx="2520315" cy="1837055"/>
            <wp:effectExtent l="0" t="0" r="13335" b="0"/>
            <wp:docPr id="26" name="图片 26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0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C4A7D" w14:textId="77777777" w:rsidR="00192D35" w:rsidRDefault="005815D7">
      <w:pPr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>
        <w:rPr>
          <w:rFonts w:ascii="Times New Roman" w:eastAsia="宋体" w:hAnsi="Times New Roman" w:cs="Times New Roman" w:hint="eastAsia"/>
          <w:b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5 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不同信噪比条件下延时参数测量方法正确率统计</w:t>
      </w:r>
    </w:p>
    <w:p w14:paraId="02927BE6" w14:textId="77777777" w:rsidR="00192D35" w:rsidRDefault="005815D7">
      <w:pPr>
        <w:ind w:firstLineChars="200" w:firstLine="420"/>
        <w:rPr>
          <w:rFonts w:ascii="Times New Roman" w:eastAsia="宋体" w:hAnsi="Times New Roman" w:cs="Times New Roman"/>
          <w:szCs w:val="22"/>
        </w:rPr>
      </w:pPr>
      <w:r>
        <w:rPr>
          <w:rFonts w:ascii="Segoe UI" w:hAnsi="Segoe UI" w:cs="Segoe UI" w:hint="eastAsia"/>
          <w:color w:val="404040"/>
          <w:shd w:val="clear" w:color="auto" w:fill="FFFFFF"/>
        </w:rPr>
        <w:t>本文</w:t>
      </w:r>
      <w:r>
        <w:rPr>
          <w:rFonts w:ascii="Segoe UI" w:hAnsi="Segoe UI" w:cs="Segoe UI"/>
          <w:color w:val="404040"/>
          <w:shd w:val="clear" w:color="auto" w:fill="FFFFFF"/>
        </w:rPr>
        <w:t>对比了无噪声干扰与信噪比</w:t>
      </w:r>
      <w:r>
        <w:rPr>
          <w:rFonts w:ascii="Segoe UI" w:hAnsi="Segoe UI" w:cs="Segoe UI"/>
          <w:color w:val="404040"/>
          <w:shd w:val="clear" w:color="auto" w:fill="FFFFFF"/>
        </w:rPr>
        <w:t>7 dB</w:t>
      </w:r>
      <w:r>
        <w:rPr>
          <w:rFonts w:ascii="Segoe UI" w:hAnsi="Segoe UI" w:cs="Segoe UI"/>
          <w:color w:val="404040"/>
          <w:shd w:val="clear" w:color="auto" w:fill="FFFFFF"/>
        </w:rPr>
        <w:t>时的原始信号</w:t>
      </w:r>
      <w:r>
        <w:rPr>
          <w:rFonts w:ascii="Segoe UI" w:hAnsi="Segoe UI" w:cs="Segoe UI" w:hint="eastAsia"/>
          <w:color w:val="404040"/>
          <w:shd w:val="clear" w:color="auto" w:fill="FFFFFF"/>
        </w:rPr>
        <w:t>，</w:t>
      </w:r>
      <w:r>
        <w:rPr>
          <w:rFonts w:ascii="Segoe UI" w:hAnsi="Segoe UI" w:cs="Segoe UI"/>
          <w:color w:val="404040"/>
          <w:shd w:val="clear" w:color="auto" w:fill="FFFFFF"/>
        </w:rPr>
        <w:t>得到</w:t>
      </w:r>
      <w:r>
        <w:rPr>
          <w:rFonts w:ascii="Times New Roman" w:eastAsia="宋体" w:hAnsi="Times New Roman" w:cs="Times New Roman" w:hint="eastAsia"/>
          <w:szCs w:val="21"/>
        </w:rPr>
        <w:t>噪声干扰前后延时参数测量方法的效果对比情况</w:t>
      </w:r>
      <w:r>
        <w:rPr>
          <w:rFonts w:ascii="Times New Roman" w:eastAsia="宋体" w:hAnsi="Times New Roman" w:cs="Times New Roman"/>
          <w:szCs w:val="21"/>
        </w:rPr>
        <w:t>如图</w:t>
      </w:r>
      <w:r>
        <w:rPr>
          <w:rFonts w:ascii="Times New Roman" w:eastAsia="宋体" w:hAnsi="Times New Roman" w:cs="Times New Roman" w:hint="eastAsia"/>
          <w:szCs w:val="21"/>
        </w:rPr>
        <w:t>6</w:t>
      </w:r>
      <w:r>
        <w:rPr>
          <w:rFonts w:ascii="Times New Roman" w:eastAsia="宋体" w:hAnsi="Times New Roman" w:cs="Times New Roman" w:hint="eastAsia"/>
          <w:szCs w:val="21"/>
        </w:rPr>
        <w:t>所示</w:t>
      </w:r>
      <w:r>
        <w:rPr>
          <w:rFonts w:ascii="Times New Roman" w:eastAsia="宋体" w:hAnsi="Times New Roman" w:cs="Times New Roman"/>
          <w:szCs w:val="21"/>
        </w:rPr>
        <w:t>。可</w:t>
      </w:r>
      <w:r>
        <w:rPr>
          <w:rFonts w:ascii="Times New Roman" w:eastAsia="宋体" w:hAnsi="Times New Roman" w:cs="Times New Roman" w:hint="eastAsia"/>
          <w:szCs w:val="21"/>
        </w:rPr>
        <w:t>以</w:t>
      </w:r>
      <w:r>
        <w:rPr>
          <w:rFonts w:ascii="Times New Roman" w:eastAsia="宋体" w:hAnsi="Times New Roman" w:cs="Times New Roman"/>
          <w:szCs w:val="21"/>
        </w:rPr>
        <w:t>看出，</w:t>
      </w:r>
      <w:r>
        <w:rPr>
          <w:rFonts w:ascii="Segoe UI" w:hAnsi="Segoe UI" w:cs="Segoe UI"/>
          <w:color w:val="404040"/>
          <w:shd w:val="clear" w:color="auto" w:fill="FFFFFF"/>
        </w:rPr>
        <w:t>7 dB</w:t>
      </w:r>
      <w:r>
        <w:rPr>
          <w:rFonts w:ascii="Segoe UI" w:hAnsi="Segoe UI" w:cs="Segoe UI"/>
          <w:color w:val="404040"/>
          <w:shd w:val="clear" w:color="auto" w:fill="FFFFFF"/>
        </w:rPr>
        <w:t>条件下信号毛刺幅度显著增大，人工测量已极为困难；而经本方法处理后，相关系数的峰值位置保持稳定，受噪声影响较小，故能准确求解延时参数。</w:t>
      </w:r>
      <w:r>
        <w:rPr>
          <w:rFonts w:ascii="Times New Roman" w:eastAsia="宋体" w:hAnsi="Times New Roman" w:cs="Times New Roman" w:hint="eastAsia"/>
          <w:szCs w:val="22"/>
        </w:rPr>
        <w:t>。</w:t>
      </w:r>
    </w:p>
    <w:p w14:paraId="48A7DBE7" w14:textId="77777777" w:rsidR="00192D35" w:rsidRDefault="005815D7">
      <w:pPr>
        <w:jc w:val="left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 w:hint="eastAsia"/>
          <w:noProof/>
          <w:szCs w:val="22"/>
        </w:rPr>
        <w:drawing>
          <wp:inline distT="0" distB="0" distL="114300" distR="114300">
            <wp:extent cx="2520315" cy="2588260"/>
            <wp:effectExtent l="0" t="0" r="13335" b="0"/>
            <wp:docPr id="24" name="图片 24" descr="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00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 w:hint="eastAsia"/>
          <w:noProof/>
          <w:szCs w:val="22"/>
        </w:rPr>
        <w:drawing>
          <wp:inline distT="0" distB="0" distL="114300" distR="114300">
            <wp:extent cx="2520315" cy="2589530"/>
            <wp:effectExtent l="0" t="0" r="0" b="0"/>
            <wp:docPr id="25" name="图片 25" descr="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007"/>
                    <pic:cNvPicPr>
                      <a:picLocks noChangeAspect="1"/>
                    </pic:cNvPicPr>
                  </pic:nvPicPr>
                  <pic:blipFill>
                    <a:blip r:embed="rId12"/>
                    <a:srcRect t="561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C1358" w14:textId="77777777" w:rsidR="00192D35" w:rsidRDefault="005815D7">
      <w:pPr>
        <w:jc w:val="center"/>
        <w:rPr>
          <w:rFonts w:ascii="黑体" w:eastAsia="黑体" w:hAnsi="黑体" w:cs="黑体"/>
          <w:szCs w:val="21"/>
        </w:rPr>
      </w:pPr>
      <w:r>
        <w:rPr>
          <w:rFonts w:ascii="Times New Roman" w:eastAsia="宋体" w:hAnsi="Times New Roman" w:cs="Times New Roman"/>
          <w:b/>
          <w:sz w:val="15"/>
          <w:szCs w:val="15"/>
        </w:rPr>
        <w:t>（</w:t>
      </w:r>
      <w:r>
        <w:rPr>
          <w:rFonts w:ascii="Times New Roman" w:eastAsia="宋体" w:hAnsi="Times New Roman" w:cs="Times New Roman"/>
          <w:b/>
          <w:sz w:val="15"/>
          <w:szCs w:val="15"/>
        </w:rPr>
        <w:t>a</w:t>
      </w:r>
      <w:r>
        <w:rPr>
          <w:rFonts w:ascii="Times New Roman" w:eastAsia="宋体" w:hAnsi="Times New Roman" w:cs="Times New Roman"/>
          <w:b/>
          <w:sz w:val="15"/>
          <w:szCs w:val="15"/>
        </w:rPr>
        <w:t>）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 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噪声干扰前后原始信号对比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                           </w:t>
      </w:r>
      <w:r>
        <w:rPr>
          <w:rFonts w:ascii="Times New Roman" w:eastAsia="宋体" w:hAnsi="Times New Roman" w:cs="Times New Roman"/>
          <w:b/>
          <w:sz w:val="15"/>
          <w:szCs w:val="15"/>
        </w:rPr>
        <w:t>（</w:t>
      </w:r>
      <w:r>
        <w:rPr>
          <w:rFonts w:ascii="Times New Roman" w:eastAsia="宋体" w:hAnsi="Times New Roman" w:cs="Times New Roman"/>
          <w:b/>
          <w:sz w:val="15"/>
          <w:szCs w:val="15"/>
        </w:rPr>
        <w:t>b</w:t>
      </w:r>
      <w:r>
        <w:rPr>
          <w:rFonts w:ascii="Times New Roman" w:eastAsia="宋体" w:hAnsi="Times New Roman" w:cs="Times New Roman"/>
          <w:b/>
          <w:sz w:val="15"/>
          <w:szCs w:val="15"/>
        </w:rPr>
        <w:t>）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 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噪声干扰前后向量对比</w:t>
      </w:r>
    </w:p>
    <w:p w14:paraId="666F136C" w14:textId="77777777" w:rsidR="00192D35" w:rsidRDefault="005815D7">
      <w:pPr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>
        <w:rPr>
          <w:rFonts w:ascii="Times New Roman" w:eastAsia="宋体" w:hAnsi="Times New Roman" w:cs="Times New Roman"/>
          <w:b/>
          <w:sz w:val="15"/>
          <w:szCs w:val="15"/>
        </w:rPr>
        <w:t>图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6  </w:t>
      </w:r>
      <w:r>
        <w:rPr>
          <w:rFonts w:ascii="Times New Roman" w:eastAsia="宋体" w:hAnsi="Times New Roman" w:cs="Times New Roman" w:hint="eastAsia"/>
          <w:b/>
          <w:sz w:val="15"/>
          <w:szCs w:val="15"/>
        </w:rPr>
        <w:t>噪声干扰前后延时参数测量方法的效果对比</w:t>
      </w:r>
    </w:p>
    <w:p w14:paraId="4E490B1F" w14:textId="77777777" w:rsidR="00192D35" w:rsidRDefault="00192D35">
      <w:pPr>
        <w:rPr>
          <w:rFonts w:ascii="Times New Roman" w:eastAsia="宋体" w:hAnsi="Times New Roman" w:cs="Times New Roman"/>
          <w:b/>
          <w:sz w:val="15"/>
          <w:szCs w:val="15"/>
        </w:rPr>
      </w:pPr>
    </w:p>
    <w:p w14:paraId="633C8BE3" w14:textId="77777777" w:rsidR="00192D35" w:rsidRDefault="005815D7">
      <w:pPr>
        <w:outlineLvl w:val="0"/>
        <w:rPr>
          <w:rFonts w:ascii="Times New Roman" w:eastAsia="宋体" w:hAnsi="Times New Roman" w:cs="Times New Roman"/>
          <w:b/>
          <w:sz w:val="28"/>
          <w:szCs w:val="28"/>
        </w:rPr>
      </w:pPr>
      <w:r>
        <w:rPr>
          <w:rFonts w:ascii="Times New Roman" w:eastAsia="宋体" w:hAnsi="Times New Roman" w:cs="Times New Roman"/>
          <w:b/>
          <w:sz w:val="28"/>
          <w:szCs w:val="28"/>
        </w:rPr>
        <w:t>4</w:t>
      </w:r>
      <w:r>
        <w:rPr>
          <w:rFonts w:ascii="Times New Roman" w:eastAsia="宋体" w:hAnsi="Times New Roman" w:cs="Times New Roman" w:hint="eastAsia"/>
          <w:b/>
          <w:sz w:val="28"/>
          <w:szCs w:val="28"/>
        </w:rPr>
        <w:t xml:space="preserve">  </w:t>
      </w:r>
      <w:r>
        <w:rPr>
          <w:rFonts w:ascii="Times New Roman" w:eastAsia="宋体" w:hAnsi="Times New Roman" w:cs="Times New Roman"/>
          <w:b/>
          <w:sz w:val="28"/>
          <w:szCs w:val="28"/>
        </w:rPr>
        <w:t>结束语</w:t>
      </w:r>
    </w:p>
    <w:p w14:paraId="24CF6553" w14:textId="77777777" w:rsidR="00192D35" w:rsidRDefault="005815D7">
      <w:pPr>
        <w:ind w:firstLineChars="200" w:firstLine="420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 w:hint="eastAsia"/>
          <w:szCs w:val="22"/>
        </w:rPr>
        <w:t>针对</w:t>
      </w:r>
      <w:r>
        <w:rPr>
          <w:rFonts w:ascii="Times New Roman" w:eastAsia="宋体" w:hAnsi="Times New Roman" w:cs="Times New Roman" w:hint="eastAsia"/>
          <w:szCs w:val="22"/>
        </w:rPr>
        <w:t xml:space="preserve">In-line </w:t>
      </w:r>
      <w:r>
        <w:rPr>
          <w:rFonts w:ascii="Times New Roman" w:eastAsia="宋体" w:hAnsi="Times New Roman" w:cs="Times New Roman" w:hint="eastAsia"/>
          <w:szCs w:val="22"/>
        </w:rPr>
        <w:t>Michelson</w:t>
      </w:r>
      <w:r>
        <w:rPr>
          <w:rFonts w:ascii="Times New Roman" w:eastAsia="宋体" w:hAnsi="Times New Roman" w:cs="Times New Roman" w:hint="eastAsia"/>
          <w:szCs w:val="22"/>
        </w:rPr>
        <w:t>结构时分复用光纤检波器阵列，本文提出一种返回脉冲延时参数测量方法。该方法通过提取干涉脉冲与背景脉冲的差异性特征，采用方差向量作为各检波器信号的定位标识，并引入脉冲模板函数对方差向量进行平滑处理以抑制噪声干扰，最终通过</w:t>
      </w:r>
      <w:r>
        <w:rPr>
          <w:rFonts w:ascii="Times New Roman" w:eastAsia="宋体" w:hAnsi="Times New Roman" w:cs="Times New Roman" w:hint="eastAsia"/>
          <w:szCs w:val="22"/>
        </w:rPr>
        <w:lastRenderedPageBreak/>
        <w:t>求解相关系数向量的极大值点确定延时参数。基于不同信噪比原始数据的实验验证表明：在信噪比</w:t>
      </w:r>
      <w:r>
        <w:rPr>
          <w:rFonts w:ascii="Times New Roman" w:eastAsia="宋体" w:hAnsi="Times New Roman" w:cs="Times New Roman" w:hint="eastAsia"/>
          <w:szCs w:val="22"/>
        </w:rPr>
        <w:t>&gt;12 dB</w:t>
      </w:r>
      <w:r>
        <w:rPr>
          <w:rFonts w:ascii="Times New Roman" w:eastAsia="宋体" w:hAnsi="Times New Roman" w:cs="Times New Roman" w:hint="eastAsia"/>
          <w:szCs w:val="22"/>
        </w:rPr>
        <w:t>时，方法正确率达</w:t>
      </w:r>
      <w:r>
        <w:rPr>
          <w:rFonts w:ascii="Times New Roman" w:eastAsia="宋体" w:hAnsi="Times New Roman" w:cs="Times New Roman" w:hint="eastAsia"/>
          <w:szCs w:val="22"/>
        </w:rPr>
        <w:t>100%</w:t>
      </w:r>
      <w:r>
        <w:rPr>
          <w:rFonts w:ascii="Times New Roman" w:eastAsia="宋体" w:hAnsi="Times New Roman" w:cs="Times New Roman" w:hint="eastAsia"/>
          <w:szCs w:val="22"/>
        </w:rPr>
        <w:t>；信噪比降至</w:t>
      </w:r>
      <w:r>
        <w:rPr>
          <w:rFonts w:ascii="Times New Roman" w:eastAsia="宋体" w:hAnsi="Times New Roman" w:cs="Times New Roman" w:hint="eastAsia"/>
          <w:szCs w:val="22"/>
        </w:rPr>
        <w:t>7 dB</w:t>
      </w:r>
      <w:r>
        <w:rPr>
          <w:rFonts w:ascii="Times New Roman" w:eastAsia="宋体" w:hAnsi="Times New Roman" w:cs="Times New Roman" w:hint="eastAsia"/>
          <w:szCs w:val="22"/>
        </w:rPr>
        <w:t>时，成功率仍保持</w:t>
      </w:r>
      <w:r>
        <w:rPr>
          <w:rFonts w:ascii="Times New Roman" w:eastAsia="宋体" w:hAnsi="Times New Roman" w:cs="Times New Roman" w:hint="eastAsia"/>
          <w:szCs w:val="22"/>
        </w:rPr>
        <w:t>98%</w:t>
      </w:r>
      <w:r>
        <w:rPr>
          <w:rFonts w:ascii="Times New Roman" w:eastAsia="宋体" w:hAnsi="Times New Roman" w:cs="Times New Roman" w:hint="eastAsia"/>
          <w:szCs w:val="22"/>
        </w:rPr>
        <w:t>以上；即使在</w:t>
      </w:r>
      <w:r>
        <w:rPr>
          <w:rFonts w:ascii="Times New Roman" w:eastAsia="宋体" w:hAnsi="Times New Roman" w:cs="Times New Roman" w:hint="eastAsia"/>
          <w:szCs w:val="22"/>
        </w:rPr>
        <w:t>-3 dB</w:t>
      </w:r>
      <w:r>
        <w:rPr>
          <w:rFonts w:ascii="Times New Roman" w:eastAsia="宋体" w:hAnsi="Times New Roman" w:cs="Times New Roman" w:hint="eastAsia"/>
          <w:szCs w:val="22"/>
        </w:rPr>
        <w:t>的极低信噪比条件下，仍能维持</w:t>
      </w:r>
      <w:r>
        <w:rPr>
          <w:rFonts w:ascii="Times New Roman" w:eastAsia="宋体" w:hAnsi="Times New Roman" w:cs="Times New Roman" w:hint="eastAsia"/>
          <w:szCs w:val="22"/>
        </w:rPr>
        <w:t>65%</w:t>
      </w:r>
      <w:r>
        <w:rPr>
          <w:rFonts w:ascii="Times New Roman" w:eastAsia="宋体" w:hAnsi="Times New Roman" w:cs="Times New Roman" w:hint="eastAsia"/>
          <w:szCs w:val="22"/>
        </w:rPr>
        <w:t>以上的正确率。</w:t>
      </w:r>
    </w:p>
    <w:p w14:paraId="436EDD2C" w14:textId="77777777" w:rsidR="00192D35" w:rsidRDefault="00192D35">
      <w:pPr>
        <w:ind w:firstLineChars="200" w:firstLine="420"/>
        <w:rPr>
          <w:rFonts w:ascii="Times New Roman" w:eastAsia="宋体" w:hAnsi="Times New Roman" w:cs="Times New Roman"/>
          <w:szCs w:val="22"/>
        </w:rPr>
      </w:pPr>
    </w:p>
    <w:p w14:paraId="0F27A76C" w14:textId="77777777" w:rsidR="00192D35" w:rsidRDefault="005815D7">
      <w:p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b/>
          <w:szCs w:val="21"/>
        </w:rPr>
        <w:t>参考文献：</w:t>
      </w:r>
    </w:p>
    <w:p w14:paraId="7F4E83D1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刘博，梁雪莉，容娇君，等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. </w:t>
      </w:r>
      <w:r>
        <w:rPr>
          <w:rFonts w:ascii="Times New Roman" w:eastAsia="宋体" w:hAnsi="Times New Roman" w:cs="Times New Roman" w:hint="eastAsia"/>
          <w:szCs w:val="21"/>
        </w:rPr>
        <w:t>非常规油气层压裂微地震监测技术及应用</w:t>
      </w:r>
      <w:r>
        <w:rPr>
          <w:rFonts w:ascii="Times New Roman" w:hAnsi="Times New Roman" w:cs="Times New Roman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. </w:t>
      </w:r>
      <w:r>
        <w:rPr>
          <w:rFonts w:ascii="Times New Roman" w:eastAsia="宋体" w:hAnsi="Times New Roman" w:cs="Times New Roman" w:hint="eastAsia"/>
          <w:szCs w:val="21"/>
        </w:rPr>
        <w:t>石油地质与工程，</w:t>
      </w:r>
      <w:r>
        <w:rPr>
          <w:rFonts w:ascii="Times New Roman" w:eastAsia="宋体" w:hAnsi="Times New Roman" w:cs="Times New Roman"/>
          <w:szCs w:val="21"/>
        </w:rPr>
        <w:t>2016</w:t>
      </w:r>
      <w:r>
        <w:rPr>
          <w:rFonts w:ascii="Times New Roman" w:eastAsia="宋体" w:hAnsi="Times New Roman" w:cs="Times New Roman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30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1</w:t>
      </w:r>
      <w:r>
        <w:rPr>
          <w:rFonts w:ascii="Times New Roman" w:eastAsia="宋体" w:hAnsi="Times New Roman" w:cs="Times New Roman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142-145</w:t>
      </w:r>
      <w:r>
        <w:rPr>
          <w:rFonts w:ascii="宋体" w:eastAsia="宋体" w:hAnsi="宋体" w:cs="宋体" w:hint="eastAsia"/>
          <w:szCs w:val="21"/>
        </w:rPr>
        <w:t>.</w:t>
      </w:r>
    </w:p>
    <w:p w14:paraId="0223E1DD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苟量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张少华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余刚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等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光纤地球物理技术的发展现状与展望</w:t>
      </w:r>
      <w:r>
        <w:rPr>
          <w:rFonts w:ascii="Times New Roman" w:hAnsi="Times New Roman" w:cs="Times New Roman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石油物探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61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>：</w:t>
      </w:r>
      <w:r>
        <w:rPr>
          <w:rFonts w:ascii="Times New Roman" w:eastAsia="宋体" w:hAnsi="Times New Roman" w:cs="Times New Roman"/>
          <w:szCs w:val="21"/>
        </w:rPr>
        <w:t>15-31</w:t>
      </w:r>
      <w:r>
        <w:rPr>
          <w:rFonts w:ascii="宋体" w:eastAsia="宋体" w:hAnsi="宋体" w:cs="宋体" w:hint="eastAsia"/>
          <w:szCs w:val="21"/>
        </w:rPr>
        <w:t>.</w:t>
      </w:r>
    </w:p>
    <w:p w14:paraId="359C955B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吕公河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. </w:t>
      </w:r>
      <w:r>
        <w:rPr>
          <w:rFonts w:ascii="Times New Roman" w:eastAsia="宋体" w:hAnsi="Times New Roman" w:cs="Times New Roman" w:hint="eastAsia"/>
          <w:szCs w:val="21"/>
        </w:rPr>
        <w:t>地震勘探中振动问题分析</w:t>
      </w:r>
      <w:r>
        <w:rPr>
          <w:rFonts w:ascii="Times New Roman" w:eastAsia="宋体" w:hAnsi="Times New Roman" w:cs="Times New Roman" w:hint="eastAsia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. </w:t>
      </w:r>
      <w:r>
        <w:rPr>
          <w:rFonts w:ascii="Times New Roman" w:eastAsia="宋体" w:hAnsi="Times New Roman" w:cs="Times New Roman" w:hint="eastAsia"/>
          <w:szCs w:val="21"/>
        </w:rPr>
        <w:t>石油物探，</w:t>
      </w:r>
      <w:r>
        <w:rPr>
          <w:rFonts w:ascii="Times New Roman" w:eastAsia="宋体" w:hAnsi="Times New Roman" w:cs="Times New Roman"/>
          <w:szCs w:val="21"/>
        </w:rPr>
        <w:t>2002</w:t>
      </w:r>
      <w:r>
        <w:rPr>
          <w:rFonts w:ascii="Times New Roman" w:eastAsia="宋体" w:hAnsi="Times New Roman" w:cs="Times New Roman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41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154-157</w:t>
      </w:r>
      <w:r>
        <w:rPr>
          <w:rFonts w:ascii="宋体" w:eastAsia="宋体" w:hAnsi="宋体" w:cs="宋体" w:hint="eastAsia"/>
          <w:szCs w:val="21"/>
        </w:rPr>
        <w:t>.</w:t>
      </w:r>
    </w:p>
    <w:p w14:paraId="531A9522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CRANCH G A, NASH P J. Large-scale multiplexing of interferometric fiber-optic sensors using TDM and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DWDM[J]. Journal of Lightwave Technology, 2001, 19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（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5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）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: 687-699.</w:t>
      </w:r>
    </w:p>
    <w:p w14:paraId="3DD8185C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程坤，张文涛，黄稳柱，等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高分辨率光纤时分复用静态应变传感技术</w:t>
      </w:r>
      <w:r>
        <w:rPr>
          <w:rFonts w:ascii="Times New Roman" w:eastAsia="宋体" w:hAnsi="Times New Roman" w:cs="Times New Roman" w:hint="eastAsia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中国激光，</w:t>
      </w:r>
      <w:r>
        <w:rPr>
          <w:rFonts w:ascii="Times New Roman" w:eastAsia="宋体" w:hAnsi="Times New Roman" w:cs="Times New Roman" w:hint="eastAsia"/>
          <w:szCs w:val="21"/>
        </w:rPr>
        <w:t>2023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 w:hint="eastAsia"/>
          <w:szCs w:val="21"/>
        </w:rPr>
        <w:t>50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5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 w:hint="eastAsia"/>
          <w:szCs w:val="21"/>
        </w:rPr>
        <w:t>135-142.</w:t>
      </w:r>
    </w:p>
    <w:p w14:paraId="262B678D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李鹏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柏楠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陆星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干涉型光纤传感器相位解调技术研究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导航定位与授时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2020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7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3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9-14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6A3055CD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LIAO Y, AUSTIN E, NASH, P J, </w:t>
      </w:r>
      <w:r>
        <w:rPr>
          <w:rFonts w:ascii="Times New Roman" w:eastAsia="宋体" w:hAnsi="Times New Roman" w:cs="Times New Roman" w:hint="eastAsia"/>
          <w:szCs w:val="21"/>
        </w:rPr>
        <w:t>et al</w:t>
      </w:r>
      <w:r>
        <w:rPr>
          <w:rFonts w:ascii="Times New Roman" w:eastAsia="宋体" w:hAnsi="Times New Roman" w:cs="Times New Roman"/>
          <w:szCs w:val="21"/>
        </w:rPr>
        <w:t>. Phase sensitivity characterization in f</w:t>
      </w:r>
      <w:r>
        <w:rPr>
          <w:rFonts w:ascii="Times New Roman" w:eastAsia="宋体" w:hAnsi="Times New Roman" w:cs="Times New Roman"/>
          <w:szCs w:val="21"/>
        </w:rPr>
        <w:t xml:space="preserve">iber-optic sensor systems using amplifiers and </w:t>
      </w:r>
      <w:r>
        <w:rPr>
          <w:rFonts w:ascii="Times New Roman" w:eastAsia="宋体" w:hAnsi="Times New Roman" w:cs="Times New Roman" w:hint="eastAsia"/>
          <w:szCs w:val="21"/>
        </w:rPr>
        <w:t xml:space="preserve">TDM[J]. </w:t>
      </w:r>
      <w:r>
        <w:rPr>
          <w:rFonts w:ascii="Times New Roman" w:eastAsia="宋体" w:hAnsi="Times New Roman" w:cs="Times New Roman"/>
          <w:szCs w:val="21"/>
        </w:rPr>
        <w:t>Journal of Lightwave Technology</w:t>
      </w:r>
      <w:r>
        <w:rPr>
          <w:rFonts w:ascii="Times New Roman" w:eastAsia="宋体" w:hAnsi="Times New Roman" w:cs="Times New Roman" w:hint="eastAsia"/>
          <w:szCs w:val="21"/>
        </w:rPr>
        <w:t>,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 xml:space="preserve">2013, </w:t>
      </w:r>
      <w:r>
        <w:rPr>
          <w:rFonts w:ascii="Times New Roman" w:eastAsia="宋体" w:hAnsi="Times New Roman" w:cs="Times New Roman"/>
          <w:szCs w:val="21"/>
        </w:rPr>
        <w:t>31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10</w:t>
      </w:r>
      <w:r>
        <w:rPr>
          <w:rFonts w:ascii="Times New Roman" w:eastAsia="宋体" w:hAnsi="Times New Roman" w:cs="Times New Roman"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>, 1645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-</w:t>
      </w:r>
      <w:r>
        <w:rPr>
          <w:rFonts w:ascii="Times New Roman" w:eastAsia="宋体" w:hAnsi="Times New Roman" w:cs="Times New Roman"/>
          <w:szCs w:val="21"/>
        </w:rPr>
        <w:t>1653.</w:t>
      </w:r>
    </w:p>
    <w:p w14:paraId="5B58818C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LO Y L, XU S</w:t>
      </w:r>
      <w:r>
        <w:rPr>
          <w:rFonts w:ascii="Times New Roman" w:eastAsia="宋体" w:hAnsi="Times New Roman" w:cs="Times New Roman" w:hint="eastAsia"/>
          <w:szCs w:val="21"/>
        </w:rPr>
        <w:t xml:space="preserve"> H. New sensing mechanisms using an optical time domain refleceometry with fiber Bragg gratings[J]. Sensors and Actuators A: Physic</w:t>
      </w:r>
      <w:r>
        <w:rPr>
          <w:rFonts w:ascii="Times New Roman" w:eastAsia="宋体" w:hAnsi="Times New Roman" w:cs="Times New Roman" w:hint="eastAsia"/>
          <w:szCs w:val="21"/>
        </w:rPr>
        <w:t>al, 2007, 136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宋体" w:hAnsi="Times New Roman" w:cs="Times New Roman" w:hint="eastAsia"/>
          <w:szCs w:val="21"/>
        </w:rPr>
        <w:t>: 238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-</w:t>
      </w:r>
      <w:r>
        <w:rPr>
          <w:rFonts w:ascii="Times New Roman" w:eastAsia="宋体" w:hAnsi="Times New Roman" w:cs="Times New Roman" w:hint="eastAsia"/>
          <w:szCs w:val="21"/>
        </w:rPr>
        <w:t>243.</w:t>
      </w:r>
    </w:p>
    <w:p w14:paraId="6D6EBD29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CHENG Z L, ZHAO J L, ZHOU W M, </w:t>
      </w:r>
      <w:r>
        <w:rPr>
          <w:rFonts w:ascii="Times New Roman" w:eastAsia="宋体" w:hAnsi="Times New Roman" w:cs="Times New Roman" w:hint="eastAsia"/>
          <w:szCs w:val="21"/>
        </w:rPr>
        <w:t>et al</w:t>
      </w:r>
      <w:r>
        <w:rPr>
          <w:rFonts w:ascii="Times New Roman" w:eastAsia="宋体" w:hAnsi="Times New Roman" w:cs="Times New Roman" w:hint="eastAsia"/>
          <w:szCs w:val="21"/>
        </w:rPr>
        <w:t>．</w:t>
      </w:r>
      <w:r>
        <w:rPr>
          <w:rFonts w:ascii="Times New Roman" w:eastAsia="宋体" w:hAnsi="Times New Roman" w:cs="Times New Roman" w:hint="eastAsia"/>
          <w:szCs w:val="21"/>
        </w:rPr>
        <w:t>Avibration sensor on fiber Bragg grating Fabry-Perot cavity[J]. Acta Photonica Sinica</w:t>
      </w:r>
      <w:r>
        <w:rPr>
          <w:rFonts w:ascii="Times New Roman" w:eastAsia="宋体" w:hAnsi="Times New Roman" w:cs="Times New Roman"/>
          <w:szCs w:val="21"/>
        </w:rPr>
        <w:t xml:space="preserve">, </w:t>
      </w:r>
      <w:r>
        <w:rPr>
          <w:rFonts w:ascii="Times New Roman" w:eastAsia="宋体" w:hAnsi="Times New Roman" w:cs="Times New Roman" w:hint="eastAsia"/>
          <w:szCs w:val="21"/>
        </w:rPr>
        <w:t>2010</w:t>
      </w:r>
      <w:r>
        <w:rPr>
          <w:rFonts w:ascii="Times New Roman" w:eastAsia="宋体" w:hAnsi="Times New Roman" w:cs="Times New Roman"/>
          <w:szCs w:val="21"/>
        </w:rPr>
        <w:t xml:space="preserve">, </w:t>
      </w:r>
      <w:r>
        <w:rPr>
          <w:rFonts w:ascii="Times New Roman" w:eastAsia="宋体" w:hAnsi="Times New Roman" w:cs="Times New Roman" w:hint="eastAsia"/>
          <w:szCs w:val="21"/>
        </w:rPr>
        <w:t>39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宋体" w:hAnsi="Times New Roman" w:cs="Times New Roman" w:hint="eastAsia"/>
          <w:szCs w:val="21"/>
        </w:rPr>
        <w:t>: 47-52</w:t>
      </w:r>
      <w:r>
        <w:rPr>
          <w:rFonts w:ascii="Times New Roman" w:eastAsia="宋体" w:hAnsi="Times New Roman" w:cs="Times New Roman"/>
          <w:szCs w:val="21"/>
        </w:rPr>
        <w:t>.</w:t>
      </w:r>
    </w:p>
    <w:p w14:paraId="4C5BBDE9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cs="Times New Roman"/>
          <w:color w:val="000000" w:themeColor="text1"/>
          <w:szCs w:val="21"/>
        </w:rPr>
        <w:t>DE F, JOLYON M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.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Optical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c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rosstalk and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p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erformance in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t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ime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d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ivision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m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ultiplexed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d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erivative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s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ensing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t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echniques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[J]. IEEE Sensors Journal, 2020, 20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（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18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）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: 10615-10624.</w:t>
      </w:r>
    </w:p>
    <w:p w14:paraId="769182C3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LI S P, QING T, FU J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B, et al. High-accuracy optical fiber transfer delay measurement using fiber-optic microwave interferometry[J]. Journal of Lightewave Technology, 2021, 3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9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（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2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）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: 627-632.</w:t>
      </w:r>
    </w:p>
    <w:p w14:paraId="47525AFD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区坚海，徐恺，周悦，等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干涉型光纤传感器光正交外差解调技术研究</w:t>
      </w:r>
      <w:r>
        <w:rPr>
          <w:rFonts w:ascii="Times New Roman" w:eastAsia="宋体" w:hAnsi="Times New Roman" w:cs="Times New Roman" w:hint="eastAsia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光电工程，</w:t>
      </w:r>
      <w:r>
        <w:rPr>
          <w:rFonts w:ascii="Times New Roman" w:eastAsia="宋体" w:hAnsi="Times New Roman" w:cs="Times New Roman" w:hint="eastAsia"/>
          <w:szCs w:val="21"/>
        </w:rPr>
        <w:t>2012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 w:hint="eastAsia"/>
          <w:szCs w:val="21"/>
        </w:rPr>
        <w:t>39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4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 w:hint="eastAsia"/>
          <w:szCs w:val="21"/>
        </w:rPr>
        <w:t>108-113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3D798855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LIU F, XIE S R, ZHANG M,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et al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.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Downhole microseismic monitoring using time-division multiplexed fiber-optic accelerometer array[J]. IEEE Access, 2020, 8: 120104-120113.</w:t>
      </w:r>
    </w:p>
    <w:p w14:paraId="7A6FF859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董小卫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谢斌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刘飞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等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顺变柱体式光纤微地震检波器研制及实验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西安石油大学学报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自然科学版</w:t>
      </w:r>
      <w:r>
        <w:rPr>
          <w:rFonts w:ascii="Times New Roman" w:eastAsia="宋体" w:hAnsi="Times New Roman" w:cs="Times New Roman" w:hint="eastAsia"/>
          <w:szCs w:val="21"/>
        </w:rPr>
        <w:t>），</w:t>
      </w:r>
      <w:r>
        <w:rPr>
          <w:rFonts w:ascii="Times New Roman" w:eastAsia="宋体" w:hAnsi="Times New Roman" w:cs="Times New Roman"/>
          <w:szCs w:val="21"/>
        </w:rPr>
        <w:t>2023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38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52-58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34975582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巩鑫，华灯鑫，李仕春，等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时分复用光纤光栅传感系统的高速采集技术研究</w:t>
      </w:r>
      <w:r>
        <w:rPr>
          <w:rFonts w:ascii="Times New Roman" w:eastAsia="宋体" w:hAnsi="Times New Roman" w:cs="Times New Roman" w:hint="eastAsia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>西安理工大学学报，</w:t>
      </w:r>
      <w:r>
        <w:rPr>
          <w:rFonts w:ascii="Times New Roman" w:eastAsia="宋体" w:hAnsi="Times New Roman" w:cs="Times New Roman" w:hint="eastAsia"/>
          <w:szCs w:val="21"/>
        </w:rPr>
        <w:t>2014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 w:hint="eastAsia"/>
          <w:szCs w:val="21"/>
        </w:rPr>
        <w:t>30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3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 w:hint="eastAsia"/>
          <w:szCs w:val="21"/>
        </w:rPr>
        <w:t>293-298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2CB83AB6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王兆芳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卜胜利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苏德龙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等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分光比可调的光子晶体光纤耦合器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光学学报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2017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37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3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177-183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32B133D5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王建飞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王潇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罗洪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等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基于法拉第旋镜的干涉型光纤传感系统偏振相位噪声特性研究</w:t>
      </w:r>
      <w:r>
        <w:rPr>
          <w:rFonts w:ascii="Times New Roman" w:eastAsia="宋体" w:hAnsi="Times New Roman" w:cs="Times New Roman" w:hint="eastAsia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物理学报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2012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61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15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111-</w:t>
      </w:r>
      <w:r>
        <w:rPr>
          <w:rFonts w:ascii="Times New Roman" w:eastAsia="宋体" w:hAnsi="Times New Roman" w:cs="Times New Roman"/>
          <w:szCs w:val="21"/>
        </w:rPr>
        <w:t>120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531E3271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王璐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李辉栋，乔学光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基于轴承式杠杆机构的光纤光栅高频地震检波器设计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光通信技术，</w:t>
      </w:r>
      <w:r>
        <w:rPr>
          <w:rFonts w:ascii="Times New Roman" w:eastAsia="宋体" w:hAnsi="Times New Roman" w:cs="Times New Roman"/>
          <w:szCs w:val="21"/>
        </w:rPr>
        <w:t>2024</w:t>
      </w:r>
      <w:r>
        <w:rPr>
          <w:rFonts w:ascii="Times New Roman" w:eastAsia="宋体" w:hAnsi="Times New Roman" w:cs="Times New Roman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</w:t>
      </w:r>
      <w:r>
        <w:rPr>
          <w:rFonts w:ascii="Times New Roman" w:eastAsia="宋体" w:hAnsi="Times New Roman" w:cs="Times New Roman" w:hint="eastAsia"/>
          <w:szCs w:val="21"/>
        </w:rPr>
        <w:t>8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78-83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4881FE81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董小卫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刘帅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汪志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等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井下光纤微地震监测系统设计及应用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应用光学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43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171-178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3E0D7274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lastRenderedPageBreak/>
        <w:t>王英杰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邓大鹏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代晓媛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干涉型光纤传感系统的信号处理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光通信技术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2013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37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25-28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24ECB2F2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王为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张宝菊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尹晓慧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光纤光栅型平面冲击信号方向识别的小波包分析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激光与红外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2011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41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1392-1395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2799A97C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陆瑶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基于块脉冲函数运算矩阵的分数阶系统辨识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  <w:r>
        <w:rPr>
          <w:rFonts w:ascii="Times New Roman" w:eastAsia="宋体" w:hAnsi="Times New Roman" w:cs="Times New Roman" w:hint="eastAsia"/>
          <w:szCs w:val="21"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科学技术创新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2017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29</w:t>
      </w:r>
      <w:r>
        <w:rPr>
          <w:rFonts w:ascii="Times New Roman" w:eastAsia="宋体" w:hAnsi="Times New Roman" w:cs="Times New Roman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64-65</w:t>
      </w:r>
      <w:r>
        <w:rPr>
          <w:rFonts w:asciiTheme="majorEastAsia" w:eastAsiaTheme="majorEastAsia" w:hAnsiTheme="majorEastAsia" w:cstheme="majorEastAsia" w:hint="eastAsia"/>
          <w:szCs w:val="21"/>
        </w:rPr>
        <w:t>.</w:t>
      </w:r>
    </w:p>
    <w:p w14:paraId="4D07BD08" w14:textId="77777777" w:rsidR="00192D35" w:rsidRDefault="005815D7">
      <w:pPr>
        <w:numPr>
          <w:ilvl w:val="0"/>
          <w:numId w:val="4"/>
        </w:num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孙洪达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冯宇</w:t>
      </w:r>
      <w:r>
        <w:rPr>
          <w:rFonts w:ascii="Times New Roman" w:eastAsia="宋体" w:hAnsi="Times New Roman" w:cs="Times New Roman" w:hint="eastAsia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存在有界功率扰动和高斯白噪声的滤波算法</w:t>
      </w:r>
      <w:r>
        <w:rPr>
          <w:rFonts w:ascii="Times New Roman" w:eastAsia="宋体" w:hAnsi="Times New Roman" w:cs="Times New Roman"/>
          <w:szCs w:val="21"/>
        </w:rPr>
        <w:t>[J]</w:t>
      </w:r>
      <w:r>
        <w:rPr>
          <w:rFonts w:ascii="Times New Roman" w:eastAsia="宋体" w:hAnsi="Times New Roman" w:cs="Times New Roman" w:hint="eastAsia"/>
          <w:szCs w:val="21"/>
        </w:rPr>
        <w:t xml:space="preserve">. </w:t>
      </w:r>
      <w:r>
        <w:rPr>
          <w:rFonts w:ascii="Times New Roman" w:eastAsia="宋体" w:hAnsi="Times New Roman" w:cs="Times New Roman"/>
          <w:szCs w:val="21"/>
        </w:rPr>
        <w:t>系统科学与数学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2022</w:t>
      </w:r>
      <w:r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42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/>
          <w:szCs w:val="21"/>
        </w:rPr>
        <w:t>）：</w:t>
      </w:r>
      <w:r>
        <w:rPr>
          <w:rFonts w:ascii="Times New Roman" w:eastAsia="宋体" w:hAnsi="Times New Roman" w:cs="Times New Roman"/>
          <w:szCs w:val="21"/>
        </w:rPr>
        <w:t>3163-3172</w:t>
      </w:r>
      <w:r>
        <w:rPr>
          <w:rFonts w:ascii="Times New Roman" w:eastAsia="宋体" w:hAnsi="Times New Roman" w:cs="Times New Roman" w:hint="eastAsia"/>
          <w:szCs w:val="21"/>
        </w:rPr>
        <w:t>.</w:t>
      </w:r>
    </w:p>
    <w:p w14:paraId="3CEBC495" w14:textId="77777777" w:rsidR="00192D35" w:rsidRDefault="00192D35">
      <w:pPr>
        <w:rPr>
          <w:rFonts w:ascii="Times New Roman" w:eastAsia="宋体" w:hAnsi="Times New Roman" w:cs="Times New Roman"/>
          <w:szCs w:val="21"/>
        </w:rPr>
      </w:pPr>
      <w:bookmarkStart w:id="2" w:name="_GoBack"/>
      <w:bookmarkEnd w:id="2"/>
    </w:p>
    <w:p w14:paraId="3BE15874" w14:textId="77777777" w:rsidR="00192D35" w:rsidRDefault="005815D7">
      <w:pPr>
        <w:tabs>
          <w:tab w:val="left" w:pos="312"/>
        </w:tabs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收</w:t>
      </w:r>
      <w:r>
        <w:rPr>
          <w:rFonts w:asciiTheme="majorEastAsia" w:eastAsiaTheme="majorEastAsia" w:hAnsiTheme="majorEastAsia" w:cstheme="majorEastAsia"/>
          <w:b/>
          <w:szCs w:val="21"/>
        </w:rPr>
        <w:t>稿日期</w:t>
      </w:r>
      <w:r>
        <w:rPr>
          <w:rFonts w:asciiTheme="majorEastAsia" w:eastAsiaTheme="majorEastAsia" w:hAnsiTheme="majorEastAsia" w:cstheme="majorEastAsia"/>
          <w:szCs w:val="21"/>
        </w:rPr>
        <w:t>：</w:t>
      </w:r>
      <w:r>
        <w:rPr>
          <w:rFonts w:asciiTheme="majorEastAsia" w:eastAsiaTheme="majorEastAsia" w:hAnsiTheme="majorEastAsia" w:cstheme="majorEastAsia" w:hint="eastAsia"/>
          <w:szCs w:val="21"/>
        </w:rPr>
        <w:t>2024</w:t>
      </w:r>
      <w:r>
        <w:rPr>
          <w:rFonts w:asciiTheme="majorEastAsia" w:eastAsiaTheme="majorEastAsia" w:hAnsiTheme="majorEastAsia" w:cstheme="majorEastAsia"/>
          <w:szCs w:val="21"/>
        </w:rPr>
        <w:t>-10-08</w:t>
      </w:r>
      <w:r>
        <w:rPr>
          <w:rFonts w:asciiTheme="majorEastAsia" w:eastAsiaTheme="majorEastAsia" w:hAnsiTheme="majorEastAsia" w:cstheme="majorEastAsia" w:hint="eastAsia"/>
          <w:szCs w:val="21"/>
        </w:rPr>
        <w:t>。</w:t>
      </w:r>
    </w:p>
    <w:p w14:paraId="4F0B2930" w14:textId="77777777" w:rsidR="00192D35" w:rsidRDefault="005815D7">
      <w:p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b/>
          <w:szCs w:val="21"/>
        </w:rPr>
        <w:t>基金项目</w:t>
      </w:r>
      <w:r>
        <w:rPr>
          <w:rFonts w:ascii="Times New Roman" w:eastAsia="宋体" w:hAnsi="Times New Roman" w:cs="Times New Roman" w:hint="eastAsia"/>
          <w:b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中国石油天然气股份有限公司项目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批准号：</w:t>
      </w:r>
      <w:r>
        <w:rPr>
          <w:rFonts w:ascii="Times New Roman" w:eastAsia="宋体" w:hAnsi="Times New Roman" w:cs="Times New Roman" w:hint="eastAsia"/>
          <w:szCs w:val="21"/>
        </w:rPr>
        <w:t>2023ZZ24YJ06</w:t>
      </w:r>
      <w:r>
        <w:rPr>
          <w:rFonts w:ascii="Times New Roman" w:eastAsia="宋体" w:hAnsi="Times New Roman" w:cs="Times New Roman"/>
          <w:szCs w:val="21"/>
        </w:rPr>
        <w:t>）</w:t>
      </w:r>
      <w:r>
        <w:rPr>
          <w:rFonts w:ascii="Times New Roman" w:eastAsia="宋体" w:hAnsi="Times New Roman" w:cs="Times New Roman" w:hint="eastAsia"/>
          <w:szCs w:val="21"/>
        </w:rPr>
        <w:t>资助</w:t>
      </w:r>
      <w:r>
        <w:rPr>
          <w:rFonts w:ascii="Times New Roman" w:eastAsia="宋体" w:hAnsi="Times New Roman" w:cs="Times New Roman"/>
          <w:szCs w:val="21"/>
        </w:rPr>
        <w:t>。</w:t>
      </w:r>
    </w:p>
    <w:p w14:paraId="7A38087A" w14:textId="77777777" w:rsidR="00192D35" w:rsidRDefault="005815D7">
      <w:p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b/>
          <w:szCs w:val="21"/>
        </w:rPr>
        <w:t>作者简介</w:t>
      </w:r>
      <w:r>
        <w:rPr>
          <w:rFonts w:ascii="Times New Roman" w:eastAsia="宋体" w:hAnsi="Times New Roman" w:cs="Times New Roman" w:hint="eastAsia"/>
          <w:b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董小卫</w:t>
      </w:r>
      <w:r>
        <w:rPr>
          <w:rFonts w:ascii="Times New Roman" w:eastAsia="宋体" w:hAnsi="Times New Roman" w:cs="Times New Roman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19</w:t>
      </w:r>
      <w:r>
        <w:rPr>
          <w:rFonts w:ascii="Times New Roman" w:eastAsia="宋体" w:hAnsi="Times New Roman" w:cs="Times New Roman" w:hint="eastAsia"/>
          <w:szCs w:val="21"/>
        </w:rPr>
        <w:t>85</w:t>
      </w:r>
      <w:r>
        <w:rPr>
          <w:rFonts w:ascii="Times New Roman" w:eastAsia="宋体" w:hAnsi="Times New Roman" w:cs="Times New Roman" w:hint="eastAsia"/>
          <w:szCs w:val="21"/>
        </w:rPr>
        <w:t>—</w:t>
      </w:r>
      <w:r>
        <w:rPr>
          <w:rFonts w:ascii="Times New Roman" w:eastAsia="宋体" w:hAnsi="Times New Roman" w:cs="Times New Roman"/>
          <w:szCs w:val="21"/>
        </w:rPr>
        <w:t>），</w:t>
      </w:r>
      <w:r>
        <w:rPr>
          <w:rFonts w:ascii="Times New Roman" w:eastAsia="宋体" w:hAnsi="Times New Roman" w:cs="Times New Roman" w:hint="eastAsia"/>
          <w:szCs w:val="21"/>
        </w:rPr>
        <w:t>男</w:t>
      </w:r>
      <w:r>
        <w:rPr>
          <w:rFonts w:ascii="Times New Roman" w:eastAsia="宋体" w:hAnsi="Times New Roman" w:cs="Times New Roman"/>
          <w:szCs w:val="21"/>
        </w:rPr>
        <w:t>，</w:t>
      </w:r>
      <w:r>
        <w:rPr>
          <w:rFonts w:ascii="Times New Roman" w:eastAsia="宋体" w:hAnsi="Times New Roman" w:cs="Times New Roman" w:hint="eastAsia"/>
          <w:szCs w:val="21"/>
        </w:rPr>
        <w:t>陕西咸阳人，硕士</w:t>
      </w:r>
      <w:r>
        <w:rPr>
          <w:rFonts w:ascii="Times New Roman" w:eastAsia="宋体" w:hAnsi="Times New Roman" w:cs="Times New Roman"/>
          <w:szCs w:val="21"/>
        </w:rPr>
        <w:t>，</w:t>
      </w:r>
      <w:r>
        <w:rPr>
          <w:rFonts w:ascii="Times New Roman" w:eastAsia="宋体" w:hAnsi="Times New Roman" w:cs="Times New Roman" w:hint="eastAsia"/>
          <w:szCs w:val="21"/>
        </w:rPr>
        <w:t>高级工程师，</w:t>
      </w:r>
      <w:r>
        <w:rPr>
          <w:rFonts w:ascii="Times New Roman" w:eastAsia="宋体" w:hAnsi="Times New Roman" w:cs="Times New Roman"/>
          <w:szCs w:val="21"/>
        </w:rPr>
        <w:t>现</w:t>
      </w:r>
      <w:r>
        <w:rPr>
          <w:rFonts w:ascii="Times New Roman" w:eastAsia="宋体" w:hAnsi="Times New Roman" w:cs="Times New Roman" w:hint="eastAsia"/>
          <w:szCs w:val="21"/>
        </w:rPr>
        <w:t>就职</w:t>
      </w:r>
      <w:r>
        <w:rPr>
          <w:rFonts w:ascii="Times New Roman" w:eastAsia="宋体" w:hAnsi="Times New Roman" w:cs="Times New Roman"/>
          <w:szCs w:val="21"/>
        </w:rPr>
        <w:t>于</w:t>
      </w:r>
      <w:r>
        <w:rPr>
          <w:rFonts w:ascii="Times New Roman" w:eastAsia="宋体" w:hAnsi="Times New Roman" w:cs="Times New Roman" w:hint="eastAsia"/>
          <w:szCs w:val="21"/>
        </w:rPr>
        <w:t>中国石油新疆油田分公司采油工艺研究院。</w:t>
      </w:r>
      <w:r>
        <w:rPr>
          <w:rFonts w:ascii="Times New Roman" w:eastAsia="宋体" w:hAnsi="Times New Roman" w:cs="Times New Roman"/>
          <w:szCs w:val="21"/>
        </w:rPr>
        <w:t>主要</w:t>
      </w:r>
      <w:r>
        <w:rPr>
          <w:rFonts w:ascii="Times New Roman" w:eastAsia="宋体" w:hAnsi="Times New Roman" w:cs="Times New Roman" w:hint="eastAsia"/>
          <w:szCs w:val="21"/>
        </w:rPr>
        <w:t>研究方向是光纤微地震检波器、信号与信息处理。获省部级技术发明成果二等奖</w:t>
      </w:r>
      <w:r>
        <w:rPr>
          <w:rFonts w:ascii="Times New Roman" w:eastAsia="宋体" w:hAnsi="Times New Roman" w:cs="Times New Roman" w:hint="eastAsia"/>
          <w:szCs w:val="21"/>
        </w:rPr>
        <w:t>2</w:t>
      </w:r>
      <w:r>
        <w:rPr>
          <w:rFonts w:ascii="Times New Roman" w:eastAsia="宋体" w:hAnsi="Times New Roman" w:cs="Times New Roman" w:hint="eastAsia"/>
          <w:szCs w:val="21"/>
        </w:rPr>
        <w:t>项。</w:t>
      </w:r>
    </w:p>
    <w:p w14:paraId="52AA1BB1" w14:textId="77777777" w:rsidR="00192D35" w:rsidRDefault="005815D7">
      <w:p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noProof/>
          <w:szCs w:val="21"/>
        </w:rPr>
        <w:drawing>
          <wp:inline distT="0" distB="0" distL="114300" distR="114300">
            <wp:extent cx="720090" cy="1080135"/>
            <wp:effectExtent l="0" t="0" r="3810" b="5715"/>
            <wp:docPr id="1" name="图片 1" descr="董小卫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董小卫"/>
                    <pic:cNvPicPr/>
                  </pic:nvPicPr>
                  <pic:blipFill>
                    <a:blip r:embed="rId13"/>
                    <a:srcRect l="3086" r="4674"/>
                    <a:stretch>
                      <a:fillRect/>
                    </a:stretch>
                  </pic:blipFill>
                  <pic:spPr>
                    <a:xfrm>
                      <a:off x="0" y="0"/>
                      <a:ext cx="720090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D7659" w14:textId="1A619FEC" w:rsidR="00192D35" w:rsidRDefault="00192D35">
      <w:pPr>
        <w:rPr>
          <w:rFonts w:ascii="Times New Roman" w:eastAsia="宋体" w:hAnsi="Times New Roman" w:cs="Times New Roman"/>
          <w:b/>
          <w:bCs/>
          <w:szCs w:val="21"/>
        </w:rPr>
      </w:pPr>
    </w:p>
    <w:sectPr w:rsidR="00192D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ingFang SC">
    <w:altName w:val="Times New Roman"/>
    <w:charset w:val="00"/>
    <w:family w:val="roman"/>
    <w:pitch w:val="default"/>
  </w:font>
  <w:font w:name="KaTeX_Math">
    <w:altName w:val="Times New Roman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50134"/>
    <w:multiLevelType w:val="singleLevel"/>
    <w:tmpl w:val="16050134"/>
    <w:lvl w:ilvl="0">
      <w:start w:val="2"/>
      <w:numFmt w:val="decimal"/>
      <w:suff w:val="space"/>
      <w:lvlText w:val="%1."/>
      <w:lvlJc w:val="left"/>
    </w:lvl>
  </w:abstractNum>
  <w:abstractNum w:abstractNumId="1" w15:restartNumberingAfterBreak="0">
    <w:nsid w:val="199127F1"/>
    <w:multiLevelType w:val="singleLevel"/>
    <w:tmpl w:val="199127F1"/>
    <w:lvl w:ilvl="0">
      <w:start w:val="1"/>
      <w:numFmt w:val="decimal"/>
      <w:suff w:val="space"/>
      <w:lvlText w:val="（%1."/>
      <w:lvlJc w:val="left"/>
    </w:lvl>
  </w:abstractNum>
  <w:abstractNum w:abstractNumId="2" w15:restartNumberingAfterBreak="0">
    <w:nsid w:val="35140282"/>
    <w:multiLevelType w:val="singleLevel"/>
    <w:tmpl w:val="35140282"/>
    <w:lvl w:ilvl="0">
      <w:start w:val="1"/>
      <w:numFmt w:val="decimal"/>
      <w:lvlText w:val="[%1]"/>
      <w:lvlJc w:val="left"/>
      <w:pPr>
        <w:tabs>
          <w:tab w:val="left" w:pos="312"/>
        </w:tabs>
      </w:pPr>
    </w:lvl>
  </w:abstractNum>
  <w:abstractNum w:abstractNumId="3" w15:restartNumberingAfterBreak="0">
    <w:nsid w:val="63B724B2"/>
    <w:multiLevelType w:val="multilevel"/>
    <w:tmpl w:val="63B724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5602"/>
    <w:rsid w:val="000C0ECC"/>
    <w:rsid w:val="00100662"/>
    <w:rsid w:val="00172A27"/>
    <w:rsid w:val="00190D40"/>
    <w:rsid w:val="00192D35"/>
    <w:rsid w:val="002B6E66"/>
    <w:rsid w:val="002E2D51"/>
    <w:rsid w:val="00314F16"/>
    <w:rsid w:val="00355342"/>
    <w:rsid w:val="00360667"/>
    <w:rsid w:val="00376E04"/>
    <w:rsid w:val="00392293"/>
    <w:rsid w:val="00424B2D"/>
    <w:rsid w:val="00445E38"/>
    <w:rsid w:val="004B06FD"/>
    <w:rsid w:val="004D5D10"/>
    <w:rsid w:val="004F5B65"/>
    <w:rsid w:val="0056706D"/>
    <w:rsid w:val="00577942"/>
    <w:rsid w:val="005815D7"/>
    <w:rsid w:val="005C6AD6"/>
    <w:rsid w:val="005D519E"/>
    <w:rsid w:val="005E50D6"/>
    <w:rsid w:val="00603B87"/>
    <w:rsid w:val="00657AA5"/>
    <w:rsid w:val="006C6FCE"/>
    <w:rsid w:val="00747173"/>
    <w:rsid w:val="007D3E65"/>
    <w:rsid w:val="007E2951"/>
    <w:rsid w:val="007E317D"/>
    <w:rsid w:val="007F65C0"/>
    <w:rsid w:val="00830E13"/>
    <w:rsid w:val="00853329"/>
    <w:rsid w:val="00895F30"/>
    <w:rsid w:val="008A6EE1"/>
    <w:rsid w:val="008A7AF4"/>
    <w:rsid w:val="009061C5"/>
    <w:rsid w:val="00935C3A"/>
    <w:rsid w:val="009F1E5F"/>
    <w:rsid w:val="00A23AA1"/>
    <w:rsid w:val="00AD5CB3"/>
    <w:rsid w:val="00AE1579"/>
    <w:rsid w:val="00B02F77"/>
    <w:rsid w:val="00B91FD7"/>
    <w:rsid w:val="00BC74A4"/>
    <w:rsid w:val="00BF5622"/>
    <w:rsid w:val="00C90788"/>
    <w:rsid w:val="00D50432"/>
    <w:rsid w:val="00D6650B"/>
    <w:rsid w:val="00D74A7C"/>
    <w:rsid w:val="00D84D7E"/>
    <w:rsid w:val="00D94A11"/>
    <w:rsid w:val="00D979B1"/>
    <w:rsid w:val="00E05810"/>
    <w:rsid w:val="00E30CB4"/>
    <w:rsid w:val="00E955C9"/>
    <w:rsid w:val="00EE38C0"/>
    <w:rsid w:val="00F92335"/>
    <w:rsid w:val="00FD79E2"/>
    <w:rsid w:val="012705BA"/>
    <w:rsid w:val="01A749D2"/>
    <w:rsid w:val="01CE152E"/>
    <w:rsid w:val="023D4F71"/>
    <w:rsid w:val="0280477C"/>
    <w:rsid w:val="03131CBB"/>
    <w:rsid w:val="031731B3"/>
    <w:rsid w:val="03954C10"/>
    <w:rsid w:val="03B54D07"/>
    <w:rsid w:val="03C61DFB"/>
    <w:rsid w:val="03E92D5F"/>
    <w:rsid w:val="0400003C"/>
    <w:rsid w:val="040B239A"/>
    <w:rsid w:val="04BE681C"/>
    <w:rsid w:val="04CE2530"/>
    <w:rsid w:val="04DE44EC"/>
    <w:rsid w:val="05B849DB"/>
    <w:rsid w:val="05C54A96"/>
    <w:rsid w:val="06181700"/>
    <w:rsid w:val="066F2A58"/>
    <w:rsid w:val="06B34B30"/>
    <w:rsid w:val="06F16CC7"/>
    <w:rsid w:val="07213FE5"/>
    <w:rsid w:val="07601645"/>
    <w:rsid w:val="07970C71"/>
    <w:rsid w:val="07AB77CD"/>
    <w:rsid w:val="07CD3F0B"/>
    <w:rsid w:val="07D140A8"/>
    <w:rsid w:val="07D73AD7"/>
    <w:rsid w:val="07E12072"/>
    <w:rsid w:val="086B7B5E"/>
    <w:rsid w:val="08805EF8"/>
    <w:rsid w:val="088115F5"/>
    <w:rsid w:val="089F03AE"/>
    <w:rsid w:val="08A23FDF"/>
    <w:rsid w:val="08BF181E"/>
    <w:rsid w:val="0A046643"/>
    <w:rsid w:val="0A245C0E"/>
    <w:rsid w:val="0A42226C"/>
    <w:rsid w:val="0A89533B"/>
    <w:rsid w:val="0A8F3378"/>
    <w:rsid w:val="0B2D4903"/>
    <w:rsid w:val="0B8F0C1F"/>
    <w:rsid w:val="0B8F49A1"/>
    <w:rsid w:val="0BF86A86"/>
    <w:rsid w:val="0C015713"/>
    <w:rsid w:val="0C2367DD"/>
    <w:rsid w:val="0CC544B1"/>
    <w:rsid w:val="0CCB7736"/>
    <w:rsid w:val="0CE44DF5"/>
    <w:rsid w:val="0D072ABF"/>
    <w:rsid w:val="0D7A7164"/>
    <w:rsid w:val="0D8966B7"/>
    <w:rsid w:val="0DB42821"/>
    <w:rsid w:val="0DBF0567"/>
    <w:rsid w:val="0DC962C4"/>
    <w:rsid w:val="0E06648E"/>
    <w:rsid w:val="0E102DE0"/>
    <w:rsid w:val="0E3321EC"/>
    <w:rsid w:val="0E4133EA"/>
    <w:rsid w:val="0E53291C"/>
    <w:rsid w:val="0EE81E75"/>
    <w:rsid w:val="0F292484"/>
    <w:rsid w:val="0F490BF4"/>
    <w:rsid w:val="0F742258"/>
    <w:rsid w:val="102E3D25"/>
    <w:rsid w:val="10624359"/>
    <w:rsid w:val="1072795C"/>
    <w:rsid w:val="10B250F7"/>
    <w:rsid w:val="114221BA"/>
    <w:rsid w:val="11430C74"/>
    <w:rsid w:val="11772D52"/>
    <w:rsid w:val="11C46030"/>
    <w:rsid w:val="11E74810"/>
    <w:rsid w:val="11F10417"/>
    <w:rsid w:val="129437D2"/>
    <w:rsid w:val="13316333"/>
    <w:rsid w:val="13414414"/>
    <w:rsid w:val="13583D88"/>
    <w:rsid w:val="13632765"/>
    <w:rsid w:val="15267723"/>
    <w:rsid w:val="15A8182C"/>
    <w:rsid w:val="15C64ABF"/>
    <w:rsid w:val="15DD57ED"/>
    <w:rsid w:val="16135905"/>
    <w:rsid w:val="163525E3"/>
    <w:rsid w:val="16661C38"/>
    <w:rsid w:val="16E46A07"/>
    <w:rsid w:val="17C560E6"/>
    <w:rsid w:val="180B5FC3"/>
    <w:rsid w:val="18144FBF"/>
    <w:rsid w:val="181E1668"/>
    <w:rsid w:val="18553DDB"/>
    <w:rsid w:val="18D30753"/>
    <w:rsid w:val="19067F03"/>
    <w:rsid w:val="198925AC"/>
    <w:rsid w:val="198D5796"/>
    <w:rsid w:val="19924415"/>
    <w:rsid w:val="19D25AED"/>
    <w:rsid w:val="19DA7387"/>
    <w:rsid w:val="19F30AB3"/>
    <w:rsid w:val="1A3D2287"/>
    <w:rsid w:val="1A4344E1"/>
    <w:rsid w:val="1A6F7D8D"/>
    <w:rsid w:val="1A9305AD"/>
    <w:rsid w:val="1AA577CE"/>
    <w:rsid w:val="1AA66C50"/>
    <w:rsid w:val="1B612307"/>
    <w:rsid w:val="1B857DF1"/>
    <w:rsid w:val="1B963C22"/>
    <w:rsid w:val="1BB45191"/>
    <w:rsid w:val="1BC20B7C"/>
    <w:rsid w:val="1C4B0D0C"/>
    <w:rsid w:val="1CC672EB"/>
    <w:rsid w:val="1CDC37CA"/>
    <w:rsid w:val="1D0961BB"/>
    <w:rsid w:val="1D9638EF"/>
    <w:rsid w:val="1DA238BB"/>
    <w:rsid w:val="1EA82846"/>
    <w:rsid w:val="1F213224"/>
    <w:rsid w:val="1FB249B5"/>
    <w:rsid w:val="1FB87FDE"/>
    <w:rsid w:val="20737D9B"/>
    <w:rsid w:val="20B3577E"/>
    <w:rsid w:val="20ED687C"/>
    <w:rsid w:val="20FA09C7"/>
    <w:rsid w:val="21667890"/>
    <w:rsid w:val="21817E40"/>
    <w:rsid w:val="22663A1D"/>
    <w:rsid w:val="22851B8E"/>
    <w:rsid w:val="22C20A07"/>
    <w:rsid w:val="22C55EE1"/>
    <w:rsid w:val="22CB609C"/>
    <w:rsid w:val="23A86F92"/>
    <w:rsid w:val="23FA49F9"/>
    <w:rsid w:val="242C4ED9"/>
    <w:rsid w:val="24561728"/>
    <w:rsid w:val="2468611E"/>
    <w:rsid w:val="24991D5C"/>
    <w:rsid w:val="24A40DEA"/>
    <w:rsid w:val="255F1D4C"/>
    <w:rsid w:val="25D77B65"/>
    <w:rsid w:val="262150CE"/>
    <w:rsid w:val="26EC3D89"/>
    <w:rsid w:val="27452C5A"/>
    <w:rsid w:val="27D17FCA"/>
    <w:rsid w:val="27F6400E"/>
    <w:rsid w:val="281916C6"/>
    <w:rsid w:val="28297E27"/>
    <w:rsid w:val="289920DD"/>
    <w:rsid w:val="28CE5589"/>
    <w:rsid w:val="28DE285E"/>
    <w:rsid w:val="29237E2E"/>
    <w:rsid w:val="292D1797"/>
    <w:rsid w:val="297D2DEF"/>
    <w:rsid w:val="29BE3272"/>
    <w:rsid w:val="29D661EA"/>
    <w:rsid w:val="2A0615E0"/>
    <w:rsid w:val="2A4B1B76"/>
    <w:rsid w:val="2A624F24"/>
    <w:rsid w:val="2B111B72"/>
    <w:rsid w:val="2B4437E3"/>
    <w:rsid w:val="2B4963D9"/>
    <w:rsid w:val="2B535CF3"/>
    <w:rsid w:val="2B5D230B"/>
    <w:rsid w:val="2BA809BF"/>
    <w:rsid w:val="2C4F4C8A"/>
    <w:rsid w:val="2C5148F8"/>
    <w:rsid w:val="2C9B2BED"/>
    <w:rsid w:val="2D7D3BBC"/>
    <w:rsid w:val="2D8C46AF"/>
    <w:rsid w:val="2E427530"/>
    <w:rsid w:val="2EA24682"/>
    <w:rsid w:val="2EB70899"/>
    <w:rsid w:val="2F8014FB"/>
    <w:rsid w:val="2FC32D3F"/>
    <w:rsid w:val="2FE521C9"/>
    <w:rsid w:val="300B2706"/>
    <w:rsid w:val="31002AB4"/>
    <w:rsid w:val="314976DA"/>
    <w:rsid w:val="3157317A"/>
    <w:rsid w:val="316C7A73"/>
    <w:rsid w:val="31802004"/>
    <w:rsid w:val="31A026FD"/>
    <w:rsid w:val="31DD685C"/>
    <w:rsid w:val="31ED7C64"/>
    <w:rsid w:val="31FE3AB2"/>
    <w:rsid w:val="32241F7D"/>
    <w:rsid w:val="3296104A"/>
    <w:rsid w:val="32A80D69"/>
    <w:rsid w:val="32CC2B2D"/>
    <w:rsid w:val="33015C9E"/>
    <w:rsid w:val="33067A69"/>
    <w:rsid w:val="330B028A"/>
    <w:rsid w:val="33626352"/>
    <w:rsid w:val="33894432"/>
    <w:rsid w:val="33E123B0"/>
    <w:rsid w:val="342101FC"/>
    <w:rsid w:val="344B1FF5"/>
    <w:rsid w:val="347E2ACC"/>
    <w:rsid w:val="34D27376"/>
    <w:rsid w:val="34DB785A"/>
    <w:rsid w:val="35AA136C"/>
    <w:rsid w:val="35C22409"/>
    <w:rsid w:val="35DC161B"/>
    <w:rsid w:val="35F62CFB"/>
    <w:rsid w:val="36574F5C"/>
    <w:rsid w:val="36853A14"/>
    <w:rsid w:val="371C1E12"/>
    <w:rsid w:val="37251A25"/>
    <w:rsid w:val="377C2905"/>
    <w:rsid w:val="377E7251"/>
    <w:rsid w:val="378E3B10"/>
    <w:rsid w:val="37AB7B94"/>
    <w:rsid w:val="37CA40C5"/>
    <w:rsid w:val="37D459C4"/>
    <w:rsid w:val="380024ED"/>
    <w:rsid w:val="38127ACC"/>
    <w:rsid w:val="38156842"/>
    <w:rsid w:val="384975F9"/>
    <w:rsid w:val="38AD6D19"/>
    <w:rsid w:val="38E027E8"/>
    <w:rsid w:val="38E3082A"/>
    <w:rsid w:val="395317A5"/>
    <w:rsid w:val="397F57E4"/>
    <w:rsid w:val="39D23E95"/>
    <w:rsid w:val="39E75AA9"/>
    <w:rsid w:val="3A0375CA"/>
    <w:rsid w:val="3B147A50"/>
    <w:rsid w:val="3B9D7BB7"/>
    <w:rsid w:val="3BB10954"/>
    <w:rsid w:val="3BE67AF4"/>
    <w:rsid w:val="3CAA6647"/>
    <w:rsid w:val="3CF52463"/>
    <w:rsid w:val="3D6A2C59"/>
    <w:rsid w:val="3D6C3252"/>
    <w:rsid w:val="3DB2063B"/>
    <w:rsid w:val="3DBE485D"/>
    <w:rsid w:val="3E157329"/>
    <w:rsid w:val="3E221F87"/>
    <w:rsid w:val="3E2558CE"/>
    <w:rsid w:val="3E5B5970"/>
    <w:rsid w:val="3E651062"/>
    <w:rsid w:val="3E7823C8"/>
    <w:rsid w:val="3E8F15AB"/>
    <w:rsid w:val="3F03284D"/>
    <w:rsid w:val="3F350BC7"/>
    <w:rsid w:val="3F6C6E8D"/>
    <w:rsid w:val="3F734712"/>
    <w:rsid w:val="3F917540"/>
    <w:rsid w:val="3FF41747"/>
    <w:rsid w:val="3FFD24BD"/>
    <w:rsid w:val="402818F6"/>
    <w:rsid w:val="404C64BC"/>
    <w:rsid w:val="40683B31"/>
    <w:rsid w:val="4166036A"/>
    <w:rsid w:val="418C7A2A"/>
    <w:rsid w:val="419824A7"/>
    <w:rsid w:val="41C470C4"/>
    <w:rsid w:val="41E42F28"/>
    <w:rsid w:val="4215184D"/>
    <w:rsid w:val="42776107"/>
    <w:rsid w:val="43154E6D"/>
    <w:rsid w:val="435401C1"/>
    <w:rsid w:val="435E5801"/>
    <w:rsid w:val="436F11FE"/>
    <w:rsid w:val="43843F39"/>
    <w:rsid w:val="43F742D1"/>
    <w:rsid w:val="44610BD4"/>
    <w:rsid w:val="449F59E1"/>
    <w:rsid w:val="44DF68FB"/>
    <w:rsid w:val="45515497"/>
    <w:rsid w:val="456A368B"/>
    <w:rsid w:val="45AE37DF"/>
    <w:rsid w:val="45BA02CC"/>
    <w:rsid w:val="460446C0"/>
    <w:rsid w:val="479B2FDE"/>
    <w:rsid w:val="481A056D"/>
    <w:rsid w:val="483A6B07"/>
    <w:rsid w:val="483D7E4F"/>
    <w:rsid w:val="48537EDF"/>
    <w:rsid w:val="49243711"/>
    <w:rsid w:val="49365099"/>
    <w:rsid w:val="49B04835"/>
    <w:rsid w:val="49C83A62"/>
    <w:rsid w:val="49FC1796"/>
    <w:rsid w:val="4AC85E2F"/>
    <w:rsid w:val="4AF81ACB"/>
    <w:rsid w:val="4B23116F"/>
    <w:rsid w:val="4B255815"/>
    <w:rsid w:val="4BC91301"/>
    <w:rsid w:val="4C2B3505"/>
    <w:rsid w:val="4C3316DB"/>
    <w:rsid w:val="4C581BBF"/>
    <w:rsid w:val="4C8846BB"/>
    <w:rsid w:val="4CCE40FE"/>
    <w:rsid w:val="4CD53757"/>
    <w:rsid w:val="4D76399C"/>
    <w:rsid w:val="4DB369FF"/>
    <w:rsid w:val="4DD264EB"/>
    <w:rsid w:val="4E4026B0"/>
    <w:rsid w:val="4F5776A2"/>
    <w:rsid w:val="4F5B7F22"/>
    <w:rsid w:val="4FB520E8"/>
    <w:rsid w:val="4FEC7F35"/>
    <w:rsid w:val="50D8227A"/>
    <w:rsid w:val="510C2F9E"/>
    <w:rsid w:val="5139652B"/>
    <w:rsid w:val="516139DF"/>
    <w:rsid w:val="51D01A0D"/>
    <w:rsid w:val="52230B81"/>
    <w:rsid w:val="523212F1"/>
    <w:rsid w:val="524166C0"/>
    <w:rsid w:val="52546076"/>
    <w:rsid w:val="53215415"/>
    <w:rsid w:val="535610B9"/>
    <w:rsid w:val="537F1271"/>
    <w:rsid w:val="53BE208D"/>
    <w:rsid w:val="53F46CE4"/>
    <w:rsid w:val="541C31C9"/>
    <w:rsid w:val="545D2DE6"/>
    <w:rsid w:val="54ED1868"/>
    <w:rsid w:val="552724C4"/>
    <w:rsid w:val="55435B3B"/>
    <w:rsid w:val="557E2CC1"/>
    <w:rsid w:val="55D368CA"/>
    <w:rsid w:val="5622221A"/>
    <w:rsid w:val="563140C3"/>
    <w:rsid w:val="565647EF"/>
    <w:rsid w:val="566F7A09"/>
    <w:rsid w:val="569C0124"/>
    <w:rsid w:val="570C0469"/>
    <w:rsid w:val="5734327A"/>
    <w:rsid w:val="57623A50"/>
    <w:rsid w:val="57AF27DB"/>
    <w:rsid w:val="57B0139D"/>
    <w:rsid w:val="57B269DC"/>
    <w:rsid w:val="57B43ECC"/>
    <w:rsid w:val="584357FB"/>
    <w:rsid w:val="58A4009E"/>
    <w:rsid w:val="58B93C5C"/>
    <w:rsid w:val="58DB657E"/>
    <w:rsid w:val="58E651B5"/>
    <w:rsid w:val="58EF005E"/>
    <w:rsid w:val="590C67F7"/>
    <w:rsid w:val="59201ACE"/>
    <w:rsid w:val="5A4D3C08"/>
    <w:rsid w:val="5ABE22DC"/>
    <w:rsid w:val="5BB75F69"/>
    <w:rsid w:val="5BCA195E"/>
    <w:rsid w:val="5BDC4DE6"/>
    <w:rsid w:val="5C2B2BDA"/>
    <w:rsid w:val="5C3616C9"/>
    <w:rsid w:val="5C7D7850"/>
    <w:rsid w:val="5CB73BFB"/>
    <w:rsid w:val="5CE721DE"/>
    <w:rsid w:val="5CF048F3"/>
    <w:rsid w:val="5CFD72C9"/>
    <w:rsid w:val="5D3C3408"/>
    <w:rsid w:val="5D791A79"/>
    <w:rsid w:val="5DA64C73"/>
    <w:rsid w:val="5DE34D59"/>
    <w:rsid w:val="5DF601D1"/>
    <w:rsid w:val="5E4E5FC6"/>
    <w:rsid w:val="5E5413BB"/>
    <w:rsid w:val="5E805127"/>
    <w:rsid w:val="5EA01084"/>
    <w:rsid w:val="5EAF4E62"/>
    <w:rsid w:val="5F015D4E"/>
    <w:rsid w:val="5F1E6DD4"/>
    <w:rsid w:val="5F457269"/>
    <w:rsid w:val="603130F3"/>
    <w:rsid w:val="606D0280"/>
    <w:rsid w:val="60F0204B"/>
    <w:rsid w:val="61197DE4"/>
    <w:rsid w:val="613F21B5"/>
    <w:rsid w:val="615B07FD"/>
    <w:rsid w:val="61842BE2"/>
    <w:rsid w:val="61B12006"/>
    <w:rsid w:val="6215494C"/>
    <w:rsid w:val="625A2412"/>
    <w:rsid w:val="633A78F1"/>
    <w:rsid w:val="634810E1"/>
    <w:rsid w:val="63B0731F"/>
    <w:rsid w:val="63E867A6"/>
    <w:rsid w:val="6400040C"/>
    <w:rsid w:val="640A730D"/>
    <w:rsid w:val="6411247A"/>
    <w:rsid w:val="651347EB"/>
    <w:rsid w:val="651A051B"/>
    <w:rsid w:val="65AD42C9"/>
    <w:rsid w:val="65BA3020"/>
    <w:rsid w:val="65E91D15"/>
    <w:rsid w:val="6627305E"/>
    <w:rsid w:val="66595295"/>
    <w:rsid w:val="66967F9F"/>
    <w:rsid w:val="66D24C09"/>
    <w:rsid w:val="67175494"/>
    <w:rsid w:val="67772840"/>
    <w:rsid w:val="67F51779"/>
    <w:rsid w:val="68186B44"/>
    <w:rsid w:val="681E53E3"/>
    <w:rsid w:val="68574D25"/>
    <w:rsid w:val="68726283"/>
    <w:rsid w:val="687E0394"/>
    <w:rsid w:val="68923E60"/>
    <w:rsid w:val="689453E2"/>
    <w:rsid w:val="68A6438E"/>
    <w:rsid w:val="69106FF4"/>
    <w:rsid w:val="6934433A"/>
    <w:rsid w:val="69360F91"/>
    <w:rsid w:val="694406E8"/>
    <w:rsid w:val="694D5630"/>
    <w:rsid w:val="69C42426"/>
    <w:rsid w:val="6A4A3711"/>
    <w:rsid w:val="6A820421"/>
    <w:rsid w:val="6ADD5FBF"/>
    <w:rsid w:val="6AFF52D2"/>
    <w:rsid w:val="6BC9337B"/>
    <w:rsid w:val="6BD92CB0"/>
    <w:rsid w:val="6BE2632E"/>
    <w:rsid w:val="6C48249D"/>
    <w:rsid w:val="6CBB0AF3"/>
    <w:rsid w:val="6CCD7297"/>
    <w:rsid w:val="6D0A3327"/>
    <w:rsid w:val="6D0D666A"/>
    <w:rsid w:val="6D2D6062"/>
    <w:rsid w:val="6D9C610D"/>
    <w:rsid w:val="6E3426E9"/>
    <w:rsid w:val="6EBD6CE8"/>
    <w:rsid w:val="6ECB067B"/>
    <w:rsid w:val="6ED72AFB"/>
    <w:rsid w:val="6EF12A83"/>
    <w:rsid w:val="6F091AE9"/>
    <w:rsid w:val="6F913DD7"/>
    <w:rsid w:val="6F9460D1"/>
    <w:rsid w:val="6FEA08C0"/>
    <w:rsid w:val="705E1BB5"/>
    <w:rsid w:val="70691D1E"/>
    <w:rsid w:val="707574DE"/>
    <w:rsid w:val="712F450F"/>
    <w:rsid w:val="720A7738"/>
    <w:rsid w:val="722E515C"/>
    <w:rsid w:val="728D2D5D"/>
    <w:rsid w:val="72E01E00"/>
    <w:rsid w:val="7323173A"/>
    <w:rsid w:val="73AD26E0"/>
    <w:rsid w:val="73C33EDE"/>
    <w:rsid w:val="74135D81"/>
    <w:rsid w:val="747A0B87"/>
    <w:rsid w:val="74B02487"/>
    <w:rsid w:val="74B03592"/>
    <w:rsid w:val="74B03E4E"/>
    <w:rsid w:val="758B72EB"/>
    <w:rsid w:val="75BF64B4"/>
    <w:rsid w:val="763E2798"/>
    <w:rsid w:val="764E7DDD"/>
    <w:rsid w:val="7662506D"/>
    <w:rsid w:val="76735658"/>
    <w:rsid w:val="76A83D97"/>
    <w:rsid w:val="771F3603"/>
    <w:rsid w:val="773C2461"/>
    <w:rsid w:val="774833F7"/>
    <w:rsid w:val="77C43357"/>
    <w:rsid w:val="77F33618"/>
    <w:rsid w:val="783362BF"/>
    <w:rsid w:val="78765692"/>
    <w:rsid w:val="787D6968"/>
    <w:rsid w:val="787E1021"/>
    <w:rsid w:val="78C80A9F"/>
    <w:rsid w:val="78C93357"/>
    <w:rsid w:val="797C097D"/>
    <w:rsid w:val="799438D0"/>
    <w:rsid w:val="79F10EE7"/>
    <w:rsid w:val="7A5E560A"/>
    <w:rsid w:val="7AA134A0"/>
    <w:rsid w:val="7AB810C3"/>
    <w:rsid w:val="7AB95562"/>
    <w:rsid w:val="7B6B5C91"/>
    <w:rsid w:val="7C2564F0"/>
    <w:rsid w:val="7CD81A62"/>
    <w:rsid w:val="7CDF56E6"/>
    <w:rsid w:val="7CE50DF1"/>
    <w:rsid w:val="7D1D446A"/>
    <w:rsid w:val="7D694846"/>
    <w:rsid w:val="7D6F61F9"/>
    <w:rsid w:val="7DAD2041"/>
    <w:rsid w:val="7DF73D74"/>
    <w:rsid w:val="7E051FF4"/>
    <w:rsid w:val="7E0B7FBD"/>
    <w:rsid w:val="7E2651F3"/>
    <w:rsid w:val="7E3144C0"/>
    <w:rsid w:val="7E356D06"/>
    <w:rsid w:val="7E9C1D88"/>
    <w:rsid w:val="7EE336D3"/>
    <w:rsid w:val="7EEE4EA9"/>
    <w:rsid w:val="7FE2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3E48DE"/>
  <w15:docId w15:val="{5EBAD83C-B124-44C4-8566-C67581214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qFormat="1"/>
    <w:lsdException w:name="HTML Variable" w:qFormat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</w:style>
  <w:style w:type="paragraph" w:styleId="a5">
    <w:name w:val="Balloon Text"/>
    <w:basedOn w:val="a"/>
    <w:link w:val="a6"/>
    <w:qFormat/>
    <w:rPr>
      <w:sz w:val="18"/>
      <w:szCs w:val="18"/>
    </w:rPr>
  </w:style>
  <w:style w:type="paragraph" w:styleId="a7">
    <w:name w:val="Normal (Web)"/>
    <w:basedOn w:val="a"/>
    <w:uiPriority w:val="99"/>
    <w:qFormat/>
    <w:pPr>
      <w:jc w:val="left"/>
    </w:pPr>
    <w:rPr>
      <w:rFonts w:cs="Times New Roman"/>
      <w:kern w:val="0"/>
      <w:sz w:val="24"/>
    </w:rPr>
  </w:style>
  <w:style w:type="paragraph" w:styleId="a8">
    <w:name w:val="annotation subject"/>
    <w:basedOn w:val="a3"/>
    <w:next w:val="a3"/>
    <w:link w:val="a9"/>
    <w:qFormat/>
    <w:rPr>
      <w:b/>
      <w:bCs/>
    </w:rPr>
  </w:style>
  <w:style w:type="character" w:styleId="aa">
    <w:name w:val="Strong"/>
    <w:basedOn w:val="a0"/>
    <w:qFormat/>
  </w:style>
  <w:style w:type="character" w:styleId="ab">
    <w:name w:val="FollowedHyperlink"/>
    <w:basedOn w:val="a0"/>
    <w:qFormat/>
    <w:rPr>
      <w:color w:val="666666"/>
      <w:u w:val="none"/>
    </w:rPr>
  </w:style>
  <w:style w:type="character" w:styleId="ac">
    <w:name w:val="Emphasis"/>
    <w:basedOn w:val="a0"/>
    <w:qFormat/>
  </w:style>
  <w:style w:type="character" w:styleId="HTML">
    <w:name w:val="HTML Acronym"/>
    <w:basedOn w:val="a0"/>
    <w:qFormat/>
  </w:style>
  <w:style w:type="character" w:styleId="HTML0">
    <w:name w:val="HTML Variable"/>
    <w:basedOn w:val="a0"/>
    <w:qFormat/>
  </w:style>
  <w:style w:type="character" w:styleId="ad">
    <w:name w:val="Hyperlink"/>
    <w:basedOn w:val="a0"/>
    <w:qFormat/>
    <w:rPr>
      <w:color w:val="0000FF"/>
      <w:u w:val="single"/>
    </w:rPr>
  </w:style>
  <w:style w:type="character" w:styleId="ae">
    <w:name w:val="annotation reference"/>
    <w:basedOn w:val="a0"/>
    <w:qFormat/>
    <w:rPr>
      <w:sz w:val="21"/>
      <w:szCs w:val="21"/>
    </w:rPr>
  </w:style>
  <w:style w:type="paragraph" w:styleId="af">
    <w:name w:val="No Spacing"/>
    <w:uiPriority w:val="1"/>
    <w:qFormat/>
    <w:pPr>
      <w:widowControl w:val="0"/>
      <w:spacing w:before="120" w:after="240"/>
      <w:jc w:val="center"/>
    </w:pPr>
    <w:rPr>
      <w:rFonts w:cstheme="minorBidi"/>
      <w:kern w:val="2"/>
      <w:sz w:val="22"/>
      <w:szCs w:val="21"/>
    </w:rPr>
  </w:style>
  <w:style w:type="paragraph" w:styleId="af0">
    <w:name w:val="List Paragraph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ms-cui-mrusb-selecteditem">
    <w:name w:val="ms-cui-mrusb-selecteditem"/>
    <w:basedOn w:val="a0"/>
    <w:qFormat/>
  </w:style>
  <w:style w:type="character" w:customStyle="1" w:styleId="ms-offscreen">
    <w:name w:val="ms-offscreen"/>
    <w:basedOn w:val="a0"/>
    <w:qFormat/>
  </w:style>
  <w:style w:type="character" w:customStyle="1" w:styleId="ms-featurestatustext">
    <w:name w:val="ms-featurestatustext"/>
    <w:basedOn w:val="a0"/>
    <w:qFormat/>
  </w:style>
  <w:style w:type="character" w:customStyle="1" w:styleId="ms-viewselector">
    <w:name w:val="ms-viewselector"/>
    <w:basedOn w:val="a0"/>
    <w:qFormat/>
  </w:style>
  <w:style w:type="character" w:customStyle="1" w:styleId="ms-list-addnew-imgspan16">
    <w:name w:val="ms-list-addnew-imgspan16"/>
    <w:basedOn w:val="a0"/>
    <w:qFormat/>
  </w:style>
  <w:style w:type="character" w:customStyle="1" w:styleId="on">
    <w:name w:val="on"/>
    <w:basedOn w:val="a0"/>
    <w:qFormat/>
  </w:style>
  <w:style w:type="character" w:customStyle="1" w:styleId="on1">
    <w:name w:val="on1"/>
    <w:basedOn w:val="a0"/>
    <w:qFormat/>
  </w:style>
  <w:style w:type="character" w:customStyle="1" w:styleId="on2">
    <w:name w:val="on2"/>
    <w:basedOn w:val="a0"/>
    <w:qFormat/>
  </w:style>
  <w:style w:type="character" w:customStyle="1" w:styleId="ms-menu-hovarw">
    <w:name w:val="ms-menu-hovarw"/>
    <w:basedOn w:val="a0"/>
    <w:qFormat/>
  </w:style>
  <w:style w:type="character" w:customStyle="1" w:styleId="ms-navedit-itemspan">
    <w:name w:val="ms-navedit-itemspan"/>
    <w:basedOn w:val="a0"/>
    <w:qFormat/>
  </w:style>
  <w:style w:type="character" w:customStyle="1" w:styleId="ms-viewselectorhover">
    <w:name w:val="ms-viewselectorhover"/>
    <w:basedOn w:val="a0"/>
    <w:qFormat/>
  </w:style>
  <w:style w:type="character" w:customStyle="1" w:styleId="ms-tasklistshortcutcalloutspan">
    <w:name w:val="ms-tasklistshortcutcalloutspan"/>
    <w:basedOn w:val="a0"/>
    <w:qFormat/>
  </w:style>
  <w:style w:type="paragraph" w:customStyle="1" w:styleId="Style26">
    <w:name w:val="_Style 26"/>
    <w:basedOn w:val="a"/>
    <w:next w:val="a"/>
    <w:qFormat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27">
    <w:name w:val="_Style 27"/>
    <w:basedOn w:val="a"/>
    <w:next w:val="a"/>
    <w:qFormat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character" w:customStyle="1" w:styleId="ms-menu-hovarw4">
    <w:name w:val="ms-menu-hovarw4"/>
    <w:basedOn w:val="a0"/>
    <w:qFormat/>
  </w:style>
  <w:style w:type="character" w:customStyle="1" w:styleId="ms-viewselector2">
    <w:name w:val="ms-viewselector2"/>
    <w:basedOn w:val="a0"/>
    <w:qFormat/>
  </w:style>
  <w:style w:type="character" w:customStyle="1" w:styleId="ms-menu-hovarw3">
    <w:name w:val="ms-menu-hovarw3"/>
    <w:basedOn w:val="a0"/>
    <w:qFormat/>
  </w:style>
  <w:style w:type="character" w:customStyle="1" w:styleId="katex-mathml">
    <w:name w:val="katex-mathml"/>
    <w:basedOn w:val="a0"/>
    <w:qFormat/>
  </w:style>
  <w:style w:type="character" w:customStyle="1" w:styleId="mord">
    <w:name w:val="mord"/>
    <w:basedOn w:val="a0"/>
    <w:qFormat/>
  </w:style>
  <w:style w:type="character" w:customStyle="1" w:styleId="vlist-s">
    <w:name w:val="vlist-s"/>
    <w:basedOn w:val="a0"/>
    <w:qFormat/>
  </w:style>
  <w:style w:type="paragraph" w:customStyle="1" w:styleId="ds-markdown-paragraph">
    <w:name w:val="ds-markdown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mbin">
    <w:name w:val="mbin"/>
    <w:basedOn w:val="a0"/>
    <w:qFormat/>
  </w:style>
  <w:style w:type="character" w:customStyle="1" w:styleId="a4">
    <w:name w:val="批注文字 字符"/>
    <w:basedOn w:val="a0"/>
    <w:link w:val="a3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9">
    <w:name w:val="批注主题 字符"/>
    <w:basedOn w:val="a4"/>
    <w:link w:val="a8"/>
    <w:qFormat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character" w:customStyle="1" w:styleId="a6">
    <w:name w:val="批注框文本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1203</Words>
  <Characters>6859</Characters>
  <Application>Microsoft Office Word</Application>
  <DocSecurity>0</DocSecurity>
  <Lines>57</Lines>
  <Paragraphs>16</Paragraphs>
  <ScaleCrop>false</ScaleCrop>
  <Company>微软中国</Company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54</cp:revision>
  <cp:lastPrinted>2024-11-18T06:41:00Z</cp:lastPrinted>
  <dcterms:created xsi:type="dcterms:W3CDTF">2024-11-29T07:37:00Z</dcterms:created>
  <dcterms:modified xsi:type="dcterms:W3CDTF">2025-06-25T01:03:00Z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</Properties>
</file>