
<file path=[Content_Types].xml><?xml version="1.0" encoding="utf-8"?>
<Types xmlns="http://schemas.openxmlformats.org/package/2006/content-types">
  <Default Extension="vsd" ContentType="application/vnd.visio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49FAB" w14:textId="77777777" w:rsidR="00BF3ED6" w:rsidRDefault="009D4DE8">
      <w:pPr>
        <w:jc w:val="center"/>
        <w:rPr>
          <w:b/>
          <w:sz w:val="32"/>
          <w:szCs w:val="32"/>
        </w:rPr>
      </w:pPr>
      <w:r>
        <w:rPr>
          <w:rFonts w:hint="eastAsia"/>
          <w:b/>
        </w:rPr>
        <w:t>一种</w:t>
      </w:r>
      <w:r>
        <w:rPr>
          <w:b/>
        </w:rPr>
        <w:t>基于双光源和偏振技术的平坦光频梳产生</w:t>
      </w:r>
      <w:r>
        <w:rPr>
          <w:rFonts w:hint="eastAsia"/>
          <w:b/>
        </w:rPr>
        <w:t>方案</w:t>
      </w:r>
    </w:p>
    <w:p w14:paraId="417E528A" w14:textId="77777777" w:rsidR="00BF3ED6" w:rsidRDefault="009D4DE8">
      <w:pPr>
        <w:jc w:val="center"/>
      </w:pPr>
      <w:r>
        <w:t>孙</w:t>
      </w:r>
      <w:r>
        <w:t>秀婷</w:t>
      </w:r>
      <w:r>
        <w:rPr>
          <w:vertAlign w:val="superscript"/>
        </w:rPr>
        <w:t>1</w:t>
      </w:r>
      <w:r>
        <w:t>，范亚斌</w:t>
      </w:r>
      <w:r>
        <w:rPr>
          <w:vertAlign w:val="superscript"/>
        </w:rPr>
        <w:t>2</w:t>
      </w:r>
      <w:r>
        <w:t>，罗</w:t>
      </w:r>
      <w:r>
        <w:rPr>
          <w:rFonts w:hint="eastAsia"/>
        </w:rPr>
        <w:t xml:space="preserve"> </w:t>
      </w:r>
      <w:r>
        <w:t>静</w:t>
      </w:r>
      <w:r>
        <w:rPr>
          <w:vertAlign w:val="superscript"/>
        </w:rPr>
        <w:t>2</w:t>
      </w:r>
      <w:r>
        <w:t>，杨</w:t>
      </w:r>
      <w:r>
        <w:rPr>
          <w:rFonts w:hint="eastAsia"/>
        </w:rPr>
        <w:t xml:space="preserve"> </w:t>
      </w:r>
      <w:r>
        <w:t>蓓</w:t>
      </w:r>
      <w:r>
        <w:rPr>
          <w:vertAlign w:val="superscript"/>
        </w:rPr>
        <w:t>3*</w:t>
      </w:r>
      <w:r>
        <w:t>，卢智嘉</w:t>
      </w:r>
      <w:r>
        <w:rPr>
          <w:vertAlign w:val="superscript"/>
        </w:rPr>
        <w:t>2</w:t>
      </w:r>
    </w:p>
    <w:p w14:paraId="263155CC" w14:textId="77777777" w:rsidR="00BF3ED6" w:rsidRDefault="009D4DE8">
      <w:pPr>
        <w:rPr>
          <w:b/>
        </w:rPr>
      </w:pPr>
      <w:r>
        <w:t>（</w:t>
      </w:r>
      <w:r>
        <w:t>1.</w:t>
      </w:r>
      <w:r>
        <w:t>石家庄铁道大学</w:t>
      </w:r>
      <w:r>
        <w:rPr>
          <w:rFonts w:hint="eastAsia"/>
        </w:rPr>
        <w:t xml:space="preserve"> </w:t>
      </w:r>
      <w:r>
        <w:t>四方学院，石家庄</w:t>
      </w:r>
      <w:r>
        <w:t xml:space="preserve"> 051132</w:t>
      </w:r>
      <w:r>
        <w:t>；</w:t>
      </w:r>
      <w:r>
        <w:t xml:space="preserve">2. </w:t>
      </w:r>
      <w:r>
        <w:t>石家庄学院</w:t>
      </w:r>
      <w:r>
        <w:t xml:space="preserve"> </w:t>
      </w:r>
      <w:r>
        <w:t>教务处，石家庄</w:t>
      </w:r>
      <w:r>
        <w:t xml:space="preserve"> 050035</w:t>
      </w:r>
      <w:r>
        <w:t>；</w:t>
      </w:r>
      <w:r>
        <w:t>3.</w:t>
      </w:r>
      <w:r>
        <w:t>石家庄学院</w:t>
      </w:r>
      <w:r>
        <w:t xml:space="preserve"> </w:t>
      </w:r>
      <w:r>
        <w:t>机电学院，石家庄</w:t>
      </w:r>
      <w:r>
        <w:t xml:space="preserve"> </w:t>
      </w:r>
      <w:bookmarkStart w:id="0" w:name="_Hlk157866199"/>
      <w:r>
        <w:t>050035</w:t>
      </w:r>
      <w:bookmarkEnd w:id="0"/>
      <w:r>
        <w:t>）</w:t>
      </w:r>
    </w:p>
    <w:p w14:paraId="4DB52888" w14:textId="77777777" w:rsidR="00BF3ED6" w:rsidRDefault="009D4DE8">
      <w:r>
        <w:rPr>
          <w:b/>
        </w:rPr>
        <w:t>摘</w:t>
      </w:r>
      <w:r>
        <w:rPr>
          <w:b/>
        </w:rPr>
        <w:t>要：</w:t>
      </w:r>
      <w:r>
        <w:t>为提高光频梳（</w:t>
      </w:r>
      <w:r>
        <w:t>OFC</w:t>
      </w:r>
      <w:r>
        <w:t>）平坦度及梳线数量，设计了一种基于双光源和偏振技术的</w:t>
      </w:r>
      <w:r>
        <w:t>OFC</w:t>
      </w:r>
      <w:r>
        <w:t>产生方案，通过调整光相位调制器（</w:t>
      </w:r>
      <w:r>
        <w:t>O-PM</w:t>
      </w:r>
      <w:r>
        <w:t>）调制指数实现除主载波外的</w:t>
      </w:r>
      <w:r>
        <w:t>8</w:t>
      </w:r>
      <w:r>
        <w:rPr>
          <w:rFonts w:hint="eastAsia"/>
        </w:rPr>
        <w:t>根</w:t>
      </w:r>
      <w:r>
        <w:t>平坦梳线，再利用偏振技术改变主载波处的峰值功率，产生</w:t>
      </w:r>
      <w:r>
        <w:rPr>
          <w:rFonts w:hint="eastAsia"/>
        </w:rPr>
        <w:t>平坦</w:t>
      </w:r>
      <w:r>
        <w:t>OFC</w:t>
      </w:r>
      <w:r>
        <w:t>。理论分析了实现机理，</w:t>
      </w:r>
      <w:r>
        <w:rPr>
          <w:rFonts w:hint="eastAsia"/>
        </w:rPr>
        <w:t>并</w:t>
      </w:r>
      <w:r>
        <w:t>讨论了</w:t>
      </w:r>
      <w:r>
        <w:rPr>
          <w:rFonts w:hint="eastAsia"/>
        </w:rPr>
        <w:t>偏振</w:t>
      </w:r>
      <w:r>
        <w:t>角度</w:t>
      </w:r>
      <w:r>
        <w:rPr>
          <w:rFonts w:hint="eastAsia"/>
        </w:rPr>
        <w:t>、</w:t>
      </w:r>
      <w:r>
        <w:t>双光源线宽、初始相位和</w:t>
      </w:r>
      <w:r>
        <w:rPr>
          <w:rFonts w:hint="eastAsia"/>
        </w:rPr>
        <w:t>梳线</w:t>
      </w:r>
      <w:r>
        <w:t>间距对光频梳特性的影响。</w:t>
      </w:r>
      <w:r>
        <w:rPr>
          <w:rFonts w:hint="eastAsia"/>
        </w:rPr>
        <w:t>仿真</w:t>
      </w:r>
      <w:r>
        <w:t>结果表明</w:t>
      </w:r>
      <w:r>
        <w:rPr>
          <w:rFonts w:hint="eastAsia"/>
        </w:rPr>
        <w:t>：</w:t>
      </w:r>
      <w:r>
        <w:t>当</w:t>
      </w:r>
      <w:r>
        <w:t>O-PM</w:t>
      </w:r>
      <w:r>
        <w:t>调制指数</w:t>
      </w:r>
      <m:oMath>
        <m:r>
          <w:rPr>
            <w:rFonts w:ascii="Cambria Math" w:hAnsi="Cambria Math"/>
          </w:rPr>
          <m:t>m</m:t>
        </m:r>
        <m:r>
          <w:rPr>
            <w:rFonts w:ascii="Cambria Math" w:hAnsi="Cambria Math"/>
          </w:rPr>
          <m:t>=2.62</m:t>
        </m:r>
      </m:oMath>
      <w:r>
        <w:t>时，即射频信号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</m:oMath>
      <w:r>
        <w:t>的幅度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=1.67 </m:t>
        </m:r>
        <m:r>
          <w:rPr>
            <w:rFonts w:ascii="Cambria Math" w:hAnsi="Cambria Math"/>
          </w:rPr>
          <m:t>V</m:t>
        </m:r>
      </m:oMath>
      <w:r>
        <w:t>，可产生除中心载波外的</w:t>
      </w:r>
      <w:r>
        <w:t>8</w:t>
      </w:r>
      <w:r>
        <w:rPr>
          <w:rFonts w:hint="eastAsia"/>
        </w:rPr>
        <w:t>根</w:t>
      </w:r>
      <w:r>
        <w:t>平坦梳线</w:t>
      </w:r>
      <w:r>
        <w:rPr>
          <w:rFonts w:hint="eastAsia"/>
        </w:rPr>
        <w:t>；当</w:t>
      </w:r>
      <w:r>
        <w:t>偏振控制器偏振角度</w:t>
      </w:r>
      <m:oMath>
        <m:r>
          <w:rPr>
            <w:rFonts w:ascii="Cambria Math" w:hAnsi="Cambria Math"/>
          </w:rPr>
          <m:t>φ</m:t>
        </m:r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29.8</m:t>
            </m:r>
          </m:e>
          <m:sup>
            <m:r>
              <w:rPr>
                <w:rFonts w:ascii="Cambria Math" w:hAnsi="Cambria Math"/>
              </w:rPr>
              <m:t>°</m:t>
            </m:r>
          </m:sup>
        </m:sSup>
      </m:oMath>
      <w:r>
        <w:t>、线偏振器偏振角度</w:t>
      </w:r>
      <m:oMath>
        <m:r>
          <w:rPr>
            <w:rFonts w:ascii="Cambria Math" w:hAnsi="Cambria Math"/>
          </w:rPr>
          <m:t>α</m:t>
        </m:r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45</m:t>
            </m:r>
          </m:e>
          <m:sup>
            <m:r>
              <w:rPr>
                <w:rFonts w:ascii="Cambria Math" w:hAnsi="Cambria Math"/>
              </w:rPr>
              <m:t>°</m:t>
            </m:r>
          </m:sup>
        </m:sSup>
      </m:oMath>
      <w:r>
        <w:t>，可产生梳线数量为</w:t>
      </w:r>
      <w:r>
        <w:t>10</w:t>
      </w:r>
      <w:r>
        <w:t>、平坦度为</w:t>
      </w:r>
      <w:r>
        <w:t>0.01 dB</w:t>
      </w:r>
      <w:r>
        <w:t>、边模抑制比为</w:t>
      </w:r>
      <w:r>
        <w:t>6.15 dB</w:t>
      </w:r>
      <w:r>
        <w:t>的高平坦</w:t>
      </w:r>
      <w:r>
        <w:t>OFC</w:t>
      </w:r>
      <w:r>
        <w:t>。</w:t>
      </w:r>
    </w:p>
    <w:p w14:paraId="5762F506" w14:textId="77777777" w:rsidR="00BF3ED6" w:rsidRDefault="009D4DE8">
      <w:r>
        <w:rPr>
          <w:b/>
        </w:rPr>
        <w:t>关</w:t>
      </w:r>
      <w:r>
        <w:rPr>
          <w:b/>
        </w:rPr>
        <w:t>键词：</w:t>
      </w:r>
      <w:r>
        <w:t>光频梳；偏振技术；双光源；平坦度</w:t>
      </w:r>
    </w:p>
    <w:p w14:paraId="0A5EC5F8" w14:textId="77777777" w:rsidR="00BF3ED6" w:rsidRDefault="009D4DE8">
      <w:r>
        <w:rPr>
          <w:b/>
        </w:rPr>
        <w:t>中</w:t>
      </w:r>
      <w:r>
        <w:rPr>
          <w:b/>
        </w:rPr>
        <w:t>图分类号：</w:t>
      </w:r>
      <w:r>
        <w:t xml:space="preserve">TN929.11    </w:t>
      </w:r>
      <w:r>
        <w:t>文献标识码</w:t>
      </w:r>
      <w:r>
        <w:t xml:space="preserve">: A         </w:t>
      </w:r>
    </w:p>
    <w:p w14:paraId="70DD65F3" w14:textId="77777777" w:rsidR="00BF3ED6" w:rsidRDefault="00BF3ED6"/>
    <w:p w14:paraId="789D1795" w14:textId="77777777" w:rsidR="00BF3ED6" w:rsidRDefault="009D4DE8">
      <w:pPr>
        <w:rPr>
          <w:highlight w:val="yellow"/>
        </w:rPr>
      </w:pPr>
      <w:r>
        <w:rPr>
          <w:rFonts w:hint="eastAsia"/>
          <w:highlight w:val="yellow"/>
        </w:rPr>
        <w:t>A</w:t>
      </w:r>
      <w:r>
        <w:rPr>
          <w:rFonts w:hint="eastAsia"/>
          <w:highlight w:val="yellow"/>
        </w:rPr>
        <w:t xml:space="preserve"> flat optical frequency</w:t>
      </w:r>
      <w:r>
        <w:rPr>
          <w:rFonts w:hint="eastAsia"/>
          <w:highlight w:val="yellow"/>
        </w:rPr>
        <w:t xml:space="preserve"> comb generation scheme based on dual light sources and polarization technology</w:t>
      </w:r>
    </w:p>
    <w:p w14:paraId="3D9E9628" w14:textId="77777777" w:rsidR="00BF3ED6" w:rsidRDefault="009D4DE8">
      <w:pPr>
        <w:rPr>
          <w:vertAlign w:val="superscript"/>
        </w:rPr>
      </w:pPr>
      <w:bookmarkStart w:id="1" w:name="OLE_LINK5"/>
      <w:r>
        <w:t>SUN Xiuting</w:t>
      </w:r>
      <w:r>
        <w:rPr>
          <w:vertAlign w:val="superscript"/>
        </w:rPr>
        <w:t>1</w:t>
      </w:r>
      <w:r>
        <w:t>, FAN Yabin</w:t>
      </w:r>
      <w:r>
        <w:rPr>
          <w:vertAlign w:val="superscript"/>
        </w:rPr>
        <w:t>2</w:t>
      </w:r>
      <w:r>
        <w:t>, LUO Jing</w:t>
      </w:r>
      <w:r>
        <w:rPr>
          <w:vertAlign w:val="superscript"/>
        </w:rPr>
        <w:t>2</w:t>
      </w:r>
      <w:r>
        <w:t>, YANG Bei</w:t>
      </w:r>
      <w:r>
        <w:rPr>
          <w:vertAlign w:val="superscript"/>
        </w:rPr>
        <w:t>3*</w:t>
      </w:r>
      <w:r>
        <w:t>, LU Zhijia</w:t>
      </w:r>
      <w:r>
        <w:rPr>
          <w:vertAlign w:val="superscript"/>
        </w:rPr>
        <w:t xml:space="preserve">2 </w:t>
      </w:r>
    </w:p>
    <w:p w14:paraId="07F34D15" w14:textId="77777777" w:rsidR="00BF3ED6" w:rsidRDefault="009D4DE8">
      <w:r>
        <w:t>（</w:t>
      </w:r>
      <w:r>
        <w:t>1. Shijiazhuang Tiedao University Sifang College, Shijiazhuang 051132</w:t>
      </w:r>
      <w:r>
        <w:rPr>
          <w:rFonts w:hint="eastAsia"/>
        </w:rPr>
        <w:t>,</w:t>
      </w:r>
      <w:r>
        <w:t xml:space="preserve"> China; 2. Dean's office, Shijiazhuang University</w:t>
      </w:r>
      <w:r>
        <w:t>，</w:t>
      </w:r>
      <w:r>
        <w:t xml:space="preserve"> Shijiazhuang 050035</w:t>
      </w:r>
      <w:r>
        <w:rPr>
          <w:rFonts w:hint="eastAsia"/>
        </w:rPr>
        <w:t>,</w:t>
      </w:r>
      <w:r>
        <w:t xml:space="preserve"> China; 3. Mechanical and Electrical College</w:t>
      </w:r>
      <w:r>
        <w:t>，</w:t>
      </w:r>
      <w:r>
        <w:t xml:space="preserve"> Shijiazhuang University</w:t>
      </w:r>
      <w:r>
        <w:t>，</w:t>
      </w:r>
      <w:r>
        <w:t xml:space="preserve"> Shijiazhuang 050035</w:t>
      </w:r>
      <w:r>
        <w:rPr>
          <w:rFonts w:hint="eastAsia"/>
        </w:rPr>
        <w:t>,</w:t>
      </w:r>
      <w:r>
        <w:t xml:space="preserve"> China</w:t>
      </w:r>
      <w:r>
        <w:t>）</w:t>
      </w:r>
      <w:r>
        <w:t xml:space="preserve"> </w:t>
      </w:r>
    </w:p>
    <w:p w14:paraId="1BE0DC39" w14:textId="77777777" w:rsidR="00BF3ED6" w:rsidRDefault="00BF3ED6"/>
    <w:p w14:paraId="1C6D3606" w14:textId="115C06CA" w:rsidR="00BF3ED6" w:rsidRDefault="009D4DE8">
      <w:pPr>
        <w:rPr>
          <w:highlight w:val="yellow"/>
        </w:rPr>
      </w:pPr>
      <w:bookmarkStart w:id="2" w:name="OLE_LINK1"/>
      <w:bookmarkEnd w:id="1"/>
      <w:r>
        <w:rPr>
          <w:b/>
          <w:highlight w:val="yellow"/>
        </w:rPr>
        <w:t>Abstract:</w:t>
      </w:r>
      <w:bookmarkEnd w:id="2"/>
      <w:r>
        <w:rPr>
          <w:b/>
          <w:highlight w:val="yellow"/>
        </w:rPr>
        <w:t xml:space="preserve"> </w:t>
      </w:r>
      <w:r>
        <w:rPr>
          <w:rFonts w:hint="eastAsia"/>
          <w:highlight w:val="yellow"/>
        </w:rPr>
        <w:t>To improve the flatness and number of comb lines in optical frequency comb</w:t>
      </w:r>
      <w:r>
        <w:rPr>
          <w:rFonts w:hint="eastAsia"/>
          <w:highlight w:val="yellow"/>
        </w:rPr>
        <w:t xml:space="preserve"> (OFC), a dual light source and polarization technology based OFC generation scheme was designed. By adjusting the modulation index of the optical phase modulator (O-PM), 8 flat comb lines were achieved except for the main carrier, and polarization technol</w:t>
      </w:r>
      <w:r>
        <w:rPr>
          <w:rFonts w:hint="eastAsia"/>
          <w:highlight w:val="yellow"/>
        </w:rPr>
        <w:t>ogy was used to change the peak power at the main carrier to generate a flat OFC. Theoretical analysis was conducted on the implementation mechanism, and the effects of polarization angle, dual light source linewidth, initial phase, and comb line spacing o</w:t>
      </w:r>
      <w:r>
        <w:rPr>
          <w:rFonts w:hint="eastAsia"/>
          <w:highlight w:val="yellow"/>
        </w:rPr>
        <w:t xml:space="preserve">n the frequency comb characteristics were discussed. The simulation results show that when the O-PM modulation index </w:t>
      </w:r>
      <w:r>
        <w:rPr>
          <w:rFonts w:hint="eastAsia"/>
          <w:highlight w:val="yellow"/>
        </w:rPr>
        <w:t xml:space="preserve">is </w:t>
      </w:r>
      <m:oMath>
        <m:r>
          <w:rPr>
            <w:rFonts w:ascii="Cambria Math" w:hAnsi="Cambria Math"/>
            <w:highlight w:val="yellow"/>
          </w:rPr>
          <m:t>m</m:t>
        </m:r>
        <m:r>
          <w:rPr>
            <w:rFonts w:ascii="Cambria Math" w:hAnsi="Cambria Math"/>
            <w:highlight w:val="yellow"/>
          </w:rPr>
          <m:t>=2.62</m:t>
        </m:r>
      </m:oMath>
      <w:r>
        <w:rPr>
          <w:rFonts w:hint="eastAsia"/>
          <w:highlight w:val="yellow"/>
        </w:rPr>
        <w:t xml:space="preserve">, i.e. the amplitude of the RF signal </w:t>
      </w:r>
      <w:r>
        <w:rPr>
          <w:rFonts w:hint="eastAsia"/>
          <w:highlight w:val="yellow"/>
        </w:rPr>
        <w:t xml:space="preserve">is </w:t>
      </w:r>
      <m:oMath>
        <m:sSub>
          <m:sSubPr>
            <m:ctrlPr>
              <w:rPr>
                <w:rFonts w:ascii="Cambria Math" w:hAnsi="Cambria Math"/>
                <w:i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E</m:t>
            </m:r>
          </m:e>
          <m:sub>
            <m:r>
              <w:rPr>
                <w:rFonts w:ascii="Cambria Math" w:hAnsi="Cambria Math"/>
                <w:highlight w:val="yellow"/>
              </w:rPr>
              <m:t>1</m:t>
            </m:r>
          </m:sub>
        </m:sSub>
        <m:r>
          <w:rPr>
            <w:rFonts w:ascii="Cambria Math" w:hAnsi="Cambria Math"/>
            <w:highlight w:val="yellow"/>
          </w:rPr>
          <m:t xml:space="preserve">=1.67 </m:t>
        </m:r>
        <m:r>
          <w:rPr>
            <w:rFonts w:ascii="Cambria Math" w:hAnsi="Cambria Math"/>
            <w:highlight w:val="yellow"/>
          </w:rPr>
          <m:t>V</m:t>
        </m:r>
      </m:oMath>
      <w:r>
        <w:rPr>
          <w:rFonts w:hint="eastAsia"/>
          <w:highlight w:val="yellow"/>
        </w:rPr>
        <w:t>, 8 flat comb lines can be generated except for the center carrier</w:t>
      </w:r>
      <w:r>
        <w:rPr>
          <w:rFonts w:hint="eastAsia"/>
          <w:highlight w:val="yellow"/>
        </w:rPr>
        <w:t>.</w:t>
      </w:r>
      <w:r>
        <w:rPr>
          <w:rFonts w:hint="eastAsia"/>
          <w:highlight w:val="yellow"/>
        </w:rPr>
        <w:t xml:space="preserve"> When the </w:t>
      </w:r>
      <w:r>
        <w:rPr>
          <w:rFonts w:hint="eastAsia"/>
          <w:highlight w:val="yellow"/>
        </w:rPr>
        <w:t xml:space="preserve">polarization angle of the polarization controller is </w:t>
      </w:r>
      <m:oMath>
        <m:r>
          <w:rPr>
            <w:rFonts w:ascii="Cambria Math" w:hAnsi="Cambria Math"/>
            <w:highlight w:val="yellow"/>
          </w:rPr>
          <m:t>φ</m:t>
        </m:r>
        <m:r>
          <w:rPr>
            <w:rFonts w:ascii="Cambria Math" w:hAnsi="Cambria Math"/>
            <w:highlight w:val="yellow"/>
          </w:rPr>
          <m:t>=</m:t>
        </m:r>
        <m:sSup>
          <m:sSupPr>
            <m:ctrlPr>
              <w:rPr>
                <w:rFonts w:ascii="Cambria Math" w:hAnsi="Cambria Math"/>
                <w:i/>
                <w:highlight w:val="yellow"/>
              </w:rPr>
            </m:ctrlPr>
          </m:sSupPr>
          <m:e>
            <m:r>
              <w:rPr>
                <w:rFonts w:ascii="Cambria Math" w:hAnsi="Cambria Math"/>
                <w:highlight w:val="yellow"/>
              </w:rPr>
              <m:t>29.8</m:t>
            </m:r>
          </m:e>
          <m:sup>
            <m:r>
              <w:rPr>
                <w:rFonts w:ascii="Cambria Math" w:hAnsi="Cambria Math"/>
                <w:highlight w:val="yellow"/>
              </w:rPr>
              <m:t>°</m:t>
            </m:r>
          </m:sup>
        </m:sSup>
      </m:oMath>
      <w:r>
        <w:rPr>
          <w:rFonts w:hint="eastAsia"/>
          <w:highlight w:val="yellow"/>
        </w:rPr>
        <w:t xml:space="preserve"> and the polarization angle of the linear polarizer is </w:t>
      </w:r>
      <m:oMath>
        <m:r>
          <w:rPr>
            <w:rFonts w:ascii="Cambria Math" w:hAnsi="Cambria Math"/>
            <w:highlight w:val="yellow"/>
          </w:rPr>
          <m:t>α</m:t>
        </m:r>
        <m:r>
          <w:rPr>
            <w:rFonts w:ascii="Cambria Math" w:hAnsi="Cambria Math"/>
            <w:highlight w:val="yellow"/>
          </w:rPr>
          <m:t>=</m:t>
        </m:r>
        <m:sSup>
          <m:sSupPr>
            <m:ctrlPr>
              <w:rPr>
                <w:rFonts w:ascii="Cambria Math" w:hAnsi="Cambria Math"/>
                <w:i/>
                <w:highlight w:val="yellow"/>
              </w:rPr>
            </m:ctrlPr>
          </m:sSupPr>
          <m:e>
            <m:r>
              <w:rPr>
                <w:rFonts w:ascii="Cambria Math" w:hAnsi="Cambria Math"/>
                <w:highlight w:val="yellow"/>
              </w:rPr>
              <m:t>45</m:t>
            </m:r>
          </m:e>
          <m:sup>
            <m:r>
              <w:rPr>
                <w:rFonts w:ascii="Cambria Math" w:hAnsi="Cambria Math"/>
                <w:highlight w:val="yellow"/>
              </w:rPr>
              <m:t>°</m:t>
            </m:r>
          </m:sup>
        </m:sSup>
      </m:oMath>
      <w:r>
        <w:rPr>
          <w:rFonts w:hint="eastAsia"/>
          <w:highlight w:val="yellow"/>
        </w:rPr>
        <w:t>, a high flatness OFC with 10 comb lines, 0.01 dB</w:t>
      </w:r>
      <w:r>
        <w:rPr>
          <w:rFonts w:hint="eastAsia"/>
          <w:highlight w:val="yellow"/>
        </w:rPr>
        <w:t xml:space="preserve"> </w:t>
      </w:r>
      <w:r>
        <w:rPr>
          <w:rFonts w:hint="eastAsia"/>
          <w:highlight w:val="yellow"/>
        </w:rPr>
        <w:t>flatness, and 6.15 dB side mode suppression ratio</w:t>
      </w:r>
      <w:r>
        <w:rPr>
          <w:rFonts w:hint="eastAsia"/>
          <w:highlight w:val="yellow"/>
        </w:rPr>
        <w:t xml:space="preserve"> </w:t>
      </w:r>
      <w:r>
        <w:rPr>
          <w:rFonts w:hint="eastAsia"/>
          <w:highlight w:val="yellow"/>
        </w:rPr>
        <w:t>can be generated.</w:t>
      </w:r>
      <w:r>
        <w:rPr>
          <w:rFonts w:hint="eastAsia"/>
          <w:highlight w:val="yellow"/>
        </w:rPr>
        <w:t xml:space="preserve"> </w:t>
      </w:r>
    </w:p>
    <w:p w14:paraId="0806BBFC" w14:textId="77777777" w:rsidR="00BF3ED6" w:rsidRDefault="009D4DE8">
      <w:r>
        <w:rPr>
          <w:b/>
        </w:rPr>
        <w:t>K</w:t>
      </w:r>
      <w:r>
        <w:rPr>
          <w:b/>
        </w:rPr>
        <w:t xml:space="preserve">ey words: </w:t>
      </w:r>
      <w:r>
        <w:t>opti</w:t>
      </w:r>
      <w:r>
        <w:t>cal frequency comb, polarization technology, dual light sources, flatness</w:t>
      </w:r>
    </w:p>
    <w:p w14:paraId="05665877" w14:textId="77777777" w:rsidR="00BF3ED6" w:rsidRDefault="009D4DE8">
      <w:r>
        <w:t xml:space="preserve"> </w:t>
      </w:r>
    </w:p>
    <w:p w14:paraId="425C7D42" w14:textId="77777777" w:rsidR="00BF3ED6" w:rsidRDefault="009D4DE8">
      <w:r>
        <w:t>0</w:t>
      </w:r>
      <w:r>
        <w:t>引言</w:t>
      </w:r>
    </w:p>
    <w:p w14:paraId="713E375F" w14:textId="77777777" w:rsidR="00BF3ED6" w:rsidRDefault="009D4DE8">
      <w:pPr>
        <w:ind w:firstLine="420"/>
        <w:rPr>
          <w:b/>
          <w:kern w:val="0"/>
        </w:rPr>
      </w:pPr>
      <w:r>
        <w:t>光</w:t>
      </w:r>
      <w:r>
        <w:t>频梳（</w:t>
      </w:r>
      <w:r>
        <w:t>OFC</w:t>
      </w:r>
      <w:r>
        <w:t>）在密集波分复用（</w:t>
      </w:r>
      <w:r>
        <w:t>DWDM</w:t>
      </w:r>
      <w:r>
        <w:t>）、光正交频分复用（</w:t>
      </w:r>
      <w:r>
        <w:t>O-OFDM</w:t>
      </w:r>
      <w:r>
        <w:t>）、超短光脉冲产生和任意波形生成等领域具有重要应用价值，成为近年来的研究热点</w:t>
      </w:r>
      <w:r>
        <w:rPr>
          <w:vertAlign w:val="superscript"/>
        </w:rPr>
        <w:t>[1-4]</w:t>
      </w:r>
      <w:r>
        <w:t>。相关文献提出了多种</w:t>
      </w:r>
      <w:r>
        <w:t>OFC</w:t>
      </w:r>
      <w:r>
        <w:t>产生方案，包括使用锁模激光器产生</w:t>
      </w:r>
      <w:r>
        <w:t>OFC</w:t>
      </w:r>
      <w:r>
        <w:t>，在非线性介质中利用非线性效应产生</w:t>
      </w:r>
      <w:r>
        <w:t>OFC</w:t>
      </w:r>
      <w:r>
        <w:t>，以及使用光调制器产生</w:t>
      </w:r>
      <w:r>
        <w:t>OFC</w:t>
      </w:r>
      <w:r>
        <w:rPr>
          <w:vertAlign w:val="superscript"/>
        </w:rPr>
        <w:t>[5-10]</w:t>
      </w:r>
      <w:r>
        <w:t>。基于光调制器产生</w:t>
      </w:r>
      <w:r>
        <w:t>OFC</w:t>
      </w:r>
      <w:r>
        <w:t>方法实现结构简单、稳定性高</w:t>
      </w:r>
      <w:r>
        <w:t>、易于频率调整，被认为是最具潜力的</w:t>
      </w:r>
      <w:r>
        <w:t>OFC</w:t>
      </w:r>
      <w:r>
        <w:t>产生方案。光调制器包括光相位调制器（</w:t>
      </w:r>
      <w:r>
        <w:t>O-PM</w:t>
      </w:r>
      <w:r>
        <w:t>）、光强度调制器（</w:t>
      </w:r>
      <w:r>
        <w:t>O-IM</w:t>
      </w:r>
      <w:r>
        <w:t>）、电吸收调制器（</w:t>
      </w:r>
      <w:r>
        <w:t>EAM</w:t>
      </w:r>
      <w:r>
        <w:t>）及光偏振调制器（</w:t>
      </w:r>
      <w:r>
        <w:t>O-PolM</w:t>
      </w:r>
      <w:r>
        <w:t>）等，而采用</w:t>
      </w:r>
      <w:r>
        <w:t>O-PM</w:t>
      </w:r>
      <w:r>
        <w:t>产生</w:t>
      </w:r>
      <w:r>
        <w:t>OFC</w:t>
      </w:r>
      <w:r>
        <w:t>具有系统结构简单、控制量少、功率转换效率高等优点，受到了研究学者的广泛关注</w:t>
      </w:r>
      <w:r>
        <w:rPr>
          <w:vertAlign w:val="superscript"/>
        </w:rPr>
        <w:t>[11-16]</w:t>
      </w:r>
      <w:r>
        <w:t>。文献</w:t>
      </w:r>
      <w:r>
        <w:t>[17]</w:t>
      </w:r>
      <w:r>
        <w:t>通过级联</w:t>
      </w:r>
      <w:r>
        <w:t>EAM</w:t>
      </w:r>
      <w:r>
        <w:t>和</w:t>
      </w:r>
      <w:r>
        <w:t>O-PM</w:t>
      </w:r>
      <w:r>
        <w:t>，在平坦度低于</w:t>
      </w:r>
      <w:r>
        <w:t>3dB</w:t>
      </w:r>
      <w:r>
        <w:t>条件下可以</w:t>
      </w:r>
      <w:r>
        <w:lastRenderedPageBreak/>
        <w:t>获得</w:t>
      </w:r>
      <w:r>
        <w:t>10</w:t>
      </w:r>
      <w:r>
        <w:t>条梳线、</w:t>
      </w:r>
      <w:r>
        <w:t>12.5GHz</w:t>
      </w:r>
      <w:r>
        <w:t>频率间距的光频梳；文献</w:t>
      </w:r>
      <w:r>
        <w:t>[18]</w:t>
      </w:r>
      <w:r>
        <w:t>将马赫</w:t>
      </w:r>
      <w:r>
        <w:t>-</w:t>
      </w:r>
      <w:r>
        <w:t>曾德尔调制器（</w:t>
      </w:r>
      <w:r>
        <w:t>MZM</w:t>
      </w:r>
      <w:r>
        <w:t>）偏置以产生载波抑制双边带信号，再和</w:t>
      </w:r>
      <w:r>
        <w:t>O-PM</w:t>
      </w:r>
      <w:r>
        <w:t>级联，通过调整相位调制指数或微</w:t>
      </w:r>
      <w:r>
        <w:t>波功率以产生梳线间距和梳线数量可调的</w:t>
      </w:r>
      <w:r>
        <w:t>OFC</w:t>
      </w:r>
      <w:r>
        <w:t>；文献</w:t>
      </w:r>
      <w:r>
        <w:t>[19]</w:t>
      </w:r>
      <w:r>
        <w:t>采用一个</w:t>
      </w:r>
      <w:r>
        <w:t>O-PM</w:t>
      </w:r>
      <w:r>
        <w:t>和一个反馈单元，包括单模光纤（</w:t>
      </w:r>
      <w:r>
        <w:t>SMF</w:t>
      </w:r>
      <w:r>
        <w:t>）、两个具有不同零色散波长（</w:t>
      </w:r>
      <w:r>
        <w:t>ZDW</w:t>
      </w:r>
      <w:r>
        <w:t>）的高非线性光纤（</w:t>
      </w:r>
      <w:r>
        <w:t>HNLF</w:t>
      </w:r>
      <w:r>
        <w:t>）和偏振分束器（</w:t>
      </w:r>
      <w:r>
        <w:t>PBS</w:t>
      </w:r>
      <w:r>
        <w:t>），利用非线性效应产生了梳线间距为</w:t>
      </w:r>
      <w:r>
        <w:t>20GHz</w:t>
      </w:r>
      <w:r>
        <w:t>的</w:t>
      </w:r>
      <w:r>
        <w:t>OFC</w:t>
      </w:r>
      <w:r>
        <w:t>。这些方案都加入了其它类型的光调制器，从而使控制参量变多，增加了系统实现难度及系统的不稳定性，大大限制了方案的适用范围。文献</w:t>
      </w:r>
      <w:r>
        <w:t>[20]</w:t>
      </w:r>
      <w:r>
        <w:t>只采用</w:t>
      </w:r>
      <w:r>
        <w:t>O-PM</w:t>
      </w:r>
      <w:r>
        <w:t>产生了一种</w:t>
      </w:r>
      <w:r>
        <w:t>0.36THz</w:t>
      </w:r>
      <w:r>
        <w:t>的光子辅助太赫兹波信号，但产生的光频梳平坦度极差。为进一步提高光频梳平坦度，</w:t>
      </w:r>
      <w:r>
        <w:rPr>
          <w:rFonts w:hint="eastAsia"/>
        </w:rPr>
        <w:t>本文</w:t>
      </w:r>
      <w:r>
        <w:t>设计了一种基于双光源</w:t>
      </w:r>
      <w:r>
        <w:rPr>
          <w:rFonts w:hint="eastAsia"/>
        </w:rPr>
        <w:t>和</w:t>
      </w:r>
      <w:r>
        <w:t>偏振技术的</w:t>
      </w:r>
      <w:r>
        <w:rPr>
          <w:rFonts w:hint="eastAsia"/>
        </w:rPr>
        <w:t>O</w:t>
      </w:r>
      <w:r>
        <w:t>FC</w:t>
      </w:r>
      <w:r>
        <w:t>产生方案。</w:t>
      </w:r>
    </w:p>
    <w:p w14:paraId="7ADF3503" w14:textId="77777777" w:rsidR="00BF3ED6" w:rsidRDefault="00BF3ED6"/>
    <w:p w14:paraId="6001BDE2" w14:textId="77777777" w:rsidR="00BF3ED6" w:rsidRPr="003D58FA" w:rsidRDefault="009D4DE8">
      <w:pPr>
        <w:rPr>
          <w:b/>
        </w:rPr>
      </w:pPr>
      <w:r w:rsidRPr="003D58FA">
        <w:rPr>
          <w:b/>
        </w:rPr>
        <w:t>1</w:t>
      </w:r>
      <w:r w:rsidRPr="003D58FA">
        <w:rPr>
          <w:b/>
        </w:rPr>
        <w:t>基于双光源和偏振技术的平坦光频梳产生</w:t>
      </w:r>
      <w:r w:rsidRPr="003D58FA">
        <w:rPr>
          <w:rFonts w:hint="eastAsia"/>
          <w:b/>
        </w:rPr>
        <w:t>原理</w:t>
      </w:r>
    </w:p>
    <w:p w14:paraId="3DDE6271" w14:textId="77777777" w:rsidR="00BF3ED6" w:rsidRDefault="009D4DE8">
      <w:pPr>
        <w:ind w:firstLine="420"/>
      </w:pPr>
      <w:r>
        <w:rPr>
          <w:rFonts w:hint="eastAsia"/>
        </w:rPr>
        <w:t>本</w:t>
      </w:r>
      <w:r>
        <w:rPr>
          <w:rFonts w:hint="eastAsia"/>
        </w:rPr>
        <w:t>文</w:t>
      </w:r>
      <w:r>
        <w:t>设计的基于双光源和偏振技术的光频梳产生方案如图</w:t>
      </w:r>
      <w:r>
        <w:t>1</w:t>
      </w:r>
      <w:r>
        <w:t>所示。</w:t>
      </w:r>
      <w:r>
        <w:rPr>
          <w:rFonts w:hint="eastAsia"/>
        </w:rPr>
        <w:t>该</w:t>
      </w:r>
      <w:r>
        <w:t>方案只采用</w:t>
      </w:r>
      <w:r>
        <w:rPr>
          <w:rFonts w:hint="eastAsia"/>
        </w:rPr>
        <w:t>1</w:t>
      </w:r>
      <w:r>
        <w:t>个</w:t>
      </w:r>
      <w:r>
        <w:t>O-PM</w:t>
      </w:r>
      <w:r>
        <w:t>，与其它光调制器相比减少了控制变量，降低了系统复杂度，同时有效提升了光功率转换效率。</w:t>
      </w:r>
      <w:r>
        <w:rPr>
          <w:rFonts w:hint="eastAsia"/>
        </w:rPr>
        <w:t>2</w:t>
      </w:r>
      <w:r>
        <w:t>个光源输出光信号的频率差及</w:t>
      </w:r>
      <w:r>
        <w:t>O-PM</w:t>
      </w:r>
      <w:r>
        <w:t>调制指数决定了光频梳梳线间距及其平坦度。实现方案主要包括以下光电器件：</w:t>
      </w:r>
      <w:r>
        <w:t>2</w:t>
      </w:r>
      <w:r>
        <w:t>个连续波激光器（</w:t>
      </w:r>
      <w:r>
        <w:rPr>
          <w:rFonts w:hint="eastAsia"/>
        </w:rPr>
        <w:t>简称</w:t>
      </w:r>
      <w:r>
        <w:t>CW</w:t>
      </w:r>
      <w:r>
        <w:rPr>
          <w:vertAlign w:val="subscript"/>
        </w:rPr>
        <w:t>1</w:t>
      </w:r>
      <w:r>
        <w:rPr>
          <w:rFonts w:hint="eastAsia"/>
        </w:rPr>
        <w:t>、</w:t>
      </w:r>
      <w:r>
        <w:rPr>
          <w:rFonts w:hint="eastAsia"/>
        </w:rPr>
        <w:t>CW</w:t>
      </w:r>
      <w:r>
        <w:rPr>
          <w:rFonts w:hint="eastAsia"/>
          <w:vertAlign w:val="subscript"/>
        </w:rPr>
        <w:t>2</w:t>
      </w:r>
      <w:r>
        <w:t>）</w:t>
      </w:r>
      <w:r>
        <w:rPr>
          <w:rFonts w:hint="eastAsia"/>
        </w:rPr>
        <w:t>、</w:t>
      </w:r>
      <w:r>
        <w:rPr>
          <w:rFonts w:hint="eastAsia"/>
        </w:rPr>
        <w:t>1</w:t>
      </w:r>
      <w:r>
        <w:t>个功率合成器</w:t>
      </w:r>
      <w:r>
        <w:rPr>
          <w:rFonts w:hint="eastAsia"/>
        </w:rPr>
        <w:t>、</w:t>
      </w:r>
      <w:r>
        <w:rPr>
          <w:rFonts w:hint="eastAsia"/>
        </w:rPr>
        <w:t>1</w:t>
      </w:r>
      <w:r>
        <w:t>个偏振控制器</w:t>
      </w:r>
      <w:r>
        <w:rPr>
          <w:rFonts w:hint="eastAsia"/>
        </w:rPr>
        <w:t>、</w:t>
      </w:r>
      <w:r>
        <w:rPr>
          <w:rFonts w:hint="eastAsia"/>
        </w:rPr>
        <w:t>1</w:t>
      </w:r>
      <w:r>
        <w:t>个偏振分束器</w:t>
      </w:r>
      <w:r>
        <w:rPr>
          <w:rFonts w:hint="eastAsia"/>
        </w:rPr>
        <w:t>、</w:t>
      </w:r>
      <w:r>
        <w:rPr>
          <w:rFonts w:hint="eastAsia"/>
        </w:rPr>
        <w:t>1</w:t>
      </w:r>
      <w:r>
        <w:t>个偏振合束器</w:t>
      </w:r>
      <w:r>
        <w:rPr>
          <w:rFonts w:hint="eastAsia"/>
        </w:rPr>
        <w:t>、</w:t>
      </w:r>
      <w:r>
        <w:rPr>
          <w:rFonts w:hint="eastAsia"/>
        </w:rPr>
        <w:t>1</w:t>
      </w:r>
      <w:r>
        <w:t>个射频正弦波发生器</w:t>
      </w:r>
      <w:r>
        <w:rPr>
          <w:rFonts w:hint="eastAsia"/>
        </w:rPr>
        <w:t>、</w:t>
      </w:r>
      <w:r>
        <w:rPr>
          <w:rFonts w:hint="eastAsia"/>
        </w:rPr>
        <w:t>1</w:t>
      </w:r>
      <w:r>
        <w:t>个</w:t>
      </w:r>
      <w:r>
        <w:t>O-PM</w:t>
      </w:r>
      <w:r>
        <w:rPr>
          <w:rFonts w:hint="eastAsia"/>
        </w:rPr>
        <w:t>和</w:t>
      </w:r>
      <w:r>
        <w:rPr>
          <w:rFonts w:hint="eastAsia"/>
        </w:rPr>
        <w:t>1</w:t>
      </w:r>
      <w:r>
        <w:t>个线偏振器。</w:t>
      </w:r>
    </w:p>
    <w:p w14:paraId="17734CA4" w14:textId="77777777" w:rsidR="00BF3ED6" w:rsidRDefault="009D4DE8">
      <w:r>
        <w:object w:dxaOrig="8300" w:dyaOrig="2830" w14:anchorId="7BD202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9" type="#_x0000_t75" style="width:415pt;height:141.5pt" o:ole="">
            <v:imagedata r:id="rId6" o:title=""/>
          </v:shape>
          <o:OLEObject Type="Embed" ProgID="Visio.Drawing.11" ShapeID="_x0000_i1109" DrawAspect="Content" ObjectID="_1779889756" r:id="rId7"/>
        </w:object>
      </w:r>
    </w:p>
    <w:p w14:paraId="4289BBEF" w14:textId="77777777" w:rsidR="00BF3ED6" w:rsidRDefault="009D4DE8">
      <w:pPr>
        <w:jc w:val="center"/>
      </w:pPr>
      <w:r>
        <w:t>图</w:t>
      </w:r>
      <w:r>
        <w:t xml:space="preserve">1  </w:t>
      </w:r>
      <w:r>
        <w:t>基于双光源和偏振技术的光频梳产生方案</w:t>
      </w:r>
    </w:p>
    <w:p w14:paraId="38FBA4AE" w14:textId="77777777" w:rsidR="00BF3ED6" w:rsidRDefault="009D4DE8">
      <w:pPr>
        <w:ind w:firstLine="420"/>
      </w:pPr>
      <w:r>
        <w:t>假</w:t>
      </w:r>
      <w:r>
        <w:t>定双光源</w:t>
      </w:r>
      <w:r>
        <w:t>CW</w:t>
      </w:r>
      <w:r>
        <w:rPr>
          <w:vertAlign w:val="subscript"/>
        </w:rPr>
        <w:t>1</w:t>
      </w:r>
      <w:r>
        <w:rPr>
          <w:rFonts w:hint="eastAsia"/>
        </w:rPr>
        <w:t>、</w:t>
      </w:r>
      <w:r>
        <w:rPr>
          <w:rFonts w:hint="eastAsia"/>
        </w:rPr>
        <w:t>CW</w:t>
      </w:r>
      <w:r>
        <w:rPr>
          <w:rFonts w:hint="eastAsia"/>
          <w:vertAlign w:val="subscript"/>
        </w:rPr>
        <w:t>2</w:t>
      </w:r>
      <w:r>
        <w:t>输出的光信号为</w:t>
      </w:r>
    </w:p>
    <w:p w14:paraId="28E96D6C" w14:textId="77777777" w:rsidR="00BF3ED6" w:rsidRDefault="009D4DE8"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t</m:t>
        </m:r>
        <m:r>
          <m:rPr>
            <m:sty m:val="p"/>
          </m:rPr>
          <w:rPr>
            <w:rFonts w:ascii="Cambria Math" w:hAnsi="Cambria Math"/>
          </w:rPr>
          <m:t>)=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exp{j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ω</m:t>
            </m:r>
          </m:e>
          <m:sub>
            <m:r>
              <w:rPr>
                <w:rFonts w:ascii="Cambria Math" w:hAnsi="Cambria Math"/>
              </w:rPr>
              <m:t>c</m:t>
            </m:r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t+j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Cs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</w:rPr>
              <m:t>[</m:t>
            </m:r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ω</m:t>
                </m:r>
              </m:e>
              <m:sub>
                <m:r>
                  <w:rPr>
                    <w:rFonts w:ascii="Cambria Math" w:hAnsi="Cambria Math"/>
                  </w:rPr>
                  <m:t>c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α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sSubSup>
              <m:sSubSupPr>
                <m:ctrlPr>
                  <w:rPr>
                    <w:rFonts w:ascii="Cambria Math" w:hAnsi="Cambria Math"/>
                    <w:iCs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'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</w:rPr>
              <m:t>(</m:t>
            </m:r>
            <m:r>
              <w:rPr>
                <w:rFonts w:ascii="Cambria Math" w:hAnsi="Cambria Math"/>
              </w:rPr>
              <m:t>t</m:t>
            </m:r>
            <m:r>
              <m:rPr>
                <m:sty m:val="p"/>
              </m:rPr>
              <w:rPr>
                <w:rFonts w:ascii="Cambria Math" w:hAnsi="Cambria Math"/>
              </w:rPr>
              <m:t>)]d</m:t>
            </m:r>
            <m:r>
              <w:rPr>
                <w:rFonts w:ascii="Cambria Math" w:hAnsi="Cambria Math"/>
              </w:rPr>
              <m:t>t</m:t>
            </m:r>
            <m:r>
              <m:rPr>
                <m:sty m:val="p"/>
              </m:rPr>
              <w:rPr>
                <w:rFonts w:ascii="Cambria Math" w:hAnsi="Cambria Math"/>
              </w:rPr>
              <m:t>}</m:t>
            </m:r>
          </m:e>
        </m:nary>
      </m:oMath>
      <w:r>
        <w:t xml:space="preserve">            </w:t>
      </w:r>
      <w:r>
        <w:rPr>
          <w:rFonts w:hint="eastAsia"/>
        </w:rPr>
        <w:t xml:space="preserve">  </w:t>
      </w:r>
      <w:r>
        <w:t xml:space="preserve">     </w:t>
      </w:r>
      <w:r>
        <w:t>（</w:t>
      </w:r>
      <w:r>
        <w:t>1</w:t>
      </w:r>
      <w:r>
        <w:t>）</w:t>
      </w:r>
    </w:p>
    <w:p w14:paraId="14066527" w14:textId="77777777" w:rsidR="00BF3ED6" w:rsidRDefault="009D4DE8">
      <m:oMath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t</m:t>
        </m:r>
        <m:r>
          <m:rPr>
            <m:sty m:val="p"/>
          </m:rPr>
          <w:rPr>
            <w:rFonts w:ascii="Cambria Math" w:hAnsi="Cambria Math"/>
          </w:rPr>
          <m:t>)=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exp{j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w:rPr>
                <w:rFonts w:ascii="Cambria Math" w:hAnsi="Cambria Math"/>
              </w:rPr>
              <m:t>ω</m:t>
            </m:r>
          </m:e>
          <m:sub>
            <m:r>
              <w:rPr>
                <w:rFonts w:ascii="Cambria Math" w:hAnsi="Cambria Math"/>
              </w:rPr>
              <m:t>c</m:t>
            </m:r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t+j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</w:rPr>
              <m:t>[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ω</m:t>
                </m:r>
              </m:e>
              <m:sub>
                <m:r>
                  <w:rPr>
                    <w:rFonts w:ascii="Cambria Math" w:hAnsi="Cambria Math"/>
                  </w:rPr>
                  <m:t>c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α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'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</w:rPr>
              <m:t>(</m:t>
            </m:r>
            <m:r>
              <w:rPr>
                <w:rFonts w:ascii="Cambria Math" w:hAnsi="Cambria Math"/>
              </w:rPr>
              <m:t>t</m:t>
            </m:r>
            <m:r>
              <m:rPr>
                <m:sty m:val="p"/>
              </m:rPr>
              <w:rPr>
                <w:rFonts w:ascii="Cambria Math" w:hAnsi="Cambria Math"/>
              </w:rPr>
              <m:t>)]d</m:t>
            </m:r>
            <m:r>
              <w:rPr>
                <w:rFonts w:ascii="Cambria Math" w:hAnsi="Cambria Math"/>
              </w:rPr>
              <m:t>t</m:t>
            </m:r>
          </m:e>
        </m:nary>
        <m:r>
          <m:rPr>
            <m:sty m:val="p"/>
          </m:rPr>
          <w:rPr>
            <w:rFonts w:ascii="Cambria Math" w:hAnsi="Cambria Math"/>
          </w:rPr>
          <m:t>}</m:t>
        </m:r>
      </m:oMath>
      <w:r>
        <w:t xml:space="preserve">                   </w:t>
      </w:r>
      <w:r>
        <w:t>（</w:t>
      </w:r>
      <w:r>
        <w:t>2</w:t>
      </w:r>
      <w:r>
        <w:t>）</w:t>
      </w:r>
    </w:p>
    <w:p w14:paraId="2F036243" w14:textId="77777777" w:rsidR="00BF3ED6" w:rsidRDefault="009D4DE8">
      <w:r>
        <w:rPr>
          <w:rFonts w:hint="eastAsia"/>
        </w:rPr>
        <w:t>其</w:t>
      </w:r>
      <w:r>
        <w:rPr>
          <w:rFonts w:hint="eastAsia"/>
        </w:rPr>
        <w:t>中，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</m:oMath>
      <w:r>
        <w:rPr>
          <w:rFonts w:hint="eastAsia"/>
        </w:rPr>
        <w:t>、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</m:oMath>
      <w:r>
        <w:t>和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ω</m:t>
            </m:r>
          </m:e>
          <m:sub>
            <m:r>
              <w:rPr>
                <w:rFonts w:ascii="Cambria Math" w:hAnsi="Cambria Math"/>
              </w:rPr>
              <m:t>c</m:t>
            </m:r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</m:oMath>
      <w:r>
        <w:t>、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ω</m:t>
            </m:r>
          </m:e>
          <m:sub>
            <m:r>
              <w:rPr>
                <w:rFonts w:ascii="Cambria Math" w:hAnsi="Cambria Math"/>
              </w:rPr>
              <m:t>c</m:t>
            </m:r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</m:oMath>
      <w:r>
        <w:t>分别为</w:t>
      </w:r>
      <w:r>
        <w:t>CW</w:t>
      </w:r>
      <w:r>
        <w:rPr>
          <w:vertAlign w:val="subscript"/>
        </w:rPr>
        <w:t>1</w:t>
      </w:r>
      <w:r>
        <w:rPr>
          <w:rFonts w:hint="eastAsia"/>
        </w:rPr>
        <w:t>、</w:t>
      </w:r>
      <w:r>
        <w:rPr>
          <w:rFonts w:hint="eastAsia"/>
        </w:rPr>
        <w:t>CW</w:t>
      </w:r>
      <w:r>
        <w:rPr>
          <w:rFonts w:hint="eastAsia"/>
          <w:vertAlign w:val="subscript"/>
        </w:rPr>
        <w:t>2</w:t>
      </w:r>
      <w:r>
        <w:t>输出光信号强度和角频率，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ω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m:rPr>
            <m:sty m:val="p"/>
          </m:rPr>
          <w:rPr>
            <w:rFonts w:ascii="Cambria Math" w:hAnsi="Cambria Math"/>
          </w:rPr>
          <m:t>=2</m:t>
        </m:r>
        <m:r>
          <w:rPr>
            <w:rFonts w:ascii="Cambria Math" w:hAnsi="Cambria Math"/>
          </w:rPr>
          <m:t>π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>
        <w:t>，而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>
        <w:t>为第</w:t>
      </w:r>
      <m:oMath>
        <m:r>
          <w:rPr>
            <w:rFonts w:ascii="Cambria Math" w:hAnsi="Cambria Math"/>
          </w:rPr>
          <m:t>i</m:t>
        </m:r>
      </m:oMath>
      <w:r>
        <w:t>个（</w:t>
      </w:r>
      <m:oMath>
        <m:r>
          <w:rPr>
            <w:rFonts w:ascii="Cambria Math" w:hAnsi="Cambria Math"/>
          </w:rPr>
          <m:t>i</m:t>
        </m:r>
      </m:oMath>
      <w:r>
        <w:t>=1</w:t>
      </w:r>
      <w:r>
        <w:rPr>
          <w:rFonts w:hint="eastAsia"/>
        </w:rPr>
        <w:t>，</w:t>
      </w:r>
      <w:r>
        <w:t>2</w:t>
      </w:r>
      <w:r>
        <w:t>）激光器输出光信号的频率，同时假定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&gt;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</m:oMath>
      <w:r>
        <w:t>。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bSup>
        <m:r>
          <m:rPr>
            <m:sty m:val="p"/>
          </m:rP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t</m:t>
        </m:r>
        <m:r>
          <m:rPr>
            <m:sty m:val="p"/>
          </m:rPr>
          <w:rPr>
            <w:rFonts w:ascii="Cambria Math" w:hAnsi="Cambria Math"/>
          </w:rPr>
          <m:t>)</m:t>
        </m:r>
      </m:oMath>
      <w:r>
        <w:rPr>
          <w:rFonts w:hint="eastAsia"/>
        </w:rPr>
        <w:t>和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bSup>
        <m:r>
          <m:rPr>
            <m:sty m:val="p"/>
          </m:rP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t</m:t>
        </m:r>
        <m:r>
          <m:rPr>
            <m:sty m:val="p"/>
          </m:rPr>
          <w:rPr>
            <w:rFonts w:ascii="Cambria Math" w:hAnsi="Cambria Math"/>
          </w:rPr>
          <m:t>)</m:t>
        </m:r>
      </m:oMath>
      <w:r>
        <w:rPr>
          <w:rFonts w:hint="eastAsia"/>
        </w:rPr>
        <w:t>为</w:t>
      </w:r>
      <w:r>
        <w:rPr>
          <w:rFonts w:hint="eastAsia"/>
        </w:rPr>
        <w:t>2</w:t>
      </w:r>
      <w:r>
        <w:rPr>
          <w:rFonts w:hint="eastAsia"/>
        </w:rPr>
        <w:t>个激光器注入电流变化率，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</m:oMath>
      <w:r>
        <w:rPr>
          <w:rFonts w:hint="eastAsia"/>
        </w:rPr>
        <w:t>和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</m:oMath>
      <w:r>
        <w:rPr>
          <w:rFonts w:hint="eastAsia"/>
        </w:rPr>
        <w:t>为</w:t>
      </w:r>
      <w:r>
        <w:rPr>
          <w:rFonts w:hint="eastAsia"/>
        </w:rPr>
        <w:t>2</w:t>
      </w:r>
      <w:r>
        <w:rPr>
          <w:rFonts w:hint="eastAsia"/>
        </w:rPr>
        <w:t>个激光器各自线宽因子。</w:t>
      </w:r>
    </w:p>
    <w:p w14:paraId="4B84500F" w14:textId="77777777" w:rsidR="00BF3ED6" w:rsidRDefault="009D4DE8">
      <w:pPr>
        <w:ind w:firstLine="420"/>
      </w:pPr>
      <w:r>
        <w:t>图</w:t>
      </w:r>
      <w:r>
        <w:t>1</w:t>
      </w:r>
      <w:r>
        <w:t>中</w:t>
      </w:r>
      <w:r>
        <w:rPr>
          <w:rFonts w:hint="eastAsia"/>
        </w:rPr>
        <w:t>，</w:t>
      </w:r>
      <w:r>
        <w:t>A</w:t>
      </w:r>
      <w:r>
        <w:t>点输出的光信号</w:t>
      </w:r>
      <m:oMath>
        <m:r>
          <w:rPr>
            <w:rFonts w:ascii="Cambria Math" w:hAnsi="Cambria Math"/>
          </w:rPr>
          <m:t>E</m:t>
        </m:r>
        <m:r>
          <w:rPr>
            <w:rFonts w:ascii="Cambria Math" w:hAnsi="Cambria Math" w:hint="eastAsia"/>
          </w:rPr>
          <m:t>(</m:t>
        </m:r>
        <m:r>
          <w:rPr>
            <w:rFonts w:ascii="Cambria Math" w:hAnsi="Cambria Math" w:hint="eastAsia"/>
          </w:rPr>
          <m:t>t</m:t>
        </m:r>
        <m:r>
          <w:rPr>
            <w:rFonts w:ascii="Cambria Math" w:hAnsi="Cambria Math" w:hint="eastAsia"/>
          </w:rPr>
          <m:t>)=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 w:hint="eastAsia"/>
          </w:rPr>
          <m:t>(</m:t>
        </m:r>
        <m:r>
          <w:rPr>
            <w:rFonts w:ascii="Cambria Math" w:hAnsi="Cambria Math" w:hint="eastAsia"/>
          </w:rPr>
          <m:t>t</m:t>
        </m:r>
        <m:r>
          <w:rPr>
            <w:rFonts w:ascii="Cambria Math" w:hAnsi="Cambria Math" w:hint="eastAsia"/>
          </w:rPr>
          <m:t>)+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 w:hint="eastAsia"/>
          </w:rPr>
          <m:t>(</m:t>
        </m:r>
        <m:r>
          <w:rPr>
            <w:rFonts w:ascii="Cambria Math" w:hAnsi="Cambria Math" w:hint="eastAsia"/>
          </w:rPr>
          <m:t>t</m:t>
        </m:r>
        <m:r>
          <w:rPr>
            <w:rFonts w:ascii="Cambria Math" w:hAnsi="Cambria Math" w:hint="eastAsia"/>
          </w:rPr>
          <m:t>)</m:t>
        </m:r>
        <m:r>
          <w:rPr>
            <w:rFonts w:ascii="Cambria Math" w:hAnsi="Cambria Math"/>
          </w:rPr>
          <m:t xml:space="preserve"> </m:t>
        </m:r>
      </m:oMath>
      <w:r>
        <w:t>。光信号</w:t>
      </w: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</m:oMath>
      <w:r>
        <w:t>经过偏振角为</w:t>
      </w:r>
      <m:oMath>
        <m:r>
          <w:rPr>
            <w:rFonts w:ascii="Cambria Math" w:hAnsi="Cambria Math"/>
          </w:rPr>
          <m:t>φ</m:t>
        </m:r>
      </m:oMath>
      <w:r>
        <w:t>的偏振控制器后进入偏振分束器，并被分成</w:t>
      </w:r>
      <m:oMath>
        <m:r>
          <w:rPr>
            <w:rFonts w:ascii="Cambria Math" w:hAnsi="Cambria Math"/>
          </w:rPr>
          <m:t>x</m:t>
        </m:r>
      </m:oMath>
      <w:r>
        <w:t>和</w:t>
      </w:r>
      <m:oMath>
        <m:r>
          <w:rPr>
            <w:rFonts w:ascii="Cambria Math" w:hAnsi="Cambria Math"/>
          </w:rPr>
          <m:t>y</m:t>
        </m:r>
      </m:oMath>
      <w:r>
        <w:t>偏振方向</w:t>
      </w:r>
      <w:r>
        <w:rPr>
          <w:rFonts w:hint="eastAsia"/>
        </w:rPr>
        <w:t>2</w:t>
      </w:r>
      <w:r>
        <w:t>路信号</w:t>
      </w:r>
      <w:r>
        <w:rPr>
          <w:rFonts w:hint="eastAsia"/>
        </w:rPr>
        <w:t>，其</w:t>
      </w:r>
      <w:r>
        <w:t>表达式为</w:t>
      </w:r>
    </w:p>
    <w:p w14:paraId="06D4EC41" w14:textId="77777777" w:rsidR="00BF3ED6" w:rsidRDefault="009D4DE8"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/>
                  </w:rPr>
                  <m:t>φ</m:t>
                </m:r>
              </m:e>
            </m:d>
          </m:e>
        </m:func>
      </m:oMath>
      <w:r>
        <w:t xml:space="preserve">                           </w:t>
      </w:r>
      <w:r>
        <w:t>（</w:t>
      </w:r>
      <w:r>
        <w:t>3</w:t>
      </w:r>
      <w:r>
        <w:t>）</w:t>
      </w:r>
    </w:p>
    <w:p w14:paraId="3DB22F59" w14:textId="77777777" w:rsidR="00BF3ED6" w:rsidRDefault="009D4DE8"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/>
                  </w:rPr>
                  <m:t>φ</m:t>
                </m:r>
              </m:e>
            </m:d>
          </m:e>
        </m:func>
      </m:oMath>
      <w:r>
        <w:t xml:space="preserve">                           </w:t>
      </w:r>
      <w:r>
        <w:t>（</w:t>
      </w:r>
      <w:r>
        <w:t>4</w:t>
      </w:r>
      <w:r>
        <w:t>）</w:t>
      </w:r>
    </w:p>
    <w:p w14:paraId="3F35AA90" w14:textId="77777777" w:rsidR="00BF3ED6" w:rsidRDefault="009D4DE8">
      <w:pPr>
        <w:ind w:firstLineChars="200" w:firstLine="420"/>
      </w:pPr>
      <m:oMath>
        <m:r>
          <w:rPr>
            <w:rFonts w:ascii="Cambria Math" w:hAnsi="Cambria Math"/>
          </w:rPr>
          <m:t>y</m:t>
        </m:r>
      </m:oMath>
      <w:r>
        <w:t>偏振方向的光信号直接接入到偏振合束器，而</w:t>
      </w:r>
      <m:oMath>
        <m:r>
          <w:rPr>
            <w:rFonts w:ascii="Cambria Math" w:hAnsi="Cambria Math"/>
          </w:rPr>
          <m:t>x</m:t>
        </m:r>
      </m:oMath>
      <w:r>
        <w:t>偏振方向光信号则通过</w:t>
      </w:r>
      <w:r>
        <w:t>O-PM</w:t>
      </w:r>
      <w:r>
        <w:t>进行相位调制，调制后图</w:t>
      </w:r>
      <w:r>
        <w:t>1</w:t>
      </w:r>
      <w:r>
        <w:t>中</w:t>
      </w:r>
      <w:r>
        <w:t>B</w:t>
      </w:r>
      <w:r>
        <w:t>点光信号表达式为</w:t>
      </w:r>
    </w:p>
    <w:p w14:paraId="08DD32DA" w14:textId="77777777" w:rsidR="00BF3ED6" w:rsidRDefault="009D4DE8"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nor/>
              </m:rPr>
              <w:rPr>
                <w:i/>
              </w:rPr>
              <m:t>E</m:t>
            </m:r>
          </m:e>
          <m:sub>
            <m:r>
              <m:rPr>
                <m:nor/>
              </m:rPr>
              <m:t>B</m:t>
            </m:r>
          </m:sub>
        </m:sSub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nor/>
              </m:rPr>
              <m:t>t</m:t>
            </m:r>
          </m:e>
        </m:d>
        <m:r>
          <m:rPr>
            <m:nor/>
          </m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nor/>
              </m:rPr>
              <m:t>E</m:t>
            </m:r>
          </m:e>
          <m:sub>
            <m:r>
              <m:rPr>
                <m:nor/>
              </m:rPr>
              <m:t>x</m:t>
            </m:r>
          </m:sub>
        </m:sSub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nor/>
              </m:rPr>
              <m:t>t</m:t>
            </m:r>
          </m:e>
        </m:d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nor/>
              </m:rPr>
              <m:t>exp</m:t>
            </m:r>
          </m:fName>
          <m:e>
            <m:d>
              <m:dPr>
                <m:begChr m:val="["/>
                <m:endChr m:val=""/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nor/>
                  </m:rPr>
                  <m:t>jΔ</m:t>
                </m:r>
                <m:r>
                  <m:rPr>
                    <m:nor/>
                  </m:rPr>
                  <m:t>ϕ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nor/>
                      </m:rPr>
                      <m:t>A</m:t>
                    </m:r>
                  </m:e>
                  <m:sub>
                    <m:r>
                      <m:rPr>
                        <m:nor/>
                      </m:rPr>
                      <m:t>r</m:t>
                    </m:r>
                  </m:sub>
                </m:sSub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nor/>
                      </m:rPr>
                      <m:t>cos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m:t>ω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m:t>r</m:t>
                            </m:r>
                          </m:sub>
                        </m:sSub>
                        <m:r>
                          <m:rPr>
                            <m:nor/>
                          </m:rPr>
                          <m:t>t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]</m:t>
                    </m:r>
                  </m:e>
                </m:func>
              </m:e>
            </m:d>
          </m:e>
        </m:func>
      </m:oMath>
      <w:r>
        <w:t xml:space="preserve">                     </w:t>
      </w:r>
      <w:r>
        <w:t>（</w:t>
      </w:r>
      <w:r>
        <w:t>5</w:t>
      </w:r>
      <w:r>
        <w:t>）</w:t>
      </w:r>
    </w:p>
    <w:p w14:paraId="6EC68BAD" w14:textId="77777777" w:rsidR="00BF3ED6" w:rsidRDefault="009D4DE8">
      <w:r>
        <w:rPr>
          <w:rFonts w:hint="eastAsia"/>
        </w:rPr>
        <w:t>其</w:t>
      </w:r>
      <w:r>
        <w:t>中</w:t>
      </w:r>
      <w:r>
        <w:rPr>
          <w:rFonts w:hint="eastAsia"/>
        </w:rPr>
        <w:t>，</w:t>
      </w:r>
      <m:oMath>
        <m:r>
          <m:rPr>
            <m:sty m:val="p"/>
          </m:rPr>
          <w:rPr>
            <w:rFonts w:ascii="Cambria Math" w:hAnsi="Cambria Math"/>
          </w:rPr>
          <m:t>∆</m:t>
        </m:r>
        <m:r>
          <w:rPr>
            <w:rFonts w:ascii="Cambria Math" w:hAnsi="Cambria Math"/>
          </w:rPr>
          <m:t>ϕ</m:t>
        </m:r>
      </m:oMath>
      <w:r>
        <w:t>为</w:t>
      </w:r>
      <w:r>
        <w:t>O-PM</w:t>
      </w:r>
      <w:r>
        <w:t>相位偏移量。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</m:t>
                    </m:r>
                  </m:sub>
                </m:sSub>
                <m:r>
                  <w:rPr>
                    <w:rFonts w:ascii="Cambria Math" w:hAnsi="Cambria Math"/>
                  </w:rPr>
                  <m:t>t</m:t>
                </m:r>
              </m:e>
            </m:d>
          </m:e>
        </m:func>
      </m:oMath>
      <w:r>
        <w:t>为驱动</w:t>
      </w:r>
      <w:r>
        <w:t>O-PM</w:t>
      </w:r>
      <w:r>
        <w:t>的射频信号，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</m:oMath>
      <w:r>
        <w:t>和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ω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</m:oMath>
      <w:r>
        <w:t>分别为射频信号幅度和角频率，且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ω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  <m:r>
          <m:rPr>
            <m:sty m:val="p"/>
          </m:rPr>
          <w:rPr>
            <w:rFonts w:ascii="Cambria Math" w:hAnsi="Cambria Math"/>
          </w:rPr>
          <m:t>=2</m:t>
        </m:r>
        <m:r>
          <w:rPr>
            <w:rFonts w:ascii="Cambria Math" w:hAnsi="Cambria Math"/>
          </w:rPr>
          <m:t>π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</m:oMath>
      <w:r>
        <w:t>，而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  <m:r>
          <m:rPr>
            <m:sty m:val="p"/>
          </m:rPr>
          <w:rPr>
            <w:rFonts w:ascii="Cambria Math" w:hAnsi="Cambria Math"/>
          </w:rPr>
          <m:t>=2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e>
        </m:d>
      </m:oMath>
      <w:r>
        <w:t>。</w:t>
      </w:r>
    </w:p>
    <w:p w14:paraId="2E7986E7" w14:textId="77777777" w:rsidR="00BF3ED6" w:rsidRDefault="009D4DE8">
      <w:pPr>
        <w:ind w:firstLine="420"/>
      </w:pPr>
      <w:r>
        <w:t>随</w:t>
      </w:r>
      <w:r>
        <w:t>后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t>路光信号经过偏振合束器合束，再通过偏振角度为</w:t>
      </w:r>
      <m:oMath>
        <m:r>
          <w:rPr>
            <w:rFonts w:ascii="Cambria Math" w:hAnsi="Cambria Math"/>
          </w:rPr>
          <m:t>α</m:t>
        </m:r>
      </m:oMath>
      <w:r>
        <w:t>的线偏振器后变成单偏振</w:t>
      </w:r>
      <w:r>
        <w:lastRenderedPageBreak/>
        <w:t>光信号</w:t>
      </w:r>
      <w:r>
        <w:rPr>
          <w:rFonts w:hint="eastAsia"/>
        </w:rPr>
        <w:t>，其</w:t>
      </w:r>
      <w:r>
        <w:t>表达式为</w:t>
      </w:r>
    </w:p>
    <w:p w14:paraId="073911AE" w14:textId="77777777" w:rsidR="00BF3ED6" w:rsidRDefault="009D4DE8"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pol</m:t>
            </m:r>
          </m:sub>
        </m:sSub>
        <m:r>
          <m:rPr>
            <m:sty m:val="p"/>
          </m:rP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t</m:t>
        </m:r>
        <m:r>
          <m:rPr>
            <m:sty m:val="p"/>
          </m:rPr>
          <w:rPr>
            <w:rFonts w:ascii="Cambria Math" w:hAnsi="Cambria Math"/>
          </w:rPr>
          <m:t>)=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B</m:t>
            </m:r>
          </m:sub>
        </m:sSub>
        <m:r>
          <m:rPr>
            <m:sty m:val="p"/>
          </m:rP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t</m:t>
        </m:r>
        <m:r>
          <m:rPr>
            <m:sty m:val="p"/>
          </m:rPr>
          <w:rPr>
            <w:rFonts w:ascii="Cambria Math" w:hAnsi="Cambria Math"/>
          </w:rPr>
          <m:t>)</m:t>
        </m:r>
        <m:r>
          <w:rPr>
            <w:rFonts w:ascii="Cambria Math" w:hAnsi="Cambria Math"/>
          </w:rPr>
          <m:t>cos</m:t>
        </m:r>
        <m:r>
          <m:rPr>
            <m:sty m:val="p"/>
          </m:rP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α</m:t>
        </m:r>
        <m:r>
          <m:rPr>
            <m:sty m:val="p"/>
          </m:rPr>
          <w:rPr>
            <w:rFonts w:ascii="Cambria Math" w:hAnsi="Cambria Math"/>
          </w:rPr>
          <m:t>)+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  <m:r>
          <m:rPr>
            <m:sty m:val="p"/>
          </m:rP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t</m:t>
        </m:r>
        <m:r>
          <m:rPr>
            <m:sty m:val="p"/>
          </m:rPr>
          <w:rPr>
            <w:rFonts w:ascii="Cambria Math" w:hAnsi="Cambria Math"/>
          </w:rPr>
          <m:t>)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w:rPr>
                <w:rFonts w:ascii="Cambria Math" w:hAnsi="Cambria Math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(</m:t>
            </m:r>
            <m:r>
              <w:rPr>
                <w:rFonts w:ascii="Cambria Math" w:hAnsi="Cambria Math"/>
              </w:rPr>
              <m:t>α</m:t>
            </m:r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</m:func>
      </m:oMath>
      <w:r>
        <w:t xml:space="preserve">                   </w:t>
      </w:r>
      <w:r>
        <w:t>（</w:t>
      </w:r>
      <w:r>
        <w:t>6</w:t>
      </w:r>
      <w:r>
        <w:t>）</w:t>
      </w:r>
    </w:p>
    <w:p w14:paraId="63BA4ED2" w14:textId="77777777" w:rsidR="00BF3ED6" w:rsidRDefault="009D4DE8">
      <w:pPr>
        <w:ind w:firstLine="420"/>
      </w:pPr>
      <w:r>
        <w:t>为</w:t>
      </w:r>
      <w:r>
        <w:t>分析方便</w:t>
      </w:r>
      <w:r>
        <w:rPr>
          <w:rFonts w:hint="eastAsia"/>
        </w:rPr>
        <w:t>，</w:t>
      </w:r>
      <w:r>
        <w:t>可先令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</w:rPr>
          <m:t>=0</m:t>
        </m:r>
      </m:oMath>
      <w:r>
        <w:t>，此时式（</w:t>
      </w:r>
      <w:r>
        <w:t>5</w:t>
      </w:r>
      <w:r>
        <w:t>）（</w:t>
      </w:r>
      <w:r>
        <w:t>B</w:t>
      </w:r>
      <w:r>
        <w:t>点处光信号表达式）变为</w:t>
      </w:r>
      <w:r>
        <w:t xml:space="preserve">  </w:t>
      </w:r>
    </w:p>
    <w:p w14:paraId="4E79CBB0" w14:textId="77777777" w:rsidR="00BF3ED6" w:rsidRDefault="009D4DE8"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B</m:t>
            </m:r>
          </m:sub>
        </m:sSub>
        <m:r>
          <m:rPr>
            <m:sty m:val="p"/>
          </m:rP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t</m:t>
        </m:r>
        <m:r>
          <m:rPr>
            <m:sty m:val="p"/>
          </m:rPr>
          <w:rPr>
            <w:rFonts w:ascii="Cambria Math" w:hAnsi="Cambria Math"/>
          </w:rPr>
          <m:t>)=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exp(j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ω</m:t>
            </m:r>
          </m:e>
          <m:sub>
            <m:r>
              <w:rPr>
                <w:rFonts w:ascii="Cambria Math" w:hAnsi="Cambria Math"/>
              </w:rPr>
              <m:t>c</m:t>
            </m:r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t</m:t>
        </m:r>
        <m:r>
          <m:rPr>
            <m:sty m:val="p"/>
          </m:rPr>
          <w:rPr>
            <w:rFonts w:ascii="Cambria Math" w:hAnsi="Cambria Math"/>
          </w:rPr>
          <m:t>)exp[j</m:t>
        </m:r>
        <m:r>
          <w:rPr>
            <w:rFonts w:ascii="Cambria Math" w:hAnsi="Cambria Math"/>
          </w:rPr>
          <m:t>π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  <m:r>
          <w:rPr>
            <w:rFonts w:ascii="Cambria Math" w:hAnsi="Cambria Math"/>
          </w:rPr>
          <m:t>cos</m:t>
        </m:r>
        <m:r>
          <m:rPr>
            <m:sty m:val="p"/>
          </m:rPr>
          <w:rPr>
            <w:rFonts w:ascii="Cambria Math" w:hAnsi="Cambria Math"/>
          </w:rPr>
          <m:t>(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ω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  <m:r>
          <w:rPr>
            <w:rFonts w:ascii="Cambria Math" w:hAnsi="Cambria Math"/>
          </w:rPr>
          <m:t>t</m:t>
        </m:r>
        <m:r>
          <m:rPr>
            <m:sty m:val="p"/>
          </m:rPr>
          <w:rPr>
            <w:rFonts w:ascii="Cambria Math" w:hAnsi="Cambria Math"/>
          </w:rPr>
          <m:t>)/2]</m:t>
        </m:r>
        <m:r>
          <w:rPr>
            <w:rFonts w:ascii="Cambria Math" w:hAnsi="Cambria Math"/>
          </w:rPr>
          <m:t>cos</m:t>
        </m:r>
        <m:r>
          <m:rPr>
            <m:sty m:val="p"/>
          </m:rP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φ</m:t>
        </m:r>
        <m:r>
          <m:rPr>
            <m:sty m:val="p"/>
          </m:rPr>
          <w:rPr>
            <w:rFonts w:ascii="Cambria Math" w:hAnsi="Cambria Math"/>
          </w:rPr>
          <m:t>)</m:t>
        </m:r>
      </m:oMath>
      <w:r>
        <w:t xml:space="preserve">              </w:t>
      </w:r>
      <w:r>
        <w:t>（</w:t>
      </w:r>
      <w:r>
        <w:t>7</w:t>
      </w:r>
      <w:r>
        <w:t>）</w:t>
      </w:r>
    </w:p>
    <w:p w14:paraId="5CBA274B" w14:textId="77777777" w:rsidR="00BF3ED6" w:rsidRDefault="009D4DE8">
      <w:pPr>
        <w:ind w:firstLine="420"/>
      </w:pPr>
      <w:r>
        <w:t>对</w:t>
      </w:r>
      <w:r>
        <w:t>式（</w:t>
      </w:r>
      <w:r>
        <w:t>7</w:t>
      </w:r>
      <w:r>
        <w:t>）进行贝塞尔展开</w:t>
      </w:r>
      <w:r>
        <w:rPr>
          <w:rFonts w:hint="eastAsia"/>
        </w:rPr>
        <w:t>，</w:t>
      </w:r>
      <w:r>
        <w:t>可得</w:t>
      </w:r>
    </w:p>
    <w:p w14:paraId="6C8257F6" w14:textId="77777777" w:rsidR="00BF3ED6" w:rsidRDefault="009D4DE8">
      <m:oMath>
        <m:sSub>
          <m:sSubPr>
            <m:ctrlPr>
              <w:rPr>
                <w:rFonts w:ascii="Cambria Math" w:hAnsi="Cambria Math"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  <w:highlight w:val="yellow"/>
              </w:rPr>
              <m:t>B</m:t>
            </m:r>
          </m:sub>
        </m:sSub>
        <m:d>
          <m:dPr>
            <m:ctrlPr>
              <w:rPr>
                <w:rFonts w:ascii="Cambria Math" w:hAnsi="Cambria Math"/>
                <w:highlight w:val="yellow"/>
              </w:rPr>
            </m:ctrlPr>
          </m:dPr>
          <m:e>
            <m:r>
              <w:rPr>
                <w:rFonts w:ascii="Cambria Math" w:hAnsi="Cambria Math"/>
                <w:highlight w:val="yellow"/>
              </w:rPr>
              <m:t>t</m:t>
            </m:r>
          </m:e>
        </m:d>
        <m:r>
          <m:rPr>
            <m:sty m:val="p"/>
          </m:rPr>
          <w:rPr>
            <w:rFonts w:ascii="Cambria Math" w:hAnsi="Cambria Math"/>
            <w:highlight w:val="yellow"/>
          </w:rPr>
          <m:t>=</m:t>
        </m:r>
        <m:sSub>
          <m:sSubPr>
            <m:ctrlPr>
              <w:rPr>
                <w:rFonts w:ascii="Cambria Math" w:hAnsi="Cambria Math"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  <w:highlight w:val="yellow"/>
              </w:rPr>
              <m:t>1</m:t>
            </m:r>
          </m:sub>
        </m:sSub>
        <m:r>
          <w:rPr>
            <w:rFonts w:ascii="Cambria Math" w:hAnsi="Cambria Math"/>
            <w:highlight w:val="yellow"/>
          </w:rPr>
          <m:t>cos</m:t>
        </m:r>
        <m:d>
          <m:dPr>
            <m:ctrlPr>
              <w:rPr>
                <w:rFonts w:ascii="Cambria Math" w:hAnsi="Cambria Math"/>
                <w:highlight w:val="yellow"/>
              </w:rPr>
            </m:ctrlPr>
          </m:dPr>
          <m:e>
            <m:r>
              <w:rPr>
                <w:rFonts w:ascii="Cambria Math" w:hAnsi="Cambria Math"/>
                <w:highlight w:val="yellow"/>
              </w:rPr>
              <m:t>φ</m:t>
            </m:r>
          </m:e>
        </m:d>
        <m:nary>
          <m:naryPr>
            <m:chr m:val="∑"/>
            <m:limLoc m:val="subSup"/>
            <m:ctrlPr>
              <w:rPr>
                <w:rFonts w:ascii="Cambria Math" w:hAnsi="Cambria Math"/>
                <w:highlight w:val="yellow"/>
              </w:rPr>
            </m:ctrlPr>
          </m:naryPr>
          <m:sub>
            <m:r>
              <w:rPr>
                <w:rFonts w:ascii="Cambria Math" w:hAnsi="Cambria Math"/>
                <w:highlight w:val="yellow"/>
              </w:rPr>
              <m:t>n</m:t>
            </m:r>
            <m:r>
              <m:rPr>
                <m:sty m:val="p"/>
              </m:rPr>
              <w:rPr>
                <w:rFonts w:ascii="Cambria Math" w:hAnsi="Cambria Math"/>
                <w:highlight w:val="yellow"/>
              </w:rPr>
              <m:t>=-</m:t>
            </m:r>
            <m:r>
              <m:rPr>
                <m:sty m:val="p"/>
              </m:rPr>
              <w:rPr>
                <w:rFonts w:ascii="Cambria Math" w:hAnsi="Cambria Math"/>
                <w:highlight w:val="yellow"/>
              </w:rPr>
              <m:t>∞</m:t>
            </m:r>
          </m:sub>
          <m:sup>
            <m:r>
              <m:rPr>
                <m:sty m:val="p"/>
              </m:rPr>
              <w:rPr>
                <w:rFonts w:ascii="Cambria Math" w:hAnsi="Cambria Math"/>
                <w:highlight w:val="yellow"/>
              </w:rPr>
              <m:t>+</m:t>
            </m:r>
            <m:r>
              <m:rPr>
                <m:sty m:val="p"/>
              </m:rPr>
              <w:rPr>
                <w:rFonts w:ascii="Cambria Math" w:hAnsi="Cambria Math"/>
                <w:highlight w:val="yellow"/>
              </w:rPr>
              <m:t>∞</m:t>
            </m:r>
          </m:sup>
          <m:e>
            <m:sSup>
              <m:sSupPr>
                <m:ctrlPr>
                  <w:rPr>
                    <w:rFonts w:ascii="Cambria Math" w:hAnsi="Cambria Math"/>
                    <w:highlight w:val="yellow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highlight w:val="yellow"/>
                  </w:rPr>
                  <m:t>j</m:t>
                </m:r>
              </m:e>
              <m:sup>
                <m:r>
                  <w:rPr>
                    <w:rFonts w:ascii="Cambria Math" w:hAnsi="Cambria Math"/>
                    <w:highlight w:val="yellow"/>
                  </w:rPr>
                  <m:t>n</m:t>
                </m:r>
              </m:sup>
            </m:sSup>
            <m:sSub>
              <m:sSubPr>
                <m:ctrlPr>
                  <w:rPr>
                    <w:rFonts w:ascii="Cambria Math" w:hAnsi="Cambria Math"/>
                    <w:highlight w:val="yellow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highlight w:val="yellow"/>
                  </w:rPr>
                  <m:t>J</m:t>
                </m:r>
              </m:e>
              <m:sub>
                <m:r>
                  <w:rPr>
                    <w:rFonts w:ascii="Cambria Math" w:hAnsi="Cambria Math"/>
                    <w:highlight w:val="yellow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highlight w:val="yellow"/>
                  </w:rPr>
                </m:ctrlPr>
              </m:dPr>
              <m:e>
                <m:r>
                  <w:rPr>
                    <w:rFonts w:ascii="Cambria Math" w:hAnsi="Cambria Math"/>
                    <w:highlight w:val="yellow"/>
                  </w:rPr>
                  <m:t>m</m:t>
                </m:r>
              </m:e>
            </m:d>
            <m:func>
              <m:funcPr>
                <m:ctrlPr>
                  <w:rPr>
                    <w:rFonts w:ascii="Cambria Math" w:hAnsi="Cambria Math"/>
                    <w:highlight w:val="yellow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highlight w:val="yellow"/>
                  </w:rPr>
                  <m:t>exp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highlight w:val="yellow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highlight w:val="yellow"/>
                      </w:rPr>
                      <m:t>j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highlight w:val="yellow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highlight w:val="yellow"/>
                          </w:rPr>
                          <m:t>ω</m:t>
                        </m:r>
                      </m:e>
                      <m:sub>
                        <m:r>
                          <w:rPr>
                            <w:rFonts w:ascii="Cambria Math" w:hAnsi="Cambria Math"/>
                            <w:highlight w:val="yellow"/>
                          </w:rPr>
                          <m:t>c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highlight w:val="yellow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highlight w:val="yellow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highlight w:val="yellow"/>
                      </w:rPr>
                      <m:t>+j</m:t>
                    </m:r>
                    <m:r>
                      <w:rPr>
                        <w:rFonts w:ascii="Cambria Math" w:hAnsi="Cambria Math"/>
                        <w:highlight w:val="yellow"/>
                      </w:rPr>
                      <m:t>n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highlight w:val="yellow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highlight w:val="yellow"/>
                          </w:rPr>
                          <m:t>ω</m:t>
                        </m:r>
                      </m:e>
                      <m:sub>
                        <m:r>
                          <w:rPr>
                            <w:rFonts w:ascii="Cambria Math" w:hAnsi="Cambria Math"/>
                            <w:highlight w:val="yellow"/>
                          </w:rPr>
                          <m:t>r</m:t>
                        </m:r>
                      </m:sub>
                    </m:sSub>
                    <m:r>
                      <w:rPr>
                        <w:rFonts w:ascii="Cambria Math" w:hAnsi="Cambria Math"/>
                        <w:highlight w:val="yellow"/>
                      </w:rPr>
                      <m:t>t</m:t>
                    </m:r>
                  </m:e>
                </m:d>
              </m:e>
            </m:func>
          </m:e>
        </m:nary>
      </m:oMath>
      <w:r>
        <w:rPr>
          <w:highlight w:val="yellow"/>
        </w:rPr>
        <w:t xml:space="preserve">      </w:t>
      </w:r>
      <w:r>
        <w:rPr>
          <w:rFonts w:hint="eastAsia"/>
          <w:highlight w:val="yellow"/>
        </w:rPr>
        <w:t xml:space="preserve">  </w:t>
      </w:r>
      <w:r>
        <w:rPr>
          <w:highlight w:val="yellow"/>
        </w:rPr>
        <w:t xml:space="preserve">       </w:t>
      </w:r>
      <w:r>
        <w:rPr>
          <w:highlight w:val="yellow"/>
        </w:rPr>
        <w:t>（</w:t>
      </w:r>
      <w:r>
        <w:rPr>
          <w:highlight w:val="yellow"/>
        </w:rPr>
        <w:t>8</w:t>
      </w:r>
      <w:r>
        <w:rPr>
          <w:highlight w:val="yellow"/>
        </w:rPr>
        <w:t>）</w:t>
      </w:r>
    </w:p>
    <w:p w14:paraId="7A0EE1E9" w14:textId="77777777" w:rsidR="00BF3ED6" w:rsidRDefault="009D4DE8">
      <w:r>
        <w:t>其</w:t>
      </w:r>
      <w:r>
        <w:t>中</w:t>
      </w:r>
      <m:oMath>
        <m:r>
          <m:rPr>
            <m:sty m:val="p"/>
          </m:rPr>
          <w:rPr>
            <w:rFonts w:ascii="Cambria Math" w:hAnsi="Cambria Math" w:hint="eastAsia"/>
          </w:rPr>
          <m:t>，</m:t>
        </m:r>
        <m:r>
          <w:rPr>
            <w:rFonts w:ascii="Cambria Math" w:hAnsi="Cambria Math" w:hint="eastAsia"/>
          </w:rPr>
          <m:t>m</m:t>
        </m:r>
        <m:r>
          <m:rPr>
            <m:sty m:val="p"/>
          </m:rPr>
          <w:rPr>
            <w:rFonts w:ascii="Cambria Math" w:hAnsi="Cambria Math"/>
          </w:rPr>
          <m:t>为</m:t>
        </m:r>
        <m:r>
          <m:rPr>
            <m:sty m:val="p"/>
          </m:rPr>
          <w:rPr>
            <w:rFonts w:ascii="Cambria Math" w:hAnsi="Cambria Math"/>
          </w:rPr>
          <m:t>O-PM</m:t>
        </m:r>
        <m:r>
          <m:rPr>
            <m:sty m:val="p"/>
          </m:rPr>
          <w:rPr>
            <w:rFonts w:ascii="Cambria Math" w:hAnsi="Cambria Math"/>
          </w:rPr>
          <m:t>调制指数</m:t>
        </m:r>
        <m:r>
          <m:rPr>
            <m:sty m:val="p"/>
          </m:rPr>
          <w:rPr>
            <w:rFonts w:ascii="Cambria Math" w:hAnsi="Cambria Math" w:hint="eastAsia"/>
          </w:rPr>
          <m:t>，</m:t>
        </m:r>
        <m:r>
          <w:rPr>
            <w:rFonts w:ascii="Cambria Math" w:hAnsi="Cambria Math"/>
          </w:rPr>
          <m:t>m</m:t>
        </m:r>
        <m:r>
          <w:rPr>
            <w:rFonts w:ascii="Cambria Math" w:hAnsi="Cambria Math"/>
          </w:rPr>
          <m:t>=</m:t>
        </m:r>
        <m:f>
          <m:fPr>
            <m:type m:val="lin"/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r</m:t>
                </m:r>
              </m:sub>
            </m:sSub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rPr>
          <w:rFonts w:hint="eastAsia"/>
        </w:rPr>
        <w:t>；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J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m</m:t>
            </m:r>
          </m:e>
        </m:d>
      </m:oMath>
      <w:r>
        <w:t>为</w:t>
      </w:r>
      <m:oMath>
        <m:r>
          <w:rPr>
            <w:rFonts w:ascii="Cambria Math" w:hAnsi="Cambria Math"/>
          </w:rPr>
          <m:t>n</m:t>
        </m:r>
      </m:oMath>
      <w:r>
        <w:t>阶第一类贝塞尔函数。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J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  <w:r>
        <w:t>、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J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>和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J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>三条第一类贝塞尔函数曲线</w:t>
      </w:r>
      <w:r>
        <w:rPr>
          <w:rFonts w:hint="eastAsia"/>
        </w:rPr>
        <w:t>如</w:t>
      </w:r>
      <w:r>
        <w:t>图</w:t>
      </w:r>
      <w:r>
        <w:rPr>
          <w:rFonts w:hint="eastAsia"/>
        </w:rPr>
        <w:t>2</w:t>
      </w:r>
      <w:r>
        <w:rPr>
          <w:rFonts w:hint="eastAsia"/>
        </w:rPr>
        <w:t>所示</w:t>
      </w:r>
      <w:r>
        <w:t>，更高阶的贝塞尔函数曲线由于幅值过低，</w:t>
      </w:r>
      <w:r>
        <w:rPr>
          <w:rFonts w:hint="eastAsia"/>
        </w:rPr>
        <w:t>本文</w:t>
      </w:r>
      <w:r>
        <w:t>忽略不计。从图</w:t>
      </w:r>
      <w:r>
        <w:t>2</w:t>
      </w:r>
      <w:r>
        <w:t>可以看出，当射频信号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</m:oMath>
      <w:r>
        <w:t>的幅度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=1.67 </m:t>
        </m:r>
        <m:r>
          <m:rPr>
            <m:sty m:val="p"/>
          </m:rPr>
          <w:rPr>
            <w:rFonts w:ascii="Cambria Math" w:hAnsi="Cambria Math"/>
          </w:rPr>
          <m:t>V</m:t>
        </m:r>
        <m:r>
          <m:rPr>
            <m:sty m:val="p"/>
          </m:rPr>
          <w:rPr>
            <w:rFonts w:ascii="Cambria Math" w:hAnsi="Cambria Math" w:hint="eastAsia"/>
          </w:rPr>
          <m:t>时</m:t>
        </m:r>
      </m:oMath>
      <w:r>
        <w:t>，</w:t>
      </w:r>
      <w:r>
        <w:t>D</w:t>
      </w:r>
      <w:r>
        <w:t>和</w:t>
      </w:r>
      <w:r>
        <w:t>E</w:t>
      </w:r>
      <w:r>
        <w:t>点</w:t>
      </w:r>
      <w:r>
        <w:rPr>
          <w:rFonts w:hint="eastAsia"/>
        </w:rPr>
        <w:t>处的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J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d>
        <m:r>
          <w:rPr>
            <w:rFonts w:ascii="Cambria Math" w:hAnsi="Cambria Math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J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w:rPr>
            <w:rFonts w:ascii="Cambria Math" w:hAnsi="Cambria Math"/>
          </w:rPr>
          <m:t xml:space="preserve">=0.46 </m:t>
        </m:r>
        <m:r>
          <m:rPr>
            <m:sty m:val="p"/>
          </m:rPr>
          <w:rPr>
            <w:rFonts w:ascii="Cambria Math" w:hAnsi="Cambria Math"/>
          </w:rPr>
          <m:t>a.u.</m:t>
        </m:r>
      </m:oMath>
      <w:r>
        <w:t>，而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J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e>
        </m:d>
        <m:r>
          <w:rPr>
            <w:rFonts w:ascii="Cambria Math" w:hAnsi="Cambria Math"/>
          </w:rPr>
          <m:t xml:space="preserve">=0.11 </m:t>
        </m:r>
        <m:r>
          <m:rPr>
            <m:sty m:val="p"/>
          </m:rPr>
          <w:rPr>
            <w:rFonts w:ascii="Cambria Math" w:hAnsi="Cambria Math"/>
          </w:rPr>
          <m:t>a.u.</m:t>
        </m:r>
      </m:oMath>
      <w:r>
        <w:rPr>
          <w:rFonts w:hint="eastAsia"/>
        </w:rPr>
        <w:t>。</w:t>
      </w:r>
      <w:r>
        <w:t>这时</w:t>
      </w:r>
      <m:oMath>
        <m:r>
          <w:rPr>
            <w:rFonts w:ascii="Cambria Math" w:hAnsi="Cambria Math" w:hint="eastAsia"/>
          </w:rPr>
          <m:t>±</m:t>
        </m:r>
        <m:r>
          <w:rPr>
            <w:rFonts w:ascii="Cambria Math" w:hAnsi="Cambria Math"/>
          </w:rPr>
          <m:t>1</m:t>
        </m:r>
      </m:oMath>
      <w:r>
        <w:t>阶边带和</w:t>
      </w:r>
      <m:oMath>
        <m:r>
          <w:rPr>
            <w:rFonts w:ascii="Cambria Math" w:hAnsi="Cambria Math" w:hint="eastAsia"/>
          </w:rPr>
          <m:t>±</m:t>
        </m:r>
        <m:r>
          <w:rPr>
            <w:rFonts w:ascii="Cambria Math" w:hAnsi="Cambria Math"/>
          </w:rPr>
          <m:t>2</m:t>
        </m:r>
      </m:oMath>
      <w:r>
        <w:t>阶边带功率相同，而主载波功率远低于</w:t>
      </w:r>
      <m:oMath>
        <m:r>
          <w:rPr>
            <w:rFonts w:ascii="Cambria Math" w:hAnsi="Cambria Math" w:hint="eastAsia"/>
          </w:rPr>
          <m:t>±</m:t>
        </m:r>
        <m:r>
          <w:rPr>
            <w:rFonts w:ascii="Cambria Math" w:hAnsi="Cambria Math"/>
          </w:rPr>
          <m:t>1</m:t>
        </m:r>
      </m:oMath>
      <w:r>
        <w:t>和</w:t>
      </w:r>
      <m:oMath>
        <m:r>
          <w:rPr>
            <w:rFonts w:ascii="Cambria Math" w:hAnsi="Cambria Math" w:hint="eastAsia"/>
          </w:rPr>
          <m:t>±</m:t>
        </m:r>
        <m:r>
          <w:rPr>
            <w:rFonts w:ascii="Cambria Math" w:hAnsi="Cambria Math"/>
          </w:rPr>
          <m:t>2</m:t>
        </m:r>
      </m:oMath>
      <w:r>
        <w:t>阶边带。这相当于产生了含有</w:t>
      </w:r>
      <w:r>
        <w:t>5</w:t>
      </w:r>
      <w:r>
        <w:t>条梳线的</w:t>
      </w:r>
      <w:r>
        <w:t>OFC</w:t>
      </w:r>
      <w:r>
        <w:t>，但平坦度较差，若能将主载波功率修正到</w:t>
      </w:r>
      <m:oMath>
        <m:r>
          <w:rPr>
            <w:rFonts w:ascii="Cambria Math" w:hAnsi="Cambria Math" w:hint="eastAsia"/>
          </w:rPr>
          <m:t>±</m:t>
        </m:r>
        <m:r>
          <w:rPr>
            <w:rFonts w:ascii="Cambria Math" w:hAnsi="Cambria Math"/>
          </w:rPr>
          <m:t>1</m:t>
        </m:r>
      </m:oMath>
      <w:r>
        <w:t>和</w:t>
      </w:r>
      <m:oMath>
        <m:r>
          <w:rPr>
            <w:rFonts w:ascii="Cambria Math" w:hAnsi="Cambria Math" w:hint="eastAsia"/>
          </w:rPr>
          <m:t>±</m:t>
        </m:r>
        <m:r>
          <w:rPr>
            <w:rFonts w:ascii="Cambria Math" w:hAnsi="Cambria Math"/>
          </w:rPr>
          <m:t>2</m:t>
        </m:r>
      </m:oMath>
      <w:r>
        <w:t>阶边带大小，则可以产生平坦的</w:t>
      </w:r>
      <w:r>
        <w:t>OFC</w:t>
      </w:r>
      <w:r>
        <w:t>。</w:t>
      </w:r>
    </w:p>
    <w:p w14:paraId="40454DC4" w14:textId="77777777" w:rsidR="00BF3ED6" w:rsidRDefault="009D4DE8">
      <w:pPr>
        <w:jc w:val="center"/>
      </w:pPr>
      <w:r>
        <w:object w:dxaOrig="6600" w:dyaOrig="4870" w14:anchorId="6A36D5F6">
          <v:shape id="_x0000_i1110" type="#_x0000_t75" style="width:330pt;height:243.5pt" o:ole="">
            <v:imagedata r:id="rId8" o:title=""/>
          </v:shape>
          <o:OLEObject Type="Embed" ProgID="Visio.Drawing.11" ShapeID="_x0000_i1110" DrawAspect="Content" ObjectID="_1779889757" r:id="rId9"/>
        </w:object>
      </w:r>
    </w:p>
    <w:p w14:paraId="2B3D1CAA" w14:textId="77777777" w:rsidR="00BF3ED6" w:rsidRDefault="009D4DE8">
      <w:pPr>
        <w:ind w:firstLineChars="950" w:firstLine="1995"/>
        <w:jc w:val="center"/>
      </w:pPr>
      <w:r>
        <w:t>图</w:t>
      </w:r>
      <w:r>
        <w:t xml:space="preserve">2  </w:t>
      </w:r>
      <w:r>
        <w:t>第一类贝塞尔函数曲线</w:t>
      </w:r>
      <w:r>
        <w:rPr>
          <w:rFonts w:hint="eastAsia"/>
        </w:rPr>
        <w:t>图</w:t>
      </w:r>
    </w:p>
    <w:p w14:paraId="628179E7" w14:textId="77777777" w:rsidR="00BF3ED6" w:rsidRDefault="009D4DE8">
      <w:pPr>
        <w:ind w:firstLine="420"/>
      </w:pPr>
      <w:r>
        <w:t>为</w:t>
      </w:r>
      <w:r>
        <w:t>进一步提升</w:t>
      </w:r>
      <w:r>
        <w:t>OFC</w:t>
      </w:r>
      <w:r>
        <w:t>平坦度，</w:t>
      </w:r>
      <w:r>
        <w:rPr>
          <w:rFonts w:hint="eastAsia"/>
        </w:rPr>
        <w:t>本文</w:t>
      </w:r>
      <w:r>
        <w:t>将偏振技术引入到系统中，通过调整偏振控制器和线偏振器偏振角度，可以优化主载波功率。将</w:t>
      </w:r>
      <w:r>
        <w:rPr>
          <w:rFonts w:hint="eastAsia"/>
        </w:rPr>
        <w:t>式</w:t>
      </w:r>
      <w:r>
        <w:t>（</w:t>
      </w:r>
      <w:r>
        <w:t>1</w:t>
      </w:r>
      <w:r>
        <w:t>）、</w:t>
      </w:r>
      <w:r>
        <w:rPr>
          <w:rFonts w:hint="eastAsia"/>
        </w:rPr>
        <w:t>式</w:t>
      </w:r>
      <w:r>
        <w:t>（</w:t>
      </w:r>
      <w:r>
        <w:t>4</w:t>
      </w:r>
      <w:r>
        <w:t>）和式（</w:t>
      </w:r>
      <w:r>
        <w:t>8</w:t>
      </w:r>
      <w:r>
        <w:t>）</w:t>
      </w:r>
      <w:r>
        <w:rPr>
          <w:rFonts w:hint="eastAsia"/>
        </w:rPr>
        <w:t>代</w:t>
      </w:r>
      <w:r>
        <w:t>入到式（</w:t>
      </w:r>
      <w:r>
        <w:t>6</w:t>
      </w:r>
      <w:r>
        <w:t>）</w:t>
      </w:r>
      <w:r>
        <w:rPr>
          <w:rFonts w:hint="eastAsia"/>
        </w:rPr>
        <w:t>，</w:t>
      </w:r>
      <w:r>
        <w:t>可得</w:t>
      </w:r>
    </w:p>
    <w:p w14:paraId="1C2E6C16" w14:textId="77777777" w:rsidR="00BF3ED6" w:rsidRDefault="009D4DE8"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pol</m:t>
            </m:r>
          </m:sub>
        </m:sSub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exp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/>
                  </w:rPr>
                  <m:t>j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t</m:t>
                </m:r>
              </m:e>
            </m:d>
          </m:e>
        </m:func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/>
                  </w:rPr>
                  <m:t>φ</m:t>
                </m:r>
              </m:e>
            </m:d>
          </m:e>
        </m:func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/>
                  </w:rPr>
                  <m:t>α</m:t>
                </m:r>
              </m:e>
            </m:d>
          </m:e>
        </m:func>
        <m:r>
          <m:rPr>
            <m:sty m:val="p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φ</m:t>
            </m:r>
          </m:e>
        </m:d>
        <m:r>
          <w:rPr>
            <w:rFonts w:ascii="Cambria Math" w:hAnsi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α</m:t>
            </m:r>
          </m:e>
        </m:d>
        <m:nary>
          <m:naryPr>
            <m:chr m:val="∑"/>
            <m:limLoc m:val="undOvr"/>
            <m:supHide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n</m:t>
            </m:r>
          </m:sub>
          <m:sup/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j</m:t>
                </m:r>
              </m:e>
              <m:sup>
                <m:r>
                  <w:rPr>
                    <w:rFonts w:ascii="Cambria Math" w:hAnsi="Cambria Math"/>
                  </w:rPr>
                  <m:t>n</m:t>
                </m:r>
              </m:sup>
            </m:s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J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/>
                  </w:rPr>
                  <m:t>m</m:t>
                </m:r>
              </m:e>
            </m:d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exp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j</m:t>
                    </m:r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ω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+</m:t>
                    </m:r>
                    <m:r>
                      <w:rPr>
                        <w:rFonts w:ascii="Cambria Math" w:hAnsi="Cambria Math"/>
                      </w:rPr>
                      <m:t>n</m:t>
                    </m:r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ω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t</m:t>
                    </m:r>
                  </m:e>
                </m:d>
              </m:e>
            </m:func>
          </m:e>
        </m:nary>
      </m:oMath>
      <w:r>
        <w:t>（</w:t>
      </w:r>
      <w:r>
        <w:t>9</w:t>
      </w:r>
      <w:r>
        <w:t>）</w:t>
      </w:r>
    </w:p>
    <w:p w14:paraId="7A596EE6" w14:textId="77777777" w:rsidR="00BF3ED6" w:rsidRDefault="009D4DE8">
      <w:pPr>
        <w:ind w:firstLine="420"/>
      </w:pPr>
      <w:r>
        <w:rPr>
          <w:rFonts w:ascii="Segoe UI" w:hAnsi="Segoe UI" w:cs="Segoe UI"/>
          <w:color w:val="1E1F24"/>
          <w:shd w:val="clear" w:color="auto" w:fill="FFFFFF"/>
        </w:rPr>
        <w:t>相</w:t>
      </w:r>
      <w:r>
        <w:rPr>
          <w:rFonts w:ascii="Segoe UI" w:hAnsi="Segoe UI" w:cs="Segoe UI"/>
          <w:color w:val="1E1F24"/>
          <w:shd w:val="clear" w:color="auto" w:fill="FFFFFF"/>
        </w:rPr>
        <w:t>对于式（</w:t>
      </w:r>
      <w:r>
        <w:rPr>
          <w:rFonts w:ascii="Segoe UI" w:hAnsi="Segoe UI" w:cs="Segoe UI"/>
          <w:color w:val="1E1F24"/>
          <w:shd w:val="clear" w:color="auto" w:fill="FFFFFF"/>
        </w:rPr>
        <w:t>8</w:t>
      </w:r>
      <w:r>
        <w:rPr>
          <w:rFonts w:ascii="Segoe UI" w:hAnsi="Segoe UI" w:cs="Segoe UI"/>
          <w:color w:val="1E1F24"/>
          <w:shd w:val="clear" w:color="auto" w:fill="FFFFFF"/>
        </w:rPr>
        <w:t>）中的主载波，式（</w:t>
      </w:r>
      <w:r>
        <w:rPr>
          <w:rFonts w:ascii="Segoe UI" w:hAnsi="Segoe UI" w:cs="Segoe UI"/>
          <w:color w:val="1E1F24"/>
          <w:shd w:val="clear" w:color="auto" w:fill="FFFFFF"/>
        </w:rPr>
        <w:t>9</w:t>
      </w:r>
      <w:r>
        <w:rPr>
          <w:rFonts w:ascii="Segoe UI" w:hAnsi="Segoe UI" w:cs="Segoe UI"/>
          <w:color w:val="1E1F24"/>
          <w:shd w:val="clear" w:color="auto" w:fill="FFFFFF"/>
        </w:rPr>
        <w:t>）中的第二个和项对第一个和项中的主载波进行了调整。这种调整通过改变偏振控制器和线偏振器的偏振角度</w:t>
      </w:r>
      <w:r>
        <w:rPr>
          <w:rFonts w:ascii="Segoe UI" w:hAnsi="Segoe UI" w:cs="Segoe UI"/>
          <w:i/>
          <w:color w:val="1E1F24"/>
          <w:shd w:val="clear" w:color="auto" w:fill="FFFFFF"/>
        </w:rPr>
        <w:t>φ</w:t>
      </w:r>
      <w:r>
        <w:rPr>
          <w:rFonts w:ascii="Segoe UI" w:hAnsi="Segoe UI" w:cs="Segoe UI"/>
          <w:color w:val="1E1F24"/>
          <w:shd w:val="clear" w:color="auto" w:fill="FFFFFF"/>
        </w:rPr>
        <w:t>和</w:t>
      </w:r>
      <w:r>
        <w:rPr>
          <w:rFonts w:ascii="Segoe UI" w:hAnsi="Segoe UI" w:cs="Segoe UI"/>
          <w:i/>
          <w:color w:val="1E1F24"/>
          <w:shd w:val="clear" w:color="auto" w:fill="FFFFFF"/>
        </w:rPr>
        <w:t>α</w:t>
      </w:r>
      <w:r>
        <w:rPr>
          <w:rFonts w:ascii="Segoe UI" w:hAnsi="Segoe UI" w:cs="Segoe UI"/>
          <w:color w:val="1E1F24"/>
          <w:shd w:val="clear" w:color="auto" w:fill="FFFFFF"/>
        </w:rPr>
        <w:t>来实现，从而使式（</w:t>
      </w:r>
      <w:r>
        <w:rPr>
          <w:rFonts w:ascii="Segoe UI" w:hAnsi="Segoe UI" w:cs="Segoe UI"/>
          <w:color w:val="1E1F24"/>
          <w:shd w:val="clear" w:color="auto" w:fill="FFFFFF"/>
        </w:rPr>
        <w:t>9</w:t>
      </w:r>
      <w:r>
        <w:rPr>
          <w:rFonts w:ascii="Segoe UI" w:hAnsi="Segoe UI" w:cs="Segoe UI"/>
          <w:color w:val="1E1F24"/>
          <w:shd w:val="clear" w:color="auto" w:fill="FFFFFF"/>
        </w:rPr>
        <w:t>）中的主载波与</w:t>
      </w:r>
      <w:r>
        <w:rPr>
          <w:rFonts w:ascii="Segoe UI" w:hAnsi="Segoe UI" w:cs="Segoe UI"/>
          <w:color w:val="1E1F24"/>
          <w:shd w:val="clear" w:color="auto" w:fill="FFFFFF"/>
        </w:rPr>
        <w:t>±1</w:t>
      </w:r>
      <w:r>
        <w:rPr>
          <w:rFonts w:ascii="Segoe UI" w:hAnsi="Segoe UI" w:cs="Segoe UI"/>
          <w:color w:val="1E1F24"/>
          <w:shd w:val="clear" w:color="auto" w:fill="FFFFFF"/>
        </w:rPr>
        <w:t>和</w:t>
      </w:r>
      <w:r>
        <w:rPr>
          <w:rFonts w:ascii="Segoe UI" w:hAnsi="Segoe UI" w:cs="Segoe UI"/>
          <w:color w:val="1E1F24"/>
          <w:shd w:val="clear" w:color="auto" w:fill="FFFFFF"/>
        </w:rPr>
        <w:t>±2</w:t>
      </w:r>
      <w:r>
        <w:rPr>
          <w:rFonts w:ascii="Segoe UI" w:hAnsi="Segoe UI" w:cs="Segoe UI"/>
          <w:color w:val="1E1F24"/>
          <w:shd w:val="clear" w:color="auto" w:fill="FFFFFF"/>
        </w:rPr>
        <w:t>阶边带功率相当，进而实现具有</w:t>
      </w:r>
      <w:r>
        <w:rPr>
          <w:rFonts w:ascii="Segoe UI" w:hAnsi="Segoe UI" w:cs="Segoe UI"/>
          <w:color w:val="1E1F24"/>
          <w:shd w:val="clear" w:color="auto" w:fill="FFFFFF"/>
        </w:rPr>
        <w:t>5</w:t>
      </w:r>
      <w:r>
        <w:rPr>
          <w:rFonts w:ascii="Segoe UI" w:hAnsi="Segoe UI" w:cs="Segoe UI"/>
          <w:color w:val="1E1F24"/>
          <w:shd w:val="clear" w:color="auto" w:fill="FFFFFF"/>
        </w:rPr>
        <w:t>条梳线的平坦</w:t>
      </w:r>
      <w:r>
        <w:rPr>
          <w:rFonts w:ascii="Segoe UI" w:hAnsi="Segoe UI" w:cs="Segoe UI"/>
          <w:color w:val="1E1F24"/>
          <w:shd w:val="clear" w:color="auto" w:fill="FFFFFF"/>
        </w:rPr>
        <w:t>OFC</w:t>
      </w:r>
      <w:r>
        <w:rPr>
          <w:rFonts w:ascii="Segoe UI" w:hAnsi="Segoe UI" w:cs="Segoe UI"/>
          <w:color w:val="1E1F24"/>
          <w:shd w:val="clear" w:color="auto" w:fill="FFFFFF"/>
        </w:rPr>
        <w:t>。</w:t>
      </w:r>
      <w:r>
        <w:rPr>
          <w:rFonts w:ascii="Segoe UI" w:hAnsi="Segoe UI" w:cs="Segoe UI" w:hint="eastAsia"/>
          <w:color w:val="1E1F24"/>
          <w:shd w:val="clear" w:color="auto" w:fill="FFFFFF"/>
        </w:rPr>
        <w:t>本文</w:t>
      </w:r>
      <w:r>
        <w:rPr>
          <w:rFonts w:ascii="Segoe UI" w:hAnsi="Segoe UI" w:cs="Segoe UI"/>
          <w:color w:val="1E1F24"/>
          <w:shd w:val="clear" w:color="auto" w:fill="FFFFFF"/>
        </w:rPr>
        <w:t>利用叠加定理，在</w:t>
      </w:r>
      <w:r>
        <w:rPr>
          <w:rFonts w:ascii="Segoe UI" w:hAnsi="Segoe UI" w:cs="Segoe UI"/>
          <w:color w:val="1E1F24"/>
          <w:shd w:val="clear" w:color="auto" w:fill="FFFFFF"/>
        </w:rPr>
        <w:t>CW</w:t>
      </w:r>
      <w:r>
        <w:rPr>
          <w:rFonts w:ascii="Segoe UI" w:hAnsi="Segoe UI" w:cs="Segoe UI"/>
          <w:color w:val="1E1F24"/>
          <w:shd w:val="clear" w:color="auto" w:fill="FFFFFF"/>
          <w:vertAlign w:val="subscript"/>
        </w:rPr>
        <w:t>1</w:t>
      </w:r>
      <w:r>
        <w:rPr>
          <w:rFonts w:ascii="Segoe UI" w:hAnsi="Segoe UI" w:cs="Segoe UI"/>
          <w:color w:val="1E1F24"/>
          <w:shd w:val="clear" w:color="auto" w:fill="FFFFFF"/>
        </w:rPr>
        <w:t>的基础上引入频率为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  <m:r>
          <w:rPr>
            <w:rFonts w:ascii="Cambria Math" w:hAnsi="Cambria Math"/>
          </w:rPr>
          <m:t>∕2+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rPr>
          <w:rFonts w:ascii="Segoe UI" w:hAnsi="Segoe UI" w:cs="Segoe UI"/>
          <w:color w:val="1E1F24"/>
          <w:shd w:val="clear" w:color="auto" w:fill="FFFFFF"/>
        </w:rPr>
        <w:t>的</w:t>
      </w:r>
      <w:r>
        <w:rPr>
          <w:rFonts w:ascii="Segoe UI" w:hAnsi="Segoe UI" w:cs="Segoe UI"/>
          <w:color w:val="1E1F24"/>
          <w:shd w:val="clear" w:color="auto" w:fill="FFFFFF"/>
        </w:rPr>
        <w:t>CW</w:t>
      </w:r>
      <w:r>
        <w:rPr>
          <w:rFonts w:ascii="Segoe UI" w:hAnsi="Segoe UI" w:cs="Segoe UI"/>
          <w:color w:val="1E1F24"/>
          <w:shd w:val="clear" w:color="auto" w:fill="FFFFFF"/>
          <w:vertAlign w:val="subscript"/>
        </w:rPr>
        <w:t>2</w:t>
      </w:r>
      <w:r>
        <w:rPr>
          <w:rFonts w:ascii="Segoe UI" w:hAnsi="Segoe UI" w:cs="Segoe UI"/>
          <w:color w:val="1E1F24"/>
          <w:shd w:val="clear" w:color="auto" w:fill="FFFFFF"/>
        </w:rPr>
        <w:t>，以产生具有</w:t>
      </w:r>
      <w:r>
        <w:rPr>
          <w:rFonts w:ascii="Segoe UI" w:hAnsi="Segoe UI" w:cs="Segoe UI"/>
          <w:color w:val="1E1F24"/>
          <w:shd w:val="clear" w:color="auto" w:fill="FFFFFF"/>
        </w:rPr>
        <w:t>10</w:t>
      </w:r>
      <w:r>
        <w:rPr>
          <w:rFonts w:ascii="Segoe UI" w:hAnsi="Segoe UI" w:cs="Segoe UI"/>
          <w:color w:val="1E1F24"/>
          <w:shd w:val="clear" w:color="auto" w:fill="FFFFFF"/>
        </w:rPr>
        <w:t>条梳线的高平坦度</w:t>
      </w:r>
      <w:r>
        <w:rPr>
          <w:rFonts w:ascii="Segoe UI" w:hAnsi="Segoe UI" w:cs="Segoe UI"/>
          <w:color w:val="1E1F24"/>
          <w:shd w:val="clear" w:color="auto" w:fill="FFFFFF"/>
        </w:rPr>
        <w:t>OFC</w:t>
      </w:r>
      <w:r>
        <w:rPr>
          <w:rFonts w:ascii="Segoe UI" w:hAnsi="Segoe UI" w:cs="Segoe UI"/>
          <w:color w:val="1E1F24"/>
          <w:shd w:val="clear" w:color="auto" w:fill="FFFFFF"/>
        </w:rPr>
        <w:t>。由于</w:t>
      </w:r>
      <w:r>
        <w:rPr>
          <w:rFonts w:ascii="Segoe UI" w:hAnsi="Segoe UI" w:cs="Segoe UI"/>
          <w:color w:val="1E1F24"/>
          <w:shd w:val="clear" w:color="auto" w:fill="FFFFFF"/>
        </w:rPr>
        <w:t>CW</w:t>
      </w:r>
      <w:r>
        <w:rPr>
          <w:rFonts w:ascii="Segoe UI" w:hAnsi="Segoe UI" w:cs="Segoe UI"/>
          <w:color w:val="1E1F24"/>
          <w:shd w:val="clear" w:color="auto" w:fill="FFFFFF"/>
          <w:vertAlign w:val="subscript"/>
        </w:rPr>
        <w:t>1</w:t>
      </w:r>
      <w:r>
        <w:rPr>
          <w:rFonts w:ascii="Segoe UI" w:hAnsi="Segoe UI" w:cs="Segoe UI"/>
          <w:color w:val="1E1F24"/>
          <w:shd w:val="clear" w:color="auto" w:fill="FFFFFF"/>
        </w:rPr>
        <w:t>和</w:t>
      </w:r>
      <w:r>
        <w:rPr>
          <w:rFonts w:ascii="Segoe UI" w:hAnsi="Segoe UI" w:cs="Segoe UI"/>
          <w:color w:val="1E1F24"/>
          <w:shd w:val="clear" w:color="auto" w:fill="FFFFFF"/>
        </w:rPr>
        <w:t>CW</w:t>
      </w:r>
      <w:r>
        <w:rPr>
          <w:rFonts w:ascii="Segoe UI" w:hAnsi="Segoe UI" w:cs="Segoe UI"/>
          <w:color w:val="1E1F24"/>
          <w:shd w:val="clear" w:color="auto" w:fill="FFFFFF"/>
          <w:vertAlign w:val="subscript"/>
        </w:rPr>
        <w:t>2</w:t>
      </w:r>
      <w:r>
        <w:rPr>
          <w:rFonts w:ascii="Segoe UI" w:hAnsi="Segoe UI" w:cs="Segoe UI"/>
          <w:color w:val="1E1F24"/>
          <w:shd w:val="clear" w:color="auto" w:fill="FFFFFF"/>
        </w:rPr>
        <w:t>需要满足特定的波长关系，因此，</w:t>
      </w:r>
      <w:r>
        <w:rPr>
          <w:rFonts w:ascii="Segoe UI" w:hAnsi="Segoe UI" w:cs="Segoe UI" w:hint="eastAsia"/>
          <w:color w:val="1E1F24"/>
          <w:shd w:val="clear" w:color="auto" w:fill="FFFFFF"/>
        </w:rPr>
        <w:t>本文</w:t>
      </w:r>
      <w:r>
        <w:rPr>
          <w:rFonts w:ascii="Segoe UI" w:hAnsi="Segoe UI" w:cs="Segoe UI"/>
          <w:color w:val="1E1F24"/>
          <w:shd w:val="clear" w:color="auto" w:fill="FFFFFF"/>
        </w:rPr>
        <w:t>选用</w:t>
      </w:r>
      <w:r>
        <w:rPr>
          <w:rFonts w:ascii="Segoe UI" w:hAnsi="Segoe UI" w:cs="Segoe UI" w:hint="eastAsia"/>
          <w:color w:val="1E1F24"/>
          <w:shd w:val="clear" w:color="auto" w:fill="FFFFFF"/>
        </w:rPr>
        <w:t>了</w:t>
      </w:r>
      <w:r>
        <w:rPr>
          <w:rFonts w:ascii="Segoe UI" w:hAnsi="Segoe UI" w:cs="Segoe UI"/>
          <w:color w:val="1E1F24"/>
          <w:shd w:val="clear" w:color="auto" w:fill="FFFFFF"/>
        </w:rPr>
        <w:t>高质量的激光器来确保输出波长的稳定性。为了进一步确保</w:t>
      </w:r>
      <w:r>
        <w:rPr>
          <w:rFonts w:ascii="Segoe UI" w:hAnsi="Segoe UI" w:cs="Segoe UI" w:hint="eastAsia"/>
          <w:color w:val="1E1F24"/>
          <w:shd w:val="clear" w:color="auto" w:fill="FFFFFF"/>
        </w:rPr>
        <w:t>2</w:t>
      </w:r>
      <w:r>
        <w:rPr>
          <w:rFonts w:ascii="Segoe UI" w:hAnsi="Segoe UI" w:cs="Segoe UI"/>
          <w:color w:val="1E1F24"/>
          <w:shd w:val="clear" w:color="auto" w:fill="FFFFFF"/>
        </w:rPr>
        <w:t>个光源的波长满足要求，</w:t>
      </w:r>
      <w:r>
        <w:rPr>
          <w:rFonts w:ascii="Segoe UI" w:hAnsi="Segoe UI" w:cs="Segoe UI" w:hint="eastAsia"/>
          <w:color w:val="1E1F24"/>
          <w:shd w:val="clear" w:color="auto" w:fill="FFFFFF"/>
        </w:rPr>
        <w:t>还</w:t>
      </w:r>
      <w:r>
        <w:rPr>
          <w:rFonts w:ascii="Segoe UI" w:hAnsi="Segoe UI" w:cs="Segoe UI"/>
          <w:color w:val="1E1F24"/>
          <w:shd w:val="clear" w:color="auto" w:fill="FFFFFF"/>
        </w:rPr>
        <w:t>可以在适当控制成本的基础上增设波长稳定器。</w:t>
      </w:r>
    </w:p>
    <w:p w14:paraId="3046D637" w14:textId="77777777" w:rsidR="00BF3ED6" w:rsidRDefault="00BF3ED6"/>
    <w:p w14:paraId="2894D945" w14:textId="77777777" w:rsidR="00BF3ED6" w:rsidRDefault="009D4DE8">
      <w:pPr>
        <w:rPr>
          <w:b/>
        </w:rPr>
      </w:pPr>
      <w:r>
        <w:rPr>
          <w:b/>
        </w:rPr>
        <w:t>2</w:t>
      </w:r>
      <w:r>
        <w:rPr>
          <w:b/>
        </w:rPr>
        <w:t>仿真实验及分析</w:t>
      </w:r>
      <w:r>
        <w:rPr>
          <w:rFonts w:hint="eastAsia"/>
          <w:b/>
        </w:rPr>
        <w:t xml:space="preserve"> </w:t>
      </w:r>
    </w:p>
    <w:p w14:paraId="715FE502" w14:textId="77777777" w:rsidR="00BF3ED6" w:rsidRDefault="009D4DE8">
      <w:pPr>
        <w:ind w:firstLine="420"/>
      </w:pPr>
      <w:r>
        <w:t>为</w:t>
      </w:r>
      <w:r>
        <w:t>验证所提方案正确性，</w:t>
      </w:r>
      <w:r>
        <w:rPr>
          <w:rFonts w:hint="eastAsia"/>
        </w:rPr>
        <w:t>本文</w:t>
      </w:r>
      <w:r>
        <w:t>采用</w:t>
      </w:r>
      <w:r>
        <w:rPr>
          <w:rFonts w:hint="eastAsia"/>
          <w:highlight w:val="yellow"/>
        </w:rPr>
        <w:t>Optisystem</w:t>
      </w:r>
      <w:r>
        <w:t>进行</w:t>
      </w:r>
      <w:r>
        <w:rPr>
          <w:rFonts w:hint="eastAsia"/>
        </w:rPr>
        <w:t>仿真</w:t>
      </w:r>
      <w:r>
        <w:t>验证。</w:t>
      </w:r>
      <w:r>
        <w:rPr>
          <w:rFonts w:hint="eastAsia"/>
        </w:rPr>
        <w:t>仿真</w:t>
      </w:r>
      <w:r>
        <w:t>参数设置如下：</w:t>
      </w:r>
      <w:r>
        <w:t>CW</w:t>
      </w:r>
      <w:r>
        <w:rPr>
          <w:vertAlign w:val="subscript"/>
        </w:rPr>
        <w:t>1</w:t>
      </w:r>
      <w:r>
        <w:rPr>
          <w:rFonts w:hint="eastAsia"/>
        </w:rPr>
        <w:t>、</w:t>
      </w:r>
      <w:r>
        <w:t>的中心频率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>为</w:t>
      </w:r>
      <w:r>
        <w:t>193.1THz</w:t>
      </w:r>
      <w:r>
        <w:t>，</w:t>
      </w:r>
      <w:r>
        <w:t>CW</w:t>
      </w:r>
      <w:r>
        <w:rPr>
          <w:vertAlign w:val="subscript"/>
        </w:rPr>
        <w:t>2</w:t>
      </w:r>
      <w:r>
        <w:t>的中心频率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>为</w:t>
      </w:r>
      <w:r>
        <w:t>193.11THz</w:t>
      </w:r>
      <w:r>
        <w:t>，</w:t>
      </w:r>
      <w:r>
        <w:rPr>
          <w:rFonts w:hint="eastAsia"/>
        </w:rPr>
        <w:t>2</w:t>
      </w:r>
      <w:r>
        <w:t>个光源发射功率、线宽和初始相位相同，分别为</w:t>
      </w:r>
      <w:r>
        <w:t>0 dBm</w:t>
      </w:r>
      <w:r>
        <w:t>、</w:t>
      </w:r>
      <w:r>
        <w:t>10 MHz</w:t>
      </w:r>
      <w:r>
        <w:t>和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°</m:t>
            </m:r>
          </m:sup>
        </m:sSup>
      </m:oMath>
      <w:r>
        <w:t>。射频驱动信号频率为</w:t>
      </w:r>
      <w:r>
        <w:t>20 GHz</w:t>
      </w:r>
      <w:r>
        <w:t>（</w:t>
      </w:r>
      <w:r>
        <w:t>2</w:t>
      </w:r>
      <w:r>
        <w:t>倍于</w:t>
      </w:r>
      <w:r>
        <w:t>CW</w:t>
      </w:r>
      <w:r>
        <w:rPr>
          <w:vertAlign w:val="subscript"/>
        </w:rPr>
        <w:t>1</w:t>
      </w:r>
      <w:r>
        <w:t>和</w:t>
      </w:r>
      <w:r>
        <w:lastRenderedPageBreak/>
        <w:t>CW</w:t>
      </w:r>
      <w:r>
        <w:rPr>
          <w:vertAlign w:val="subscript"/>
        </w:rPr>
        <w:t>2</w:t>
      </w:r>
      <w:r>
        <w:t>输出光信号中心频率之差：</w:t>
      </w:r>
      <m:oMath>
        <m:r>
          <w:rPr>
            <w:rFonts w:ascii="Cambria Math" w:hAnsi="Cambria Math"/>
          </w:rPr>
          <m:t>2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d>
        <m:r>
          <m:rPr>
            <m:sty m:val="p"/>
          </m:rPr>
          <w:rPr>
            <w:rFonts w:ascii="Cambria Math" w:hAnsi="Cambria Math" w:hint="eastAsia"/>
          </w:rPr>
          <m:t>）</m:t>
        </m:r>
      </m:oMath>
      <w:r>
        <w:t>，幅度为</w:t>
      </w:r>
      <w:r>
        <w:t>1.67 V</w:t>
      </w:r>
      <w:r>
        <w:t>，以保证</w:t>
      </w:r>
      <w:r>
        <w:t>O-PM</w:t>
      </w:r>
      <w:r>
        <w:t>调制指数为</w:t>
      </w:r>
      <w:r>
        <w:t>2.62</w:t>
      </w:r>
      <w:r>
        <w:t>。系统速率设定为</w:t>
      </w:r>
      <w:r>
        <w:t>5 Gb/s</w:t>
      </w:r>
      <w:r>
        <w:t>，共传输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10</m:t>
            </m:r>
          </m:sup>
        </m:sSup>
        <m:r>
          <w:rPr>
            <w:rFonts w:ascii="Cambria Math" w:hAnsi="Cambria Math"/>
          </w:rPr>
          <m:t>-</m:t>
        </m:r>
        <m:r>
          <w:rPr>
            <w:rFonts w:ascii="Cambria Math" w:hAnsi="Cambria Math"/>
          </w:rPr>
          <m:t>1</m:t>
        </m:r>
      </m:oMath>
      <w:r>
        <w:t>个</w:t>
      </w:r>
      <w:r>
        <w:t>bit</w:t>
      </w:r>
      <w:r>
        <w:t>，每</w:t>
      </w:r>
      <w:r>
        <w:t>bit</w:t>
      </w:r>
      <w:r>
        <w:t>抽样</w:t>
      </w:r>
      <w:r>
        <w:t>64</w:t>
      </w:r>
      <w:r>
        <w:t>点。为减少分析变量数，仿真时设定线偏振器偏振角度</w:t>
      </w:r>
      <m:oMath>
        <m:r>
          <w:rPr>
            <w:rFonts w:ascii="Cambria Math" w:hAnsi="Cambria Math"/>
          </w:rPr>
          <m:t>α</m:t>
        </m:r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45</m:t>
            </m:r>
          </m:e>
          <m:sup>
            <m:r>
              <w:rPr>
                <w:rFonts w:ascii="Cambria Math" w:hAnsi="Cambria Math"/>
              </w:rPr>
              <m:t>°</m:t>
            </m:r>
          </m:sup>
        </m:sSup>
      </m:oMath>
      <w:r>
        <w:t>。</w:t>
      </w:r>
    </w:p>
    <w:p w14:paraId="1A81C64C" w14:textId="77777777" w:rsidR="00BF3ED6" w:rsidRDefault="009D4DE8">
      <w:pPr>
        <w:ind w:firstLine="420"/>
      </w:pPr>
      <w:r>
        <w:t>图</w:t>
      </w:r>
      <w:r>
        <w:t>1</w:t>
      </w:r>
      <w:r>
        <w:t>中</w:t>
      </w:r>
      <w:r>
        <w:t>A</w:t>
      </w:r>
      <w:r>
        <w:t>、</w:t>
      </w:r>
      <w:r>
        <w:t>B</w:t>
      </w:r>
      <w:r>
        <w:t>和</w:t>
      </w:r>
      <w:r>
        <w:t>C</w:t>
      </w:r>
      <w:r>
        <w:t>点处对应的光频谱</w:t>
      </w:r>
      <w:r>
        <w:rPr>
          <w:rFonts w:hint="eastAsia"/>
        </w:rPr>
        <w:t>如</w:t>
      </w:r>
      <w:r>
        <w:t>图</w:t>
      </w:r>
      <w:r>
        <w:rPr>
          <w:rFonts w:hint="eastAsia"/>
        </w:rPr>
        <w:t>4</w:t>
      </w:r>
      <w:r>
        <w:rPr>
          <w:rFonts w:hint="eastAsia"/>
        </w:rPr>
        <w:t>所示</w:t>
      </w:r>
      <w:r>
        <w:t>。</w:t>
      </w:r>
      <w:r>
        <w:rPr>
          <w:rFonts w:hint="eastAsia"/>
        </w:rPr>
        <w:t>从</w:t>
      </w:r>
      <w:r>
        <w:t>图</w:t>
      </w:r>
      <w:r>
        <w:t>4</w:t>
      </w:r>
      <w:r>
        <w:t>（</w:t>
      </w:r>
      <w:r>
        <w:t>a</w:t>
      </w:r>
      <w:r>
        <w:t>）可以看出</w:t>
      </w:r>
      <w:r>
        <w:rPr>
          <w:rFonts w:hint="eastAsia"/>
        </w:rPr>
        <w:t>，</w:t>
      </w:r>
      <w:r>
        <w:t>在</w:t>
      </w:r>
      <w:r>
        <w:t>193.1 THz</w:t>
      </w:r>
      <w:r>
        <w:t>和</w:t>
      </w:r>
      <w:r>
        <w:t>193.11 THz</w:t>
      </w:r>
      <w:r>
        <w:t>处各存在一条谱线，其中虚线为</w:t>
      </w:r>
      <w:r>
        <w:t>CW</w:t>
      </w:r>
      <w:r>
        <w:rPr>
          <w:vertAlign w:val="subscript"/>
        </w:rPr>
        <w:t>1</w:t>
      </w:r>
      <w:r>
        <w:t>输出的中心频率为</w:t>
      </w:r>
      <w:r>
        <w:t>193.1 THz</w:t>
      </w:r>
      <w:r>
        <w:t>的谱线，用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0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>表示，而实线则为</w:t>
      </w:r>
      <w:r>
        <w:t>CW</w:t>
      </w:r>
      <w:r>
        <w:rPr>
          <w:vertAlign w:val="subscript"/>
        </w:rPr>
        <w:t>2</w:t>
      </w:r>
      <w:r>
        <w:t>输出的中心频率为</w:t>
      </w:r>
      <w:r>
        <w:t>193.11 THz</w:t>
      </w:r>
      <w:r>
        <w:t>的谱线，用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0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>表示，</w:t>
      </w:r>
      <w:r>
        <w:rPr>
          <w:rFonts w:hint="eastAsia"/>
        </w:rPr>
        <w:t>2</w:t>
      </w:r>
      <w:r>
        <w:t>条谱线峰值功率均为</w:t>
      </w:r>
      <w:r>
        <w:t>-5 dBm</w:t>
      </w:r>
      <w:r>
        <w:t>。图</w:t>
      </w:r>
      <w:r>
        <w:t>4</w:t>
      </w:r>
      <w:r>
        <w:t>（</w:t>
      </w:r>
      <w:r>
        <w:t>b</w:t>
      </w:r>
      <w:r>
        <w:t>）中，虚线为</w:t>
      </w:r>
      <w:r>
        <w:t>193.1 THz</w:t>
      </w:r>
      <w:r>
        <w:t>的激光</w:t>
      </w:r>
      <w:r>
        <w:rPr>
          <w:rFonts w:hint="eastAsia"/>
        </w:rPr>
        <w:t>经</w:t>
      </w:r>
      <w:r>
        <w:t>O-PM</w:t>
      </w:r>
      <w:r>
        <w:t>后变为已调光信号，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0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>为</w:t>
      </w:r>
      <w:r>
        <w:t>193.1 THz</w:t>
      </w:r>
      <w:r>
        <w:t>处的主载波，峰值功率为</w:t>
      </w:r>
      <w:r>
        <w:t>-15.39 dBm</w:t>
      </w:r>
      <w:r>
        <w:t>，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 w:hint="eastAsia"/>
              </w:rPr>
              <m:t>±</m:t>
            </m:r>
            <m:r>
              <w:rPr>
                <w:rFonts w:ascii="Cambria Math" w:hAnsi="Cambria Math"/>
              </w:rPr>
              <m:t>1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>分别代表</w:t>
      </w:r>
      <m:oMath>
        <m:r>
          <w:rPr>
            <w:rFonts w:ascii="Cambria Math" w:hAnsi="Cambria Math" w:hint="eastAsia"/>
          </w:rPr>
          <m:t>±</m:t>
        </m:r>
        <m:r>
          <w:rPr>
            <w:rFonts w:ascii="Cambria Math" w:hAnsi="Cambria Math"/>
          </w:rPr>
          <m:t>1</m:t>
        </m:r>
      </m:oMath>
      <w:r>
        <w:t>阶边带，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 w:hint="eastAsia"/>
              </w:rPr>
              <m:t>±</m:t>
            </m:r>
            <m:r>
              <w:rPr>
                <w:rFonts w:ascii="Cambria Math" w:hAnsi="Cambria Math"/>
              </w:rPr>
              <m:t>2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>分别代表</w:t>
      </w:r>
      <m:oMath>
        <m:r>
          <w:rPr>
            <w:rFonts w:ascii="Cambria Math" w:hAnsi="Cambria Math" w:hint="eastAsia"/>
          </w:rPr>
          <m:t>±</m:t>
        </m:r>
        <m:r>
          <w:rPr>
            <w:rFonts w:ascii="Cambria Math" w:hAnsi="Cambria Math"/>
          </w:rPr>
          <m:t>2</m:t>
        </m:r>
      </m:oMath>
      <w:r>
        <w:t>阶边带</w:t>
      </w:r>
      <w:r>
        <w:rPr>
          <w:rFonts w:hint="eastAsia"/>
        </w:rPr>
        <w:t>，</w:t>
      </w:r>
      <m:oMath>
        <m:r>
          <w:rPr>
            <w:rFonts w:ascii="Cambria Math" w:hAnsi="Cambria Math" w:hint="eastAsia"/>
          </w:rPr>
          <m:t>±</m:t>
        </m:r>
        <m:r>
          <w:rPr>
            <w:rFonts w:ascii="Cambria Math" w:hAnsi="Cambria Math"/>
          </w:rPr>
          <m:t>1</m:t>
        </m:r>
      </m:oMath>
      <w:r>
        <w:t>阶和</w:t>
      </w:r>
      <m:oMath>
        <m:r>
          <w:rPr>
            <w:rFonts w:ascii="Cambria Math" w:hAnsi="Cambria Math" w:hint="eastAsia"/>
          </w:rPr>
          <m:t>±</m:t>
        </m:r>
        <m:r>
          <w:rPr>
            <w:rFonts w:ascii="Cambria Math" w:hAnsi="Cambria Math"/>
          </w:rPr>
          <m:t>2</m:t>
        </m:r>
      </m:oMath>
      <w:r>
        <w:t>阶边带峰值功率基本相等，为</w:t>
      </w:r>
      <w:r>
        <w:t>-13 dBm</w:t>
      </w:r>
      <w:r>
        <w:t>，各阶相邻边带间距为</w:t>
      </w:r>
      <w:r>
        <w:t>20 GHz</w:t>
      </w:r>
      <w:r>
        <w:t>（射频驱动信号频率）。同理，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0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>为</w:t>
      </w:r>
      <w:r>
        <w:t>193.11 THz</w:t>
      </w:r>
      <w:r>
        <w:t>处的主载波（</w:t>
      </w:r>
      <w:r>
        <w:t>CW</w:t>
      </w:r>
      <w:r>
        <w:rPr>
          <w:vertAlign w:val="subscript"/>
        </w:rPr>
        <w:t>2</w:t>
      </w:r>
      <w:r>
        <w:t>光源发射的激光信号频率），与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 w:hint="eastAsia"/>
              </w:rPr>
              <m:t>±</m:t>
            </m:r>
            <m:r>
              <w:rPr>
                <w:rFonts w:ascii="Cambria Math" w:hAnsi="Cambria Math"/>
              </w:rPr>
              <m:t>1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>和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 w:hint="eastAsia"/>
              </w:rPr>
              <m:t>±</m:t>
            </m:r>
            <m:r>
              <w:rPr>
                <w:rFonts w:ascii="Cambria Math" w:hAnsi="Cambria Math"/>
              </w:rPr>
              <m:t>2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>构成了一套频谱，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 w:hint="eastAsia"/>
              </w:rPr>
              <m:t>±</m:t>
            </m:r>
            <m:r>
              <w:rPr>
                <w:rFonts w:ascii="Cambria Math" w:hAnsi="Cambria Math"/>
              </w:rPr>
              <m:t>1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>分别代表</w:t>
      </w:r>
      <m:oMath>
        <m:r>
          <w:rPr>
            <w:rFonts w:ascii="Cambria Math" w:hAnsi="Cambria Math" w:hint="eastAsia"/>
          </w:rPr>
          <m:t>±</m:t>
        </m:r>
        <m:r>
          <w:rPr>
            <w:rFonts w:ascii="Cambria Math" w:hAnsi="Cambria Math"/>
          </w:rPr>
          <m:t>1</m:t>
        </m:r>
      </m:oMath>
      <w:r>
        <w:t>阶边带，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 w:hint="eastAsia"/>
              </w:rPr>
              <m:t>±</m:t>
            </m:r>
            <m:r>
              <w:rPr>
                <w:rFonts w:ascii="Cambria Math" w:hAnsi="Cambria Math"/>
              </w:rPr>
              <m:t>2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>分别代表</w:t>
      </w:r>
      <m:oMath>
        <m:r>
          <w:rPr>
            <w:rFonts w:ascii="Cambria Math" w:hAnsi="Cambria Math" w:hint="eastAsia"/>
          </w:rPr>
          <m:t>±</m:t>
        </m:r>
        <m:r>
          <w:rPr>
            <w:rFonts w:ascii="Cambria Math" w:hAnsi="Cambria Math"/>
          </w:rPr>
          <m:t>2</m:t>
        </m:r>
      </m:oMath>
      <w:r>
        <w:t>阶边带，相邻各阶边带间距也是</w:t>
      </w:r>
      <w:r>
        <w:t>20 GHz</w:t>
      </w:r>
      <w:r>
        <w:t>。</w:t>
      </w:r>
      <w:r>
        <w:rPr>
          <w:rFonts w:hint="eastAsia"/>
        </w:rPr>
        <w:t>在</w:t>
      </w:r>
      <w:r>
        <w:t>193.1 THz</w:t>
      </w:r>
      <w:r>
        <w:t>和</w:t>
      </w:r>
      <w:r>
        <w:t>193.11 THz</w:t>
      </w:r>
      <w:r>
        <w:t>处（</w:t>
      </w:r>
      <w:r>
        <w:t>0</w:t>
      </w:r>
      <w:r>
        <w:rPr>
          <w:vertAlign w:val="subscript"/>
        </w:rPr>
        <w:t>1</w:t>
      </w:r>
      <w:r>
        <w:t>和</w:t>
      </w:r>
      <w:r>
        <w:t>0</w:t>
      </w:r>
      <w:r>
        <w:rPr>
          <w:vertAlign w:val="subscript"/>
        </w:rPr>
        <w:t>2</w:t>
      </w:r>
      <w:r>
        <w:t>）峰值功率</w:t>
      </w:r>
      <w:r>
        <w:t>小于</w:t>
      </w:r>
      <m:oMath>
        <m:r>
          <w:rPr>
            <w:rFonts w:ascii="Cambria Math" w:hAnsi="Cambria Math" w:hint="eastAsia"/>
          </w:rPr>
          <m:t>±</m:t>
        </m:r>
        <m:r>
          <w:rPr>
            <w:rFonts w:ascii="Cambria Math" w:hAnsi="Cambria Math"/>
          </w:rPr>
          <m:t>1</m:t>
        </m:r>
      </m:oMath>
      <w:r>
        <w:t>和</w:t>
      </w:r>
      <m:oMath>
        <m:r>
          <w:rPr>
            <w:rFonts w:ascii="Cambria Math" w:hAnsi="Cambria Math" w:hint="eastAsia"/>
          </w:rPr>
          <m:t>±</m:t>
        </m:r>
        <m:r>
          <w:rPr>
            <w:rFonts w:ascii="Cambria Math" w:hAnsi="Cambria Math"/>
          </w:rPr>
          <m:t>2</m:t>
        </m:r>
      </m:oMath>
      <w:r>
        <w:t>阶边带，故大大降低了这</w:t>
      </w:r>
      <w:r>
        <w:t>10</w:t>
      </w:r>
      <w:r>
        <w:t>条谱线的平坦度，该结果也与图</w:t>
      </w:r>
      <w:r>
        <w:t>2</w:t>
      </w:r>
      <w:r>
        <w:t>结论相符。图</w:t>
      </w:r>
      <w:r>
        <w:t>4</w:t>
      </w:r>
      <w:r>
        <w:t>（</w:t>
      </w:r>
      <w:r>
        <w:t>c</w:t>
      </w:r>
      <w:r>
        <w:t>）是采用偏振技术优化后所得到的高平坦性</w:t>
      </w:r>
      <w:r>
        <w:t>OFC</w:t>
      </w:r>
      <w:r>
        <w:t>，</w:t>
      </w:r>
      <w:r>
        <w:rPr>
          <w:rFonts w:hint="eastAsia"/>
        </w:rPr>
        <w:t>在</w:t>
      </w:r>
      <w:r>
        <w:t>193.1 THz</w:t>
      </w:r>
      <w:r>
        <w:t>和</w:t>
      </w:r>
      <w:r>
        <w:t>193.11 THz</w:t>
      </w:r>
      <w:r>
        <w:t>处（</w:t>
      </w:r>
      <w:r>
        <w:t>0</w:t>
      </w:r>
      <w:r>
        <w:rPr>
          <w:vertAlign w:val="subscript"/>
        </w:rPr>
        <w:t>1</w:t>
      </w:r>
      <w:r>
        <w:t>和</w:t>
      </w:r>
      <w:r>
        <w:t>0</w:t>
      </w:r>
      <w:r>
        <w:rPr>
          <w:vertAlign w:val="subscript"/>
        </w:rPr>
        <w:t>2</w:t>
      </w:r>
      <w:r>
        <w:t>）峰值功率已与</w:t>
      </w:r>
      <m:oMath>
        <m:r>
          <w:rPr>
            <w:rFonts w:ascii="Cambria Math" w:hAnsi="Cambria Math" w:hint="eastAsia"/>
          </w:rPr>
          <m:t>±</m:t>
        </m:r>
        <m:r>
          <w:rPr>
            <w:rFonts w:ascii="Cambria Math" w:hAnsi="Cambria Math"/>
          </w:rPr>
          <m:t>1</m:t>
        </m:r>
      </m:oMath>
      <w:r>
        <w:t>和</w:t>
      </w:r>
      <m:oMath>
        <m:r>
          <w:rPr>
            <w:rFonts w:ascii="Cambria Math" w:hAnsi="Cambria Math" w:hint="eastAsia"/>
          </w:rPr>
          <m:t>±</m:t>
        </m:r>
        <m:r>
          <w:rPr>
            <w:rFonts w:ascii="Cambria Math" w:hAnsi="Cambria Math"/>
          </w:rPr>
          <m:t>2</m:t>
        </m:r>
      </m:oMath>
      <w:r>
        <w:t>阶边带功率相当，此时对应的平坦度为</w:t>
      </w:r>
      <w:r>
        <w:t>0.01 dB</w:t>
      </w:r>
      <w:r>
        <w:rPr>
          <w:rFonts w:hint="eastAsia"/>
        </w:rPr>
        <w:t>，</w:t>
      </w:r>
      <w:r>
        <w:t>而对应的边模抑制比为</w:t>
      </w:r>
      <w:r>
        <w:t>6.15 dB</w:t>
      </w:r>
      <w:r>
        <w:t>。</w:t>
      </w:r>
    </w:p>
    <w:p w14:paraId="7A4FA568" w14:textId="77777777" w:rsidR="00BF3ED6" w:rsidRDefault="009D4DE8">
      <w:pPr>
        <w:jc w:val="center"/>
      </w:pPr>
      <w:r>
        <w:object w:dxaOrig="5160" w:dyaOrig="4120" w14:anchorId="7E6A866B">
          <v:shape id="_x0000_i1111" type="#_x0000_t75" style="width:258pt;height:206pt" o:ole="">
            <v:imagedata r:id="rId10" o:title=""/>
          </v:shape>
          <o:OLEObject Type="Embed" ProgID="Visio.Drawing.11" ShapeID="_x0000_i1111" DrawAspect="Content" ObjectID="_1779889758" r:id="rId11"/>
        </w:object>
      </w:r>
    </w:p>
    <w:p w14:paraId="24D681D3" w14:textId="77777777" w:rsidR="00BF3ED6" w:rsidRDefault="009D4DE8">
      <w:pPr>
        <w:jc w:val="center"/>
      </w:pPr>
      <w:r>
        <w:t>（</w:t>
      </w:r>
      <w:r>
        <w:t>a</w:t>
      </w:r>
      <w:r>
        <w:t>）</w:t>
      </w:r>
      <w:r>
        <w:t>A</w:t>
      </w:r>
      <w:r>
        <w:t>点处的光频谱</w:t>
      </w:r>
    </w:p>
    <w:p w14:paraId="543F509F" w14:textId="77777777" w:rsidR="00BF3ED6" w:rsidRDefault="009D4DE8">
      <w:pPr>
        <w:jc w:val="center"/>
      </w:pPr>
      <w:r>
        <w:object w:dxaOrig="5590" w:dyaOrig="4500" w14:anchorId="167685AF">
          <v:shape id="_x0000_i1112" type="#_x0000_t75" style="width:279.5pt;height:225pt" o:ole="">
            <v:imagedata r:id="rId12" o:title=""/>
          </v:shape>
          <o:OLEObject Type="Embed" ProgID="Visio.Drawing.11" ShapeID="_x0000_i1112" DrawAspect="Content" ObjectID="_1779889759" r:id="rId13"/>
        </w:object>
      </w:r>
    </w:p>
    <w:p w14:paraId="1E1EC4B5" w14:textId="77777777" w:rsidR="00BF3ED6" w:rsidRDefault="009D4DE8">
      <w:pPr>
        <w:jc w:val="center"/>
      </w:pPr>
      <w:r>
        <w:t>（</w:t>
      </w:r>
      <w:r>
        <w:t>b</w:t>
      </w:r>
      <w:r>
        <w:t>）</w:t>
      </w:r>
      <w:r>
        <w:t>B</w:t>
      </w:r>
      <w:r>
        <w:t>点处的光频谱</w:t>
      </w:r>
    </w:p>
    <w:p w14:paraId="1D6D1146" w14:textId="77777777" w:rsidR="00BF3ED6" w:rsidRDefault="009D4DE8">
      <w:pPr>
        <w:jc w:val="center"/>
      </w:pPr>
      <w:r>
        <w:object w:dxaOrig="5620" w:dyaOrig="4490" w14:anchorId="658269FA">
          <v:shape id="_x0000_i1113" type="#_x0000_t75" style="width:281pt;height:224.5pt" o:ole="">
            <v:imagedata r:id="rId14" o:title=""/>
          </v:shape>
          <o:OLEObject Type="Embed" ProgID="Visio.Drawing.11" ShapeID="_x0000_i1113" DrawAspect="Content" ObjectID="_1779889760" r:id="rId15"/>
        </w:object>
      </w:r>
    </w:p>
    <w:p w14:paraId="4A72554F" w14:textId="77777777" w:rsidR="00BF3ED6" w:rsidRDefault="009D4DE8">
      <w:pPr>
        <w:jc w:val="center"/>
      </w:pPr>
      <w:r>
        <w:t>（</w:t>
      </w:r>
      <w:r>
        <w:t>c</w:t>
      </w:r>
      <w:r>
        <w:t>）</w:t>
      </w:r>
      <w:r>
        <w:t>C</w:t>
      </w:r>
      <w:r>
        <w:t>点处的光频谱</w:t>
      </w:r>
    </w:p>
    <w:p w14:paraId="1F3FA459" w14:textId="77777777" w:rsidR="00BF3ED6" w:rsidRDefault="009D4DE8">
      <w:pPr>
        <w:jc w:val="center"/>
      </w:pPr>
      <w:r>
        <w:t>图</w:t>
      </w:r>
      <w:r>
        <w:t xml:space="preserve">4  </w:t>
      </w:r>
      <w:r>
        <w:rPr>
          <w:rFonts w:hint="eastAsia"/>
        </w:rPr>
        <w:t>O</w:t>
      </w:r>
      <w:r>
        <w:t>FC</w:t>
      </w:r>
      <w:r>
        <w:t>产生系统中不同位置处的光频谱</w:t>
      </w:r>
    </w:p>
    <w:p w14:paraId="6790AC57" w14:textId="77777777" w:rsidR="00BF3ED6" w:rsidRDefault="00BF3ED6"/>
    <w:p w14:paraId="343086C8" w14:textId="77777777" w:rsidR="00BF3ED6" w:rsidRDefault="009D4DE8">
      <w:pPr>
        <w:rPr>
          <w:b/>
        </w:rPr>
      </w:pPr>
      <w:r>
        <w:rPr>
          <w:rFonts w:hint="eastAsia"/>
          <w:b/>
        </w:rPr>
        <w:t>2</w:t>
      </w:r>
      <w:r>
        <w:rPr>
          <w:b/>
        </w:rPr>
        <w:t xml:space="preserve">.1 </w:t>
      </w:r>
      <w:r>
        <w:rPr>
          <w:b/>
        </w:rPr>
        <w:t>偏振角度对</w:t>
      </w:r>
      <w:r>
        <w:rPr>
          <w:b/>
        </w:rPr>
        <w:t>OFC</w:t>
      </w:r>
      <w:r>
        <w:rPr>
          <w:b/>
        </w:rPr>
        <w:t>平坦度的影响</w:t>
      </w:r>
    </w:p>
    <w:p w14:paraId="44AF8631" w14:textId="77777777" w:rsidR="00BF3ED6" w:rsidRDefault="009D4DE8">
      <w:pPr>
        <w:ind w:firstLine="420"/>
      </w:pPr>
      <w:r>
        <w:t>偏</w:t>
      </w:r>
      <w:r>
        <w:t>振控制器偏振角度变化时对</w:t>
      </w:r>
      <w:r>
        <w:t>OFC</w:t>
      </w:r>
      <w:r>
        <w:t>平坦度的影响</w:t>
      </w:r>
      <w:r>
        <w:rPr>
          <w:rFonts w:hint="eastAsia"/>
        </w:rPr>
        <w:t>如</w:t>
      </w:r>
      <w:r>
        <w:t>图</w:t>
      </w:r>
      <w:r>
        <w:rPr>
          <w:rFonts w:hint="eastAsia"/>
        </w:rPr>
        <w:t>3</w:t>
      </w:r>
      <w:r>
        <w:rPr>
          <w:rFonts w:hint="eastAsia"/>
        </w:rPr>
        <w:t>所示</w:t>
      </w:r>
      <w:r>
        <w:t>。可以看出，当</w:t>
      </w:r>
      <m:oMath>
        <m:r>
          <w:rPr>
            <w:rFonts w:ascii="Cambria Math" w:hAnsi="Cambria Math"/>
          </w:rPr>
          <m:t>φ</m:t>
        </m:r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29.8</m:t>
            </m:r>
          </m:e>
          <m:sup>
            <m:r>
              <w:rPr>
                <w:rFonts w:ascii="Cambria Math" w:hAnsi="Cambria Math"/>
              </w:rPr>
              <m:t>°</m:t>
            </m:r>
          </m:sup>
        </m:sSup>
      </m:oMath>
      <w:r>
        <w:t>时对应的平坦度最优，为</w:t>
      </w:r>
      <w:r>
        <w:t>0.01dB</w:t>
      </w:r>
      <w:r>
        <w:t>。当</w:t>
      </w:r>
      <m:oMath>
        <m:r>
          <w:rPr>
            <w:rFonts w:ascii="Cambria Math" w:hAnsi="Cambria Math"/>
          </w:rPr>
          <m:t>φ</m:t>
        </m:r>
      </m:oMath>
      <w:r>
        <w:t>从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29.8</m:t>
            </m:r>
          </m:e>
          <m:sup>
            <m:r>
              <w:rPr>
                <w:rFonts w:ascii="Cambria Math" w:hAnsi="Cambria Math"/>
              </w:rPr>
              <m:t>°</m:t>
            </m:r>
          </m:sup>
        </m:sSup>
      </m:oMath>
      <w:r>
        <w:t>减小到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19.9</m:t>
            </m:r>
          </m:e>
          <m:sup>
            <m:r>
              <w:rPr>
                <w:rFonts w:ascii="Cambria Math" w:hAnsi="Cambria Math"/>
              </w:rPr>
              <m:t>°</m:t>
            </m:r>
          </m:sup>
        </m:sSup>
      </m:oMath>
      <w:r>
        <w:t>时，平坦度从</w:t>
      </w:r>
      <w:r>
        <w:t>0.01 dB</w:t>
      </w:r>
      <w:r>
        <w:t>线性劣化到</w:t>
      </w:r>
      <w:r>
        <w:t>5.39 dB</w:t>
      </w:r>
      <w:r>
        <w:t>，而当</w:t>
      </w:r>
      <m:oMath>
        <m:r>
          <w:rPr>
            <w:rFonts w:ascii="Cambria Math" w:hAnsi="Cambria Math"/>
          </w:rPr>
          <m:t>φ</m:t>
        </m:r>
      </m:oMath>
      <w:r>
        <w:t>从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29.8</m:t>
            </m:r>
          </m:e>
          <m:sup>
            <m:r>
              <w:rPr>
                <w:rFonts w:ascii="Cambria Math" w:hAnsi="Cambria Math"/>
              </w:rPr>
              <m:t>°</m:t>
            </m:r>
          </m:sup>
        </m:sSup>
      </m:oMath>
      <w:r>
        <w:t>增大到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39.8</m:t>
            </m:r>
          </m:e>
          <m:sup>
            <m:r>
              <w:rPr>
                <w:rFonts w:ascii="Cambria Math" w:hAnsi="Cambria Math"/>
              </w:rPr>
              <m:t>°</m:t>
            </m:r>
          </m:sup>
        </m:sSup>
      </m:oMath>
      <w:r>
        <w:t>时，平坦度从</w:t>
      </w:r>
      <w:r>
        <w:t>0.01dB</w:t>
      </w:r>
      <w:r>
        <w:t>线性劣化到</w:t>
      </w:r>
      <w:r>
        <w:t>3.88 dB</w:t>
      </w:r>
      <w:r>
        <w:t>。故后续分析时设定偏振控制器偏振角度</w:t>
      </w:r>
      <m:oMath>
        <m:r>
          <w:rPr>
            <w:rFonts w:ascii="Cambria Math" w:hAnsi="Cambria Math"/>
          </w:rPr>
          <m:t>φ</m:t>
        </m:r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29.8</m:t>
            </m:r>
          </m:e>
          <m:sup>
            <m:r>
              <w:rPr>
                <w:rFonts w:ascii="Cambria Math" w:hAnsi="Cambria Math"/>
              </w:rPr>
              <m:t>°</m:t>
            </m:r>
          </m:sup>
        </m:sSup>
      </m:oMath>
      <w:r>
        <w:t>，线偏振</w:t>
      </w:r>
      <w:r>
        <w:t>器偏振角度</w:t>
      </w:r>
      <m:oMath>
        <m:r>
          <w:rPr>
            <w:rFonts w:ascii="Cambria Math" w:hAnsi="Cambria Math"/>
          </w:rPr>
          <m:t>α</m:t>
        </m:r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45</m:t>
            </m:r>
          </m:e>
          <m:sup>
            <m:r>
              <w:rPr>
                <w:rFonts w:ascii="Cambria Math" w:hAnsi="Cambria Math"/>
              </w:rPr>
              <m:t>°</m:t>
            </m:r>
          </m:sup>
        </m:sSup>
      </m:oMath>
      <w:r>
        <w:t>。</w:t>
      </w:r>
    </w:p>
    <w:p w14:paraId="6386017F" w14:textId="77777777" w:rsidR="00BF3ED6" w:rsidRDefault="009D4DE8">
      <w:pPr>
        <w:jc w:val="center"/>
      </w:pPr>
      <w:r>
        <w:object w:dxaOrig="5490" w:dyaOrig="4440" w14:anchorId="6A791445">
          <v:shape id="_x0000_i1114" type="#_x0000_t75" style="width:274.5pt;height:222pt" o:ole="">
            <v:imagedata r:id="rId16" o:title=""/>
          </v:shape>
          <o:OLEObject Type="Embed" ProgID="Visio.Drawing.11" ShapeID="_x0000_i1114" DrawAspect="Content" ObjectID="_1779889761" r:id="rId17"/>
        </w:object>
      </w:r>
    </w:p>
    <w:p w14:paraId="4ECFA016" w14:textId="77777777" w:rsidR="00BF3ED6" w:rsidRDefault="009D4DE8">
      <w:pPr>
        <w:jc w:val="center"/>
      </w:pPr>
      <w:r>
        <w:t>图</w:t>
      </w:r>
      <w:r>
        <w:t xml:space="preserve">3  </w:t>
      </w:r>
      <w:r>
        <w:t>偏振角度对</w:t>
      </w:r>
      <w:r>
        <w:t>OFC</w:t>
      </w:r>
      <w:r>
        <w:t>的影响</w:t>
      </w:r>
    </w:p>
    <w:p w14:paraId="0E3D592B" w14:textId="77777777" w:rsidR="00BF3ED6" w:rsidRDefault="009D4DE8">
      <w:pPr>
        <w:rPr>
          <w:b/>
        </w:rPr>
      </w:pPr>
      <w:r>
        <w:rPr>
          <w:b/>
        </w:rPr>
        <w:t>2</w:t>
      </w:r>
      <w:r>
        <w:rPr>
          <w:b/>
        </w:rPr>
        <w:t xml:space="preserve">.2 </w:t>
      </w:r>
      <w:r>
        <w:rPr>
          <w:b/>
        </w:rPr>
        <w:t>双光源线宽对</w:t>
      </w:r>
      <w:r>
        <w:rPr>
          <w:b/>
        </w:rPr>
        <w:t>OFC</w:t>
      </w:r>
      <w:r>
        <w:rPr>
          <w:b/>
        </w:rPr>
        <w:t>平坦度的影响</w:t>
      </w:r>
    </w:p>
    <w:p w14:paraId="4F5F6DFB" w14:textId="5F57B4ED" w:rsidR="003D58FA" w:rsidRDefault="009D4DE8" w:rsidP="00D017FE">
      <w:pPr>
        <w:pStyle w:val="a3"/>
        <w:ind w:firstLineChars="200" w:firstLine="420"/>
        <w:rPr>
          <w:highlight w:val="yellow"/>
        </w:rPr>
      </w:pPr>
      <w:r>
        <w:rPr>
          <w:rFonts w:hint="eastAsia"/>
        </w:rPr>
        <w:t>3</w:t>
      </w:r>
      <w:r>
        <w:t>种情况下双光源线宽对</w:t>
      </w:r>
      <w:r>
        <w:t>OFC</w:t>
      </w:r>
      <w:r>
        <w:t>平坦度的影响</w:t>
      </w:r>
      <w:r>
        <w:rPr>
          <w:rFonts w:hint="eastAsia"/>
        </w:rPr>
        <w:t>如</w:t>
      </w:r>
      <w:r>
        <w:t>图</w:t>
      </w:r>
      <w:r>
        <w:rPr>
          <w:rFonts w:hint="eastAsia"/>
        </w:rPr>
        <w:t>5</w:t>
      </w:r>
      <w:r>
        <w:rPr>
          <w:rFonts w:hint="eastAsia"/>
        </w:rPr>
        <w:t>所示</w:t>
      </w:r>
      <w:r>
        <w:t>。</w:t>
      </w:r>
      <w:r w:rsidR="00D017FE">
        <w:t>可以看出，</w:t>
      </w:r>
      <w:r w:rsidR="00D017FE">
        <w:rPr>
          <w:rFonts w:hint="eastAsia"/>
        </w:rPr>
        <w:t>当</w:t>
      </w:r>
      <w:r>
        <w:t>CW</w:t>
      </w:r>
      <w:r>
        <w:rPr>
          <w:vertAlign w:val="subscript"/>
        </w:rPr>
        <w:t>1</w:t>
      </w:r>
      <w:r>
        <w:t>线宽保持</w:t>
      </w:r>
      <w:r>
        <w:t>10 MHz</w:t>
      </w:r>
      <w:r>
        <w:t>不变，</w:t>
      </w:r>
      <w:r>
        <w:t>CW</w:t>
      </w:r>
      <w:r>
        <w:rPr>
          <w:vertAlign w:val="subscript"/>
        </w:rPr>
        <w:t>2</w:t>
      </w:r>
      <w:r>
        <w:t>线宽变化（从</w:t>
      </w:r>
      <w:r>
        <w:t>0</w:t>
      </w:r>
      <w:r>
        <w:t>增大到</w:t>
      </w:r>
      <w:r>
        <w:t>30 MHz</w:t>
      </w:r>
      <w:r>
        <w:t>）</w:t>
      </w:r>
      <w:r w:rsidR="00D017FE">
        <w:rPr>
          <w:rFonts w:hint="eastAsia"/>
        </w:rPr>
        <w:t>，或</w:t>
      </w:r>
      <w:r>
        <w:t>CW1</w:t>
      </w:r>
      <w:r>
        <w:t>线宽变化（从</w:t>
      </w:r>
      <w:r>
        <w:t>0</w:t>
      </w:r>
      <w:r>
        <w:t>增大到</w:t>
      </w:r>
      <w:r>
        <w:t>30 MHz</w:t>
      </w:r>
      <w:r>
        <w:t>），</w:t>
      </w:r>
      <w:r>
        <w:t>CW</w:t>
      </w:r>
      <w:r>
        <w:rPr>
          <w:vertAlign w:val="subscript"/>
        </w:rPr>
        <w:t>2</w:t>
      </w:r>
      <w:r>
        <w:t>线宽保持</w:t>
      </w:r>
      <w:r>
        <w:t>10 MHz</w:t>
      </w:r>
      <w:r>
        <w:t>不变</w:t>
      </w:r>
      <w:r w:rsidR="00D017FE">
        <w:rPr>
          <w:rFonts w:hint="eastAsia"/>
        </w:rPr>
        <w:t>时</w:t>
      </w:r>
      <w:r w:rsidR="00D017FE">
        <w:t>，</w:t>
      </w:r>
      <w:r w:rsidR="00AE2CE8">
        <w:rPr>
          <w:rFonts w:ascii="Segoe UI" w:hAnsi="Segoe UI" w:cs="Segoe UI"/>
          <w:color w:val="1E1F24"/>
          <w:shd w:val="clear" w:color="auto" w:fill="FFFFFF"/>
        </w:rPr>
        <w:t>这</w:t>
      </w:r>
      <w:r w:rsidR="00AE2CE8">
        <w:rPr>
          <w:rFonts w:ascii="Segoe UI" w:hAnsi="Segoe UI" w:cs="Segoe UI" w:hint="eastAsia"/>
          <w:color w:val="1E1F24"/>
          <w:shd w:val="clear" w:color="auto" w:fill="FFFFFF"/>
        </w:rPr>
        <w:t>2</w:t>
      </w:r>
      <w:r w:rsidR="00AE2CE8">
        <w:rPr>
          <w:rFonts w:ascii="Segoe UI" w:hAnsi="Segoe UI" w:cs="Segoe UI"/>
          <w:color w:val="1E1F24"/>
          <w:shd w:val="clear" w:color="auto" w:fill="FFFFFF"/>
        </w:rPr>
        <w:t>种情况下平坦度的变化范围均达到了</w:t>
      </w:r>
      <w:r w:rsidR="00AE2CE8">
        <w:rPr>
          <w:rFonts w:ascii="Segoe UI" w:hAnsi="Segoe UI" w:cs="Segoe UI"/>
          <w:color w:val="1E1F24"/>
          <w:shd w:val="clear" w:color="auto" w:fill="FFFFFF"/>
        </w:rPr>
        <w:t>3.4</w:t>
      </w:r>
      <w:r w:rsidR="00AE2CE8">
        <w:rPr>
          <w:rFonts w:ascii="Segoe UI" w:hAnsi="Segoe UI" w:cs="Segoe UI"/>
          <w:color w:val="1E1F24"/>
          <w:shd w:val="clear" w:color="auto" w:fill="FFFFFF"/>
        </w:rPr>
        <w:t xml:space="preserve"> </w:t>
      </w:r>
      <w:r w:rsidR="00AE2CE8">
        <w:rPr>
          <w:rFonts w:ascii="Segoe UI" w:hAnsi="Segoe UI" w:cs="Segoe UI"/>
          <w:color w:val="1E1F24"/>
          <w:shd w:val="clear" w:color="auto" w:fill="FFFFFF"/>
        </w:rPr>
        <w:t>dB</w:t>
      </w:r>
      <w:r w:rsidR="00D017FE">
        <w:rPr>
          <w:rFonts w:hint="eastAsia"/>
        </w:rPr>
        <w:t>。当</w:t>
      </w:r>
      <w:r>
        <w:t>CW1</w:t>
      </w:r>
      <w:r>
        <w:t>和</w:t>
      </w:r>
      <w:r>
        <w:t>CW2</w:t>
      </w:r>
      <w:r>
        <w:t>线宽同步变化（</w:t>
      </w:r>
      <w:r>
        <w:t>从</w:t>
      </w:r>
      <w:r>
        <w:t>0</w:t>
      </w:r>
      <w:r>
        <w:t>增大到</w:t>
      </w:r>
      <w:r>
        <w:t>30 MHz</w:t>
      </w:r>
      <w:r>
        <w:t>）</w:t>
      </w:r>
      <w:r w:rsidR="00D017FE">
        <w:rPr>
          <w:rFonts w:hint="eastAsia"/>
        </w:rPr>
        <w:t>时，</w:t>
      </w:r>
      <w:r w:rsidR="00AE2CE8">
        <w:rPr>
          <w:rFonts w:hint="eastAsia"/>
        </w:rPr>
        <w:t>这</w:t>
      </w:r>
      <w:r w:rsidR="00AE2CE8">
        <w:t>种情况下的</w:t>
      </w:r>
      <w:r w:rsidR="00D017FE">
        <w:rPr>
          <w:rFonts w:hint="eastAsia"/>
        </w:rPr>
        <w:t>平坦度</w:t>
      </w:r>
      <w:r w:rsidR="003D58FA">
        <w:rPr>
          <w:rFonts w:hint="eastAsia"/>
          <w:highlight w:val="yellow"/>
        </w:rPr>
        <w:t>最大变化范围是</w:t>
      </w:r>
      <w:r w:rsidR="003D58FA">
        <w:rPr>
          <w:rFonts w:hint="eastAsia"/>
          <w:highlight w:val="yellow"/>
        </w:rPr>
        <w:t>0.68</w:t>
      </w:r>
      <w:r w:rsidR="00D017FE">
        <w:rPr>
          <w:highlight w:val="yellow"/>
        </w:rPr>
        <w:t xml:space="preserve"> </w:t>
      </w:r>
      <w:r w:rsidR="003D58FA">
        <w:rPr>
          <w:rFonts w:hint="eastAsia"/>
          <w:highlight w:val="yellow"/>
        </w:rPr>
        <w:t>dB</w:t>
      </w:r>
      <w:r w:rsidR="003D58FA">
        <w:rPr>
          <w:rFonts w:hint="eastAsia"/>
          <w:highlight w:val="yellow"/>
        </w:rPr>
        <w:t>。</w:t>
      </w:r>
      <w:r w:rsidR="00AE2CE8">
        <w:rPr>
          <w:rFonts w:ascii="Segoe UI" w:hAnsi="Segoe UI" w:cs="Segoe UI"/>
          <w:color w:val="1E1F24"/>
          <w:shd w:val="clear" w:color="auto" w:fill="FFFFFF"/>
        </w:rPr>
        <w:t>由此可见，单一光源线宽的变化对平坦度的影响更为显著。</w:t>
      </w:r>
    </w:p>
    <w:p w14:paraId="62926CAF" w14:textId="1809E9EA" w:rsidR="00BF3ED6" w:rsidRPr="003D58FA" w:rsidRDefault="00BF3ED6">
      <w:pPr>
        <w:ind w:firstLine="420"/>
      </w:pPr>
    </w:p>
    <w:p w14:paraId="5965D513" w14:textId="77777777" w:rsidR="00BF3ED6" w:rsidRDefault="009D4DE8">
      <w:pPr>
        <w:jc w:val="center"/>
        <w:rPr>
          <w:highlight w:val="yellow"/>
        </w:rPr>
      </w:pPr>
      <w:r>
        <w:rPr>
          <w:highlight w:val="yellow"/>
        </w:rPr>
        <w:object w:dxaOrig="5660" w:dyaOrig="4340" w14:anchorId="352BFF39">
          <v:shape id="_x0000_i1115" type="#_x0000_t75" alt="" style="width:283pt;height:217pt" o:ole="">
            <v:imagedata r:id="rId18" o:title=""/>
          </v:shape>
          <o:OLEObject Type="Embed" ProgID="Visio.Drawing.11" ShapeID="_x0000_i1115" DrawAspect="Content" ObjectID="_1779889762" r:id="rId19"/>
        </w:object>
      </w:r>
    </w:p>
    <w:p w14:paraId="1845D1CA" w14:textId="77777777" w:rsidR="00BF3ED6" w:rsidRDefault="009D4DE8">
      <w:pPr>
        <w:jc w:val="center"/>
        <w:rPr>
          <w:highlight w:val="yellow"/>
        </w:rPr>
      </w:pPr>
      <w:r>
        <w:rPr>
          <w:highlight w:val="yellow"/>
        </w:rPr>
        <w:t>图</w:t>
      </w:r>
      <w:r>
        <w:rPr>
          <w:highlight w:val="yellow"/>
        </w:rPr>
        <w:t xml:space="preserve">5  </w:t>
      </w:r>
      <w:r>
        <w:rPr>
          <w:highlight w:val="yellow"/>
        </w:rPr>
        <w:t>激光器线宽对</w:t>
      </w:r>
      <w:r>
        <w:rPr>
          <w:highlight w:val="yellow"/>
        </w:rPr>
        <w:t>OFC</w:t>
      </w:r>
      <w:r>
        <w:rPr>
          <w:highlight w:val="yellow"/>
        </w:rPr>
        <w:t>的影响</w:t>
      </w:r>
    </w:p>
    <w:p w14:paraId="498DDE11" w14:textId="77777777" w:rsidR="00BF3ED6" w:rsidRDefault="009D4DE8">
      <w:pPr>
        <w:rPr>
          <w:b/>
        </w:rPr>
      </w:pPr>
      <w:bookmarkStart w:id="3" w:name="_Hlk159158212"/>
      <w:r>
        <w:rPr>
          <w:b/>
        </w:rPr>
        <w:t xml:space="preserve">2.3 </w:t>
      </w:r>
      <w:r>
        <w:rPr>
          <w:b/>
        </w:rPr>
        <w:t>双光源初始相位变化对</w:t>
      </w:r>
      <w:r>
        <w:rPr>
          <w:b/>
        </w:rPr>
        <w:t>OFC</w:t>
      </w:r>
      <w:r>
        <w:rPr>
          <w:b/>
        </w:rPr>
        <w:t>的影响</w:t>
      </w:r>
    </w:p>
    <w:p w14:paraId="628D080B" w14:textId="6EA43BC8" w:rsidR="00BF3ED6" w:rsidRDefault="009D4DE8">
      <w:pPr>
        <w:ind w:firstLine="420"/>
      </w:pPr>
      <w:r>
        <w:t>在实际应用中激光器初始相位无法控制，故本系统中</w:t>
      </w:r>
      <w:r>
        <w:t>CW</w:t>
      </w:r>
      <w:r>
        <w:rPr>
          <w:vertAlign w:val="subscript"/>
        </w:rPr>
        <w:t>1</w:t>
      </w:r>
      <w:r>
        <w:t>和</w:t>
      </w:r>
      <w:r>
        <w:t>CW</w:t>
      </w:r>
      <w:r>
        <w:rPr>
          <w:vertAlign w:val="subscript"/>
        </w:rPr>
        <w:t>2</w:t>
      </w:r>
      <w:r>
        <w:t>初始相位是否会对光频梳产生影响是一个值</w:t>
      </w:r>
      <w:r>
        <w:rPr>
          <w:rFonts w:hint="eastAsia"/>
        </w:rPr>
        <w:t>得</w:t>
      </w:r>
      <w:r>
        <w:t>分析的问题。</w:t>
      </w:r>
      <w:bookmarkEnd w:id="3"/>
      <w:r>
        <w:t>激光器初始相位变化对</w:t>
      </w:r>
      <w:r>
        <w:t>OFC</w:t>
      </w:r>
      <w:r>
        <w:t>平坦度的影响</w:t>
      </w:r>
      <w:r>
        <w:rPr>
          <w:rFonts w:hint="eastAsia"/>
        </w:rPr>
        <w:t>如</w:t>
      </w:r>
      <w:r>
        <w:t>图</w:t>
      </w:r>
      <w:r>
        <w:rPr>
          <w:rFonts w:hint="eastAsia"/>
        </w:rPr>
        <w:t>6</w:t>
      </w:r>
      <w:r>
        <w:rPr>
          <w:rFonts w:hint="eastAsia"/>
        </w:rPr>
        <w:t>所示</w:t>
      </w:r>
      <w:r>
        <w:t>。与图</w:t>
      </w:r>
      <w:r>
        <w:t>5</w:t>
      </w:r>
      <w:r>
        <w:t>类似，分成</w:t>
      </w:r>
      <w:r>
        <w:rPr>
          <w:rFonts w:hint="eastAsia"/>
        </w:rPr>
        <w:t>3</w:t>
      </w:r>
      <w:r>
        <w:t>种</w:t>
      </w:r>
      <w:r>
        <w:t>情况进行了讨论。整体可以看出，无论哪种情况，当光源初始相位从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°</m:t>
            </m:r>
          </m:sup>
        </m:sSup>
      </m:oMath>
      <w:r>
        <w:t>增大到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180</m:t>
            </m:r>
          </m:e>
          <m:sup>
            <m:r>
              <w:rPr>
                <w:rFonts w:ascii="Cambria Math" w:hAnsi="Cambria Math"/>
              </w:rPr>
              <m:t>°</m:t>
            </m:r>
          </m:sup>
        </m:sSup>
      </m:oMath>
      <w:r>
        <w:t>时，最大波动仅为</w:t>
      </w:r>
      <w:r>
        <w:t>0.001 dB</w:t>
      </w:r>
      <w:r>
        <w:t>，平坦度几乎没有变化，这表明即使双光源不是同步光源，也不会对平坦度造成过大影响，故减少了对双光源同步的需求，有效降低了系</w:t>
      </w:r>
      <w:r>
        <w:lastRenderedPageBreak/>
        <w:t>统实现难度。</w:t>
      </w:r>
    </w:p>
    <w:p w14:paraId="0ACA3D70" w14:textId="77777777" w:rsidR="00BF3ED6" w:rsidRDefault="009D4DE8">
      <w:pPr>
        <w:jc w:val="center"/>
      </w:pPr>
      <w:r>
        <w:object w:dxaOrig="5360" w:dyaOrig="4120" w14:anchorId="1A47AF81">
          <v:shape id="_x0000_i1116" type="#_x0000_t75" style="width:268pt;height:206pt" o:ole="">
            <v:imagedata r:id="rId20" o:title=""/>
          </v:shape>
          <o:OLEObject Type="Embed" ProgID="Visio.Drawing.11" ShapeID="_x0000_i1116" DrawAspect="Content" ObjectID="_1779889763" r:id="rId21"/>
        </w:object>
      </w:r>
    </w:p>
    <w:p w14:paraId="5AFFD562" w14:textId="77777777" w:rsidR="00BF3ED6" w:rsidRDefault="009D4DE8">
      <w:pPr>
        <w:ind w:firstLineChars="150" w:firstLine="315"/>
        <w:jc w:val="center"/>
      </w:pPr>
      <w:r>
        <w:t>图</w:t>
      </w:r>
      <w:r>
        <w:t xml:space="preserve">6 </w:t>
      </w:r>
      <w:r>
        <w:t>双光源初始相位变化对</w:t>
      </w:r>
      <w:r>
        <w:t>OFC</w:t>
      </w:r>
      <w:r>
        <w:t>的影响</w:t>
      </w:r>
    </w:p>
    <w:p w14:paraId="23A9EC77" w14:textId="77777777" w:rsidR="00BF3ED6" w:rsidRDefault="009D4DE8">
      <w:pPr>
        <w:rPr>
          <w:b/>
        </w:rPr>
      </w:pPr>
      <w:r>
        <w:rPr>
          <w:b/>
        </w:rPr>
        <w:t>2</w:t>
      </w:r>
      <w:r>
        <w:rPr>
          <w:b/>
        </w:rPr>
        <w:t xml:space="preserve">.4 </w:t>
      </w:r>
      <w:r>
        <w:rPr>
          <w:rFonts w:hint="eastAsia"/>
          <w:b/>
        </w:rPr>
        <w:t>梳</w:t>
      </w:r>
      <w:r>
        <w:rPr>
          <w:b/>
        </w:rPr>
        <w:t>线间距变化对</w:t>
      </w:r>
      <w:r>
        <w:rPr>
          <w:b/>
        </w:rPr>
        <w:t>OFC</w:t>
      </w:r>
      <w:r>
        <w:rPr>
          <w:b/>
        </w:rPr>
        <w:t>的影响</w:t>
      </w:r>
    </w:p>
    <w:p w14:paraId="48E15F3B" w14:textId="77777777" w:rsidR="00BF3ED6" w:rsidRDefault="009D4DE8">
      <w:pPr>
        <w:ind w:firstLine="420"/>
      </w:pPr>
      <w:r>
        <w:t>不</w:t>
      </w:r>
      <w:r>
        <w:t>同梳线间距</w:t>
      </w:r>
      <w:r>
        <w:rPr>
          <w:rFonts w:hint="eastAsia"/>
        </w:rPr>
        <w:t>以</w:t>
      </w:r>
      <w:r>
        <w:t>OFC</w:t>
      </w:r>
      <w:r>
        <w:rPr>
          <w:rFonts w:hint="eastAsia"/>
        </w:rPr>
        <w:t>的</w:t>
      </w:r>
      <w:r>
        <w:t>影响如图</w:t>
      </w:r>
      <w:r>
        <w:rPr>
          <w:rFonts w:hint="eastAsia"/>
        </w:rPr>
        <w:t>7</w:t>
      </w:r>
      <w:r>
        <w:rPr>
          <w:rFonts w:hint="eastAsia"/>
        </w:rPr>
        <w:t>所示</w:t>
      </w:r>
      <w:r>
        <w:t>。由前述可知，梳线间距为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  <m:r>
          <w:rPr>
            <w:rFonts w:ascii="Cambria Math" w:hAnsi="Cambria Math"/>
          </w:rPr>
          <m:t>∕2</m:t>
        </m:r>
      </m:oMath>
      <w:r>
        <w:t>，即梳线间距为射频驱动信号的二分之一，故通过调</w:t>
      </w:r>
      <w:r>
        <w:t>整射频驱动信号频率和双光源中心频率，使之满足：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  <m:r>
          <w:rPr>
            <w:rFonts w:ascii="Cambria Math" w:hAnsi="Cambria Math"/>
          </w:rPr>
          <m:t>∕2</m:t>
        </m:r>
      </m:oMath>
      <w:r>
        <w:t>，即可调整</w:t>
      </w:r>
      <w:r>
        <w:t>OFC</w:t>
      </w:r>
      <w:r>
        <w:t>梳线间距。可以看出，</w:t>
      </w:r>
      <w:r>
        <w:rPr>
          <w:rFonts w:hint="eastAsia"/>
        </w:rPr>
        <w:t>当</w:t>
      </w:r>
      <w:r>
        <w:t>梳线间距分别为</w:t>
      </w:r>
      <w:r>
        <w:t>5</w:t>
      </w:r>
      <w:r>
        <w:t>、</w:t>
      </w:r>
      <w:r>
        <w:t>10</w:t>
      </w:r>
      <w:r>
        <w:t>、</w:t>
      </w:r>
      <w:r>
        <w:t>15</w:t>
      </w:r>
      <w:r>
        <w:t>、</w:t>
      </w:r>
      <w:r>
        <w:t>20</w:t>
      </w:r>
      <w:r>
        <w:rPr>
          <w:rFonts w:hint="eastAsia"/>
        </w:rPr>
        <w:t>、</w:t>
      </w:r>
      <w:r>
        <w:t>40 GHz</w:t>
      </w:r>
      <w:r>
        <w:rPr>
          <w:rFonts w:hint="eastAsia"/>
        </w:rPr>
        <w:t>时，</w:t>
      </w:r>
      <w:r>
        <w:t>梳线间距变化不会对</w:t>
      </w:r>
      <w:r>
        <w:t>OFC</w:t>
      </w:r>
      <w:r>
        <w:t>平坦度产生影响，</w:t>
      </w:r>
      <w:r>
        <w:rPr>
          <w:rFonts w:hint="eastAsia"/>
        </w:rPr>
        <w:t>这</w:t>
      </w:r>
      <w:r>
        <w:t>表明该方案</w:t>
      </w:r>
      <w:r>
        <w:t>OFC</w:t>
      </w:r>
      <w:r>
        <w:t>梳线间距调整灵活且稳定性高。但</w:t>
      </w:r>
      <w:r>
        <w:t>10</w:t>
      </w:r>
      <w:r>
        <w:t>条有效梳线（图</w:t>
      </w:r>
      <w:r>
        <w:t>7</w:t>
      </w:r>
      <w:r>
        <w:t>中方框区域内的梳线）之外的梳线数量较多，导致</w:t>
      </w:r>
      <w:r>
        <w:t>OFC</w:t>
      </w:r>
      <w:r>
        <w:t>功率效率（有效梳线功率与所有梳线功率之比）降低</w:t>
      </w:r>
      <w:r>
        <w:t>，这也是本方案后续需要进一步优化的地方。</w:t>
      </w:r>
    </w:p>
    <w:p w14:paraId="3A5B7EBF" w14:textId="77777777" w:rsidR="00BF3ED6" w:rsidRDefault="009D4DE8">
      <w:pPr>
        <w:jc w:val="center"/>
      </w:pPr>
      <w:r>
        <w:object w:dxaOrig="4190" w:dyaOrig="5840" w14:anchorId="0F52BED6">
          <v:shape id="_x0000_i1117" type="#_x0000_t75" style="width:209.5pt;height:292pt" o:ole="">
            <v:imagedata r:id="rId22" o:title=""/>
          </v:shape>
          <o:OLEObject Type="Embed" ProgID="Visio.Drawing.11" ShapeID="_x0000_i1117" DrawAspect="Content" ObjectID="_1779889764" r:id="rId23"/>
        </w:object>
      </w:r>
    </w:p>
    <w:p w14:paraId="7E3607A3" w14:textId="77777777" w:rsidR="00BF3ED6" w:rsidRDefault="009D4DE8">
      <w:pPr>
        <w:jc w:val="center"/>
      </w:pPr>
      <w:r>
        <w:t>图</w:t>
      </w:r>
      <w:r>
        <w:t xml:space="preserve">7 </w:t>
      </w:r>
      <w:r>
        <w:t>频率间距变化对</w:t>
      </w:r>
      <w:r>
        <w:t>OFC</w:t>
      </w:r>
      <w:r>
        <w:t>的影响</w:t>
      </w:r>
    </w:p>
    <w:p w14:paraId="79CFE3BC" w14:textId="77777777" w:rsidR="00BF3ED6" w:rsidRDefault="00BF3ED6"/>
    <w:p w14:paraId="37609650" w14:textId="77777777" w:rsidR="00BF3ED6" w:rsidRDefault="00BF3ED6"/>
    <w:p w14:paraId="0F734E03" w14:textId="77777777" w:rsidR="00BF3ED6" w:rsidRDefault="009D4DE8">
      <w:pPr>
        <w:rPr>
          <w:b/>
        </w:rPr>
      </w:pPr>
      <w:r>
        <w:rPr>
          <w:b/>
        </w:rPr>
        <w:t>3</w:t>
      </w:r>
      <w:r>
        <w:rPr>
          <w:b/>
        </w:rPr>
        <w:t>结束语</w:t>
      </w:r>
    </w:p>
    <w:p w14:paraId="55847F7D" w14:textId="77777777" w:rsidR="00BF3ED6" w:rsidRDefault="009D4DE8">
      <w:pPr>
        <w:ind w:firstLine="420"/>
      </w:pPr>
      <w:r>
        <w:rPr>
          <w:rFonts w:hint="eastAsia"/>
        </w:rPr>
        <w:t>本</w:t>
      </w:r>
      <w:r>
        <w:rPr>
          <w:rFonts w:hint="eastAsia"/>
        </w:rPr>
        <w:t>文</w:t>
      </w:r>
      <w:r>
        <w:t>设计了一种基于双光源和偏振技术的</w:t>
      </w:r>
      <w:r>
        <w:t>OFC</w:t>
      </w:r>
      <w:r>
        <w:t>产生方案，方案中采用双光源以提升梳线数量，而引入偏振技术可优化</w:t>
      </w:r>
      <w:r>
        <w:t>OFC</w:t>
      </w:r>
      <w:r>
        <w:t>平坦度。最后试验验证了双光源线宽、初始相位和射频驱动信号频率（双光源所发射激光信号的中心频率之差的</w:t>
      </w:r>
      <w:r>
        <w:t>2</w:t>
      </w:r>
      <w:r>
        <w:t>倍）对</w:t>
      </w:r>
      <w:r>
        <w:t>OFC</w:t>
      </w:r>
      <w:r>
        <w:t>平坦度的影响。</w:t>
      </w:r>
      <w:r>
        <w:rPr>
          <w:rFonts w:hint="eastAsia"/>
        </w:rPr>
        <w:t>仿真</w:t>
      </w:r>
      <w:r>
        <w:t>结果表明</w:t>
      </w:r>
      <w:r>
        <w:rPr>
          <w:rFonts w:hint="eastAsia"/>
        </w:rPr>
        <w:t>，</w:t>
      </w:r>
      <w:r>
        <w:t>双光源线宽同步变化时对</w:t>
      </w:r>
      <w:r>
        <w:t>OFC</w:t>
      </w:r>
      <w:r>
        <w:t>平坦度影响最小，双光源初始相位和梳线间距变化对</w:t>
      </w:r>
      <w:r>
        <w:t>OFC</w:t>
      </w:r>
      <w:r>
        <w:t>影响不大，故降低了对双光源的要求，提高了系统可调谐性。本方案只使用一个</w:t>
      </w:r>
      <w:r>
        <w:t>O-PM</w:t>
      </w:r>
      <w:r>
        <w:t>，有效减少了有源光器件数量。系统设计结构简单，稳定性高，梳线间距易于调谐，可为平坦</w:t>
      </w:r>
      <w:r>
        <w:t>OFC</w:t>
      </w:r>
      <w:r>
        <w:t>产生及</w:t>
      </w:r>
      <w:r>
        <w:t>应用提供有益参考。</w:t>
      </w:r>
    </w:p>
    <w:p w14:paraId="571BB34E" w14:textId="77777777" w:rsidR="00BF3ED6" w:rsidRDefault="00BF3ED6"/>
    <w:p w14:paraId="5CBA8975" w14:textId="77777777" w:rsidR="00BF3ED6" w:rsidRDefault="009D4DE8">
      <w:pPr>
        <w:rPr>
          <w:b/>
        </w:rPr>
      </w:pPr>
      <w:r>
        <w:rPr>
          <w:b/>
        </w:rPr>
        <w:t>参</w:t>
      </w:r>
      <w:r>
        <w:rPr>
          <w:b/>
        </w:rPr>
        <w:t>考文献：</w:t>
      </w:r>
    </w:p>
    <w:p w14:paraId="7B382A56" w14:textId="77777777" w:rsidR="00BF3ED6" w:rsidRDefault="009D4DE8">
      <w:r>
        <w:t>[</w:t>
      </w:r>
      <w:r>
        <w:t>1] VEROLET T, AUBIN G, LIN Y, et al. Mode locked laser phase noise reduction under optical feedback for coherent DWDM communication[J]. Journal of Lightwave Technology, 2020, 38</w:t>
      </w:r>
      <w:r>
        <w:t>（</w:t>
      </w:r>
      <w:r>
        <w:t>20</w:t>
      </w:r>
      <w:r>
        <w:t>）</w:t>
      </w:r>
      <w:r>
        <w:t>: 5708-5715.</w:t>
      </w:r>
    </w:p>
    <w:p w14:paraId="34BD2778" w14:textId="77777777" w:rsidR="00BF3ED6" w:rsidRDefault="009D4DE8">
      <w:r>
        <w:t>[</w:t>
      </w:r>
      <w:r>
        <w:t xml:space="preserve">2] </w:t>
      </w:r>
      <w:r>
        <w:t>蒋玉政</w:t>
      </w:r>
      <w:r>
        <w:rPr>
          <w:rFonts w:hint="eastAsia"/>
        </w:rPr>
        <w:t>，</w:t>
      </w:r>
      <w:r>
        <w:t>李晶</w:t>
      </w:r>
      <w:r>
        <w:rPr>
          <w:rFonts w:hint="eastAsia"/>
        </w:rPr>
        <w:t>，</w:t>
      </w:r>
      <w:r>
        <w:t>朱伟</w:t>
      </w:r>
      <w:r>
        <w:rPr>
          <w:rFonts w:hint="eastAsia"/>
        </w:rPr>
        <w:t>，</w:t>
      </w:r>
      <w:r>
        <w:t>等</w:t>
      </w:r>
      <w:r>
        <w:t>.</w:t>
      </w:r>
      <w:r>
        <w:rPr>
          <w:rFonts w:hint="eastAsia"/>
        </w:rPr>
        <w:t xml:space="preserve"> </w:t>
      </w:r>
      <w:r>
        <w:t>基于锯齿波调制非平坦光频梳的信道化多频测量</w:t>
      </w:r>
      <w:r>
        <w:t>[J].</w:t>
      </w:r>
      <w:r>
        <w:t>光学学报</w:t>
      </w:r>
      <w:r>
        <w:rPr>
          <w:rFonts w:hint="eastAsia"/>
        </w:rPr>
        <w:t>，</w:t>
      </w:r>
      <w:r>
        <w:t>2023</w:t>
      </w:r>
      <w:r>
        <w:rPr>
          <w:rFonts w:hint="eastAsia"/>
        </w:rPr>
        <w:t>，</w:t>
      </w:r>
      <w:r>
        <w:t>43</w:t>
      </w:r>
      <w:r>
        <w:rPr>
          <w:rFonts w:hint="eastAsia"/>
        </w:rPr>
        <w:t>（</w:t>
      </w:r>
      <w:r>
        <w:t>22</w:t>
      </w:r>
      <w:r>
        <w:rPr>
          <w:rFonts w:hint="eastAsia"/>
        </w:rPr>
        <w:t>）：</w:t>
      </w:r>
      <w:r>
        <w:t>97-107.</w:t>
      </w:r>
    </w:p>
    <w:p w14:paraId="579FF4BE" w14:textId="77777777" w:rsidR="00BF3ED6" w:rsidRDefault="009D4DE8">
      <w:r>
        <w:t>[</w:t>
      </w:r>
      <w:r>
        <w:t xml:space="preserve">3] ZHANG H, CHANG B, LI Z, et al. Optical frequency combs: From principles to applications[J]. Journal of Electronic Science and Technology, </w:t>
      </w:r>
      <w:r>
        <w:rPr>
          <w:rFonts w:hint="eastAsia"/>
          <w:highlight w:val="yellow"/>
        </w:rPr>
        <w:t>2022, 20(2): 100157</w:t>
      </w:r>
      <w:r>
        <w:rPr>
          <w:rFonts w:hint="eastAsia"/>
          <w:highlight w:val="yellow"/>
        </w:rPr>
        <w:t>-1</w:t>
      </w:r>
      <w:r>
        <w:rPr>
          <w:highlight w:val="yellow"/>
        </w:rPr>
        <w:t>~100157-</w:t>
      </w:r>
      <w:r>
        <w:rPr>
          <w:rFonts w:hint="eastAsia"/>
          <w:highlight w:val="yellow"/>
        </w:rPr>
        <w:t>17</w:t>
      </w:r>
      <w:r>
        <w:rPr>
          <w:highlight w:val="yellow"/>
        </w:rPr>
        <w:t>.</w:t>
      </w:r>
    </w:p>
    <w:p w14:paraId="2E7D082C" w14:textId="77777777" w:rsidR="00BF3ED6" w:rsidRDefault="009D4DE8">
      <w:r>
        <w:t>[</w:t>
      </w:r>
      <w:r>
        <w:t>4] YANG Z, ZHANG L, LU Z, et a</w:t>
      </w:r>
      <w:r>
        <w:t>l. Robust photonic Terahertz vector imaging scheme using an optical frequency comb[J]. Journal of Lightwave Technology, 2022, 40</w:t>
      </w:r>
      <w:r>
        <w:t>（</w:t>
      </w:r>
      <w:r>
        <w:t>9</w:t>
      </w:r>
      <w:r>
        <w:t>）</w:t>
      </w:r>
      <w:r>
        <w:t>: 2717-2723.</w:t>
      </w:r>
    </w:p>
    <w:p w14:paraId="0DAF5016" w14:textId="77777777" w:rsidR="00BF3ED6" w:rsidRDefault="009D4DE8">
      <w:r>
        <w:t>[</w:t>
      </w:r>
      <w:r>
        <w:t>5] CHANG L, LIU S, BOWERS J E. Integrated optical frequency comb technologies[J]. Nature Photonics, 2022, 16</w:t>
      </w:r>
      <w:r>
        <w:t>（</w:t>
      </w:r>
      <w:r>
        <w:t>2</w:t>
      </w:r>
      <w:r>
        <w:t>）</w:t>
      </w:r>
      <w:r>
        <w:t>: 95-108.</w:t>
      </w:r>
    </w:p>
    <w:p w14:paraId="19A01624" w14:textId="77777777" w:rsidR="00BF3ED6" w:rsidRDefault="009D4DE8">
      <w:r>
        <w:t>[</w:t>
      </w:r>
      <w:r>
        <w:t>6] ANDRIOLLI N, CASSESE T, CHIESA M, et al. Photonic integrated fully tunable comb generator cascading optical modulators[J]. Journal of Lightwave Technology, 2018, 36</w:t>
      </w:r>
      <w:r>
        <w:t>（</w:t>
      </w:r>
      <w:r>
        <w:t>23</w:t>
      </w:r>
      <w:r>
        <w:t>）</w:t>
      </w:r>
      <w:r>
        <w:t>: 5685-5689.</w:t>
      </w:r>
    </w:p>
    <w:p w14:paraId="2D7E14C2" w14:textId="77777777" w:rsidR="00BF3ED6" w:rsidRDefault="009D4DE8">
      <w:pPr>
        <w:rPr>
          <w:highlight w:val="yellow"/>
        </w:rPr>
      </w:pPr>
      <w:r>
        <w:t>[</w:t>
      </w:r>
      <w:r>
        <w:t>7] SHARMA V, SINGH S, ANASHKINA E A, et al. Demonstration of</w:t>
      </w:r>
      <w:r>
        <w:t xml:space="preserve"> optical frequency comb generation using four-wave mixing in highly nonlinear fiber[J]. Optik, 2021, 241: </w:t>
      </w:r>
      <w:r>
        <w:rPr>
          <w:highlight w:val="yellow"/>
        </w:rPr>
        <w:t>166948-1~166948-</w:t>
      </w:r>
      <w:r>
        <w:rPr>
          <w:rFonts w:hint="eastAsia"/>
          <w:highlight w:val="yellow"/>
        </w:rPr>
        <w:t>11</w:t>
      </w:r>
      <w:r>
        <w:rPr>
          <w:highlight w:val="yellow"/>
        </w:rPr>
        <w:t>.</w:t>
      </w:r>
    </w:p>
    <w:p w14:paraId="58EF1A5C" w14:textId="77777777" w:rsidR="00BF3ED6" w:rsidRDefault="009D4DE8">
      <w:r>
        <w:t>[</w:t>
      </w:r>
      <w:r>
        <w:t xml:space="preserve">8] CAO Y, FALLAHPOUR A, ZOU K, et al. Tunable optical single-sideband generation for OOK and PAM4 data channels using an optical </w:t>
      </w:r>
      <w:r>
        <w:t>frequency comb and nonlinear wave-mixing[J]. Optics Letters, 2020, 45</w:t>
      </w:r>
      <w:r>
        <w:t>（</w:t>
      </w:r>
      <w:r>
        <w:t>22</w:t>
      </w:r>
      <w:r>
        <w:t>）</w:t>
      </w:r>
      <w:r>
        <w:t>: 6294-6297.</w:t>
      </w:r>
    </w:p>
    <w:p w14:paraId="67D32AFD" w14:textId="77777777" w:rsidR="00BF3ED6" w:rsidRDefault="009D4DE8">
      <w:r>
        <w:t>[</w:t>
      </w:r>
      <w:r>
        <w:t xml:space="preserve">9] </w:t>
      </w:r>
      <w:r>
        <w:t>刘涵</w:t>
      </w:r>
      <w:r>
        <w:rPr>
          <w:rFonts w:hint="eastAsia"/>
        </w:rPr>
        <w:t>，</w:t>
      </w:r>
      <w:r>
        <w:t>李子平</w:t>
      </w:r>
      <w:r>
        <w:rPr>
          <w:rFonts w:hint="eastAsia"/>
        </w:rPr>
        <w:t>，</w:t>
      </w:r>
      <w:r>
        <w:t>马旭红</w:t>
      </w:r>
      <w:r>
        <w:rPr>
          <w:rFonts w:hint="eastAsia"/>
        </w:rPr>
        <w:t>，</w:t>
      </w:r>
      <w:r>
        <w:t>等</w:t>
      </w:r>
      <w:r>
        <w:t>.</w:t>
      </w:r>
      <w:r>
        <w:rPr>
          <w:rFonts w:hint="eastAsia"/>
        </w:rPr>
        <w:t xml:space="preserve"> </w:t>
      </w:r>
      <w:r>
        <w:t>太赫兹量子级联激光器光频梳射频传输</w:t>
      </w:r>
      <w:r>
        <w:t>[J].</w:t>
      </w:r>
      <w:r>
        <w:rPr>
          <w:rFonts w:hint="eastAsia"/>
        </w:rPr>
        <w:t xml:space="preserve"> </w:t>
      </w:r>
      <w:r>
        <w:t>光子学报</w:t>
      </w:r>
      <w:r>
        <w:rPr>
          <w:rFonts w:hint="eastAsia"/>
        </w:rPr>
        <w:t>，</w:t>
      </w:r>
      <w:r>
        <w:t>2023</w:t>
      </w:r>
      <w:r>
        <w:rPr>
          <w:rFonts w:hint="eastAsia"/>
        </w:rPr>
        <w:t>，</w:t>
      </w:r>
      <w:r>
        <w:t>52</w:t>
      </w:r>
      <w:r>
        <w:rPr>
          <w:rFonts w:hint="eastAsia"/>
        </w:rPr>
        <w:t>（</w:t>
      </w:r>
      <w:r>
        <w:t>1</w:t>
      </w:r>
      <w:r>
        <w:rPr>
          <w:rFonts w:hint="eastAsia"/>
        </w:rPr>
        <w:t>）：</w:t>
      </w:r>
      <w:r>
        <w:t>53-62.</w:t>
      </w:r>
    </w:p>
    <w:p w14:paraId="2B251782" w14:textId="77777777" w:rsidR="00BF3ED6" w:rsidRDefault="009D4DE8">
      <w:r>
        <w:t>[</w:t>
      </w:r>
      <w:r>
        <w:t xml:space="preserve">10] GUAN X, MU H, WANG M. Optical frequency comb with tunable free spectral range based on two </w:t>
      </w:r>
      <w:r>
        <w:t>Mach-Zehnder modulators cascaded with linearly chirped fiber Bragg grating and phase modulator[J]. Optoelectronics Letters, 2022, 18</w:t>
      </w:r>
      <w:r>
        <w:t>（</w:t>
      </w:r>
      <w:r>
        <w:t>7</w:t>
      </w:r>
      <w:r>
        <w:t>）</w:t>
      </w:r>
      <w:r>
        <w:t>: 385-389.</w:t>
      </w:r>
    </w:p>
    <w:p w14:paraId="4903A9C5" w14:textId="77777777" w:rsidR="00BF3ED6" w:rsidRDefault="009D4DE8">
      <w:r>
        <w:t>[</w:t>
      </w:r>
      <w:r>
        <w:t>11] SAKAMOTO T, CHIBA A. Multiple-frequency-spaced flat optical comb generation using a multiple-parallel pha</w:t>
      </w:r>
      <w:r>
        <w:t>se modulator[J]. Optics Letters, 2017, 42</w:t>
      </w:r>
      <w:r>
        <w:t>（</w:t>
      </w:r>
      <w:r>
        <w:t>21</w:t>
      </w:r>
      <w:r>
        <w:t>）</w:t>
      </w:r>
      <w:r>
        <w:t>: 4462-4465.</w:t>
      </w:r>
    </w:p>
    <w:p w14:paraId="2C94D8B6" w14:textId="77777777" w:rsidR="00BF3ED6" w:rsidRDefault="009D4DE8">
      <w:r>
        <w:t>[</w:t>
      </w:r>
      <w:r>
        <w:t xml:space="preserve">12] </w:t>
      </w:r>
      <w:r>
        <w:t>欧阳竑</w:t>
      </w:r>
      <w:r>
        <w:rPr>
          <w:rFonts w:hint="eastAsia"/>
        </w:rPr>
        <w:t>，</w:t>
      </w:r>
      <w:r>
        <w:t>李博</w:t>
      </w:r>
      <w:r>
        <w:rPr>
          <w:rFonts w:hint="eastAsia"/>
        </w:rPr>
        <w:t>，</w:t>
      </w:r>
      <w:r>
        <w:t>余志强</w:t>
      </w:r>
      <w:r>
        <w:rPr>
          <w:rFonts w:hint="eastAsia"/>
        </w:rPr>
        <w:t>，</w:t>
      </w:r>
      <w:r>
        <w:t>等</w:t>
      </w:r>
      <w:r>
        <w:t>.</w:t>
      </w:r>
      <w:r>
        <w:rPr>
          <w:rFonts w:hint="eastAsia"/>
        </w:rPr>
        <w:t xml:space="preserve"> </w:t>
      </w:r>
      <w:r>
        <w:t>相位调制产生光频率梳的通信实验</w:t>
      </w:r>
      <w:r>
        <w:t xml:space="preserve">[J]. </w:t>
      </w:r>
      <w:r>
        <w:t>光通信技术</w:t>
      </w:r>
      <w:r>
        <w:rPr>
          <w:rFonts w:hint="eastAsia"/>
        </w:rPr>
        <w:t>，</w:t>
      </w:r>
      <w:r>
        <w:t>2020</w:t>
      </w:r>
      <w:r>
        <w:rPr>
          <w:rFonts w:hint="eastAsia"/>
        </w:rPr>
        <w:t>，</w:t>
      </w:r>
      <w:r>
        <w:t>44</w:t>
      </w:r>
      <w:r>
        <w:rPr>
          <w:rFonts w:hint="eastAsia"/>
        </w:rPr>
        <w:t>（</w:t>
      </w:r>
      <w:r>
        <w:t>9</w:t>
      </w:r>
      <w:r>
        <w:rPr>
          <w:rFonts w:hint="eastAsia"/>
        </w:rPr>
        <w:t>）：</w:t>
      </w:r>
      <w:r>
        <w:t>34-36.</w:t>
      </w:r>
    </w:p>
    <w:p w14:paraId="654A9867" w14:textId="77777777" w:rsidR="00BF3ED6" w:rsidRDefault="009D4DE8">
      <w:r>
        <w:t>[</w:t>
      </w:r>
      <w:r>
        <w:t>13]LV X , LIU J , WU S . Flat optical frequency comb generation based on polarization modulator with RF frequency multiplication circu</w:t>
      </w:r>
      <w:r>
        <w:t>it and dual-parallel Mach-Zehnder modulator[J]. Optik, 2019, 183:706-712.</w:t>
      </w:r>
    </w:p>
    <w:p w14:paraId="79C5A2E6" w14:textId="77777777" w:rsidR="00BF3ED6" w:rsidRDefault="009D4DE8">
      <w:r>
        <w:lastRenderedPageBreak/>
        <w:t>[</w:t>
      </w:r>
      <w:r>
        <w:t>14] LI R, WU S, YE S, et al. Very flat optical frequency comb generation based on polarization modulator and recirculation frequency shifter[J]. Journal of Optical Communications, 2</w:t>
      </w:r>
      <w:r>
        <w:t>017, 39(1): 7-12.</w:t>
      </w:r>
    </w:p>
    <w:p w14:paraId="2E073895" w14:textId="77777777" w:rsidR="00BF3ED6" w:rsidRDefault="009D4DE8">
      <w:r>
        <w:t>[</w:t>
      </w:r>
      <w:r>
        <w:t>15] LIN T, ZHAO S, ZHU Z, et al. Generation of flat optical frequency comb based on a DP-QPSK modulator[J]. IEEE Photonics Technology Letters, 2016, 29</w:t>
      </w:r>
      <w:r>
        <w:t>（</w:t>
      </w:r>
      <w:r>
        <w:t>1</w:t>
      </w:r>
      <w:r>
        <w:t>）</w:t>
      </w:r>
      <w:r>
        <w:t>: 146-149.</w:t>
      </w:r>
    </w:p>
    <w:p w14:paraId="66127CAD" w14:textId="77777777" w:rsidR="00BF3ED6" w:rsidRDefault="009D4DE8">
      <w:r>
        <w:t>[</w:t>
      </w:r>
      <w:r>
        <w:t>16] THANGARAJ J. Generation of ultra-wide and flat optical frequency co</w:t>
      </w:r>
      <w:r>
        <w:t>mb based on electro absorption modulator[J]. Optoelectronics Letters, 2018, 14</w:t>
      </w:r>
      <w:r>
        <w:t>（</w:t>
      </w:r>
      <w:r>
        <w:t>3</w:t>
      </w:r>
      <w:r>
        <w:t>）</w:t>
      </w:r>
      <w:r>
        <w:t>: 185-188.</w:t>
      </w:r>
    </w:p>
    <w:p w14:paraId="6E45DCCD" w14:textId="77777777" w:rsidR="00BF3ED6" w:rsidRDefault="009D4DE8">
      <w:pPr>
        <w:rPr>
          <w:highlight w:val="yellow"/>
        </w:rPr>
      </w:pPr>
      <w:r>
        <w:t>[</w:t>
      </w:r>
      <w:r>
        <w:t>17] LI Y, ZHOU W, CHEN Y W, et al. Optical comb generator with flat-topped spectral response using one electroabsorption-modulated laser and one phase modulator[J]</w:t>
      </w:r>
      <w:r>
        <w:t>. Optical Engineering, 2020, 59</w:t>
      </w:r>
      <w:r>
        <w:t>（</w:t>
      </w:r>
      <w:r>
        <w:t>1</w:t>
      </w:r>
      <w:r>
        <w:t>）</w:t>
      </w:r>
      <w:r>
        <w:t>:</w:t>
      </w:r>
      <w:r>
        <w:rPr>
          <w:highlight w:val="yellow"/>
        </w:rPr>
        <w:t xml:space="preserve"> 016112-1~016112-</w:t>
      </w:r>
      <w:r>
        <w:rPr>
          <w:rFonts w:hint="eastAsia"/>
          <w:highlight w:val="yellow"/>
        </w:rPr>
        <w:t>9</w:t>
      </w:r>
      <w:r>
        <w:rPr>
          <w:highlight w:val="yellow"/>
        </w:rPr>
        <w:t>.</w:t>
      </w:r>
    </w:p>
    <w:p w14:paraId="09348A27" w14:textId="77777777" w:rsidR="00BF3ED6" w:rsidRDefault="009D4DE8">
      <w:r>
        <w:t>[</w:t>
      </w:r>
      <w:r>
        <w:t>18] ZOU X, PAN W, YAO J. Tunable optical comb generation based on carrier-suppressed intensity modulation and phase modulation[J]. Chinese Optics Letters, 2010, 8</w:t>
      </w:r>
      <w:r>
        <w:t>（</w:t>
      </w:r>
      <w:r>
        <w:t>5</w:t>
      </w:r>
      <w:r>
        <w:t>）</w:t>
      </w:r>
      <w:r>
        <w:t>: 468-470.</w:t>
      </w:r>
    </w:p>
    <w:p w14:paraId="3FA4C060" w14:textId="77777777" w:rsidR="00BF3ED6" w:rsidRDefault="009D4DE8">
      <w:r>
        <w:t>[</w:t>
      </w:r>
      <w:r>
        <w:t>19] DONG Q, SUN B, CHEN</w:t>
      </w:r>
      <w:r>
        <w:t xml:space="preserve"> F, et al. Flat frequency comb generation based on efficiently multiple four-wave mixing without polarization control[J]. Photonic Sensors, 2016, 6</w:t>
      </w:r>
      <w:r>
        <w:t>（</w:t>
      </w:r>
      <w:r>
        <w:t>1</w:t>
      </w:r>
      <w:r>
        <w:t>）</w:t>
      </w:r>
      <w:r>
        <w:t>: 85-89.</w:t>
      </w:r>
    </w:p>
    <w:p w14:paraId="2E750448" w14:textId="77777777" w:rsidR="00BF3ED6" w:rsidRDefault="009D4DE8">
      <w:pPr>
        <w:rPr>
          <w:highlight w:val="yellow"/>
        </w:rPr>
      </w:pPr>
      <w:r>
        <w:t>[</w:t>
      </w:r>
      <w:r>
        <w:t xml:space="preserve">20] LI K, CHEN Y, HUANG Y, et al. 0.36 THz photonic Terahertz-wave generation by simple optical </w:t>
      </w:r>
      <w:r>
        <w:t>frequency comb[J]. Optical Fiber Technology, 2021, 6</w:t>
      </w:r>
      <w:r>
        <w:rPr>
          <w:highlight w:val="yellow"/>
        </w:rPr>
        <w:t>4: 102581-1~102581-</w:t>
      </w:r>
      <w:r>
        <w:rPr>
          <w:rFonts w:hint="eastAsia"/>
          <w:highlight w:val="yellow"/>
        </w:rPr>
        <w:t>5</w:t>
      </w:r>
      <w:r>
        <w:rPr>
          <w:highlight w:val="yellow"/>
        </w:rPr>
        <w:t>.</w:t>
      </w:r>
    </w:p>
    <w:p w14:paraId="5A321D17" w14:textId="77777777" w:rsidR="00BF3ED6" w:rsidRDefault="00BF3ED6"/>
    <w:p w14:paraId="4F92DA84" w14:textId="77777777" w:rsidR="00BF3ED6" w:rsidRDefault="00BF3ED6"/>
    <w:p w14:paraId="4FD5C7A7" w14:textId="77777777" w:rsidR="00BF3ED6" w:rsidRDefault="009D4DE8">
      <w:r>
        <w:rPr>
          <w:rFonts w:hint="eastAsia"/>
        </w:rPr>
        <w:t>收</w:t>
      </w:r>
      <w:r>
        <w:t>稿日期：</w:t>
      </w:r>
      <w:r>
        <w:rPr>
          <w:rFonts w:hint="eastAsia"/>
        </w:rPr>
        <w:t>2024</w:t>
      </w:r>
      <w:r>
        <w:t>-02-04</w:t>
      </w:r>
      <w:r>
        <w:rPr>
          <w:rFonts w:hint="eastAsia"/>
        </w:rPr>
        <w:t>。</w:t>
      </w:r>
    </w:p>
    <w:p w14:paraId="5759395E" w14:textId="77777777" w:rsidR="00BF3ED6" w:rsidRDefault="009D4DE8">
      <w:r>
        <w:rPr>
          <w:b/>
        </w:rPr>
        <w:t>基</w:t>
      </w:r>
      <w:r>
        <w:rPr>
          <w:b/>
        </w:rPr>
        <w:t>金项目：</w:t>
      </w:r>
      <w:r>
        <w:t>河北省省级科技计划项目（</w:t>
      </w:r>
      <w:r>
        <w:t>22320301D</w:t>
      </w:r>
      <w:r>
        <w:t>）资助；石家庄市科学技术研究与发展计划项目（</w:t>
      </w:r>
      <w:r>
        <w:t>211080571</w:t>
      </w:r>
      <w:r>
        <w:t>）资助。</w:t>
      </w:r>
    </w:p>
    <w:p w14:paraId="14FAB3FA" w14:textId="77777777" w:rsidR="00BF3ED6" w:rsidRDefault="009D4DE8">
      <w:bookmarkStart w:id="4" w:name="_Hlk157865987"/>
      <w:r>
        <w:rPr>
          <w:b/>
        </w:rPr>
        <w:t>作者简介：</w:t>
      </w:r>
      <w:r>
        <w:rPr>
          <w:rFonts w:ascii="Segoe UI" w:hAnsi="Segoe UI" w:cs="Segoe UI"/>
          <w:color w:val="1E1F24"/>
          <w:shd w:val="clear" w:color="auto" w:fill="FFFFFF"/>
        </w:rPr>
        <w:t>孙秀婷（</w:t>
      </w:r>
      <w:r>
        <w:rPr>
          <w:rFonts w:ascii="Segoe UI" w:hAnsi="Segoe UI" w:cs="Segoe UI"/>
          <w:color w:val="1E1F24"/>
          <w:shd w:val="clear" w:color="auto" w:fill="FFFFFF"/>
        </w:rPr>
        <w:t>1978—</w:t>
      </w:r>
      <w:r>
        <w:rPr>
          <w:rFonts w:ascii="Segoe UI" w:hAnsi="Segoe UI" w:cs="Segoe UI"/>
          <w:color w:val="1E1F24"/>
          <w:shd w:val="clear" w:color="auto" w:fill="FFFFFF"/>
        </w:rPr>
        <w:t>），女，硕士，副教授，石家庄铁道大学四方学院电气工程系教师，主要研究方向为光通信、电子电路、信号处理与自动控制</w:t>
      </w:r>
      <w:r>
        <w:rPr>
          <w:rFonts w:ascii="Segoe UI" w:hAnsi="Segoe UI" w:cs="Segoe UI" w:hint="eastAsia"/>
          <w:color w:val="1E1F24"/>
          <w:shd w:val="clear" w:color="auto" w:fill="FFFFFF"/>
        </w:rPr>
        <w:t>，</w:t>
      </w:r>
      <w:r>
        <w:rPr>
          <w:rFonts w:ascii="Segoe UI" w:hAnsi="Segoe UI" w:cs="Segoe UI"/>
          <w:color w:val="1E1F24"/>
          <w:shd w:val="clear" w:color="auto" w:fill="FFFFFF"/>
        </w:rPr>
        <w:t>主持或参加多项科研项目和教学改革研究项目，被评为省级创新创业教</w:t>
      </w:r>
      <w:r>
        <w:rPr>
          <w:rFonts w:ascii="Segoe UI" w:hAnsi="Segoe UI" w:cs="Segoe UI"/>
          <w:color w:val="1E1F24"/>
          <w:shd w:val="clear" w:color="auto" w:fill="FFFFFF"/>
        </w:rPr>
        <w:t>学名师。</w:t>
      </w:r>
    </w:p>
    <w:p w14:paraId="70D735B7" w14:textId="77777777" w:rsidR="00BF3ED6" w:rsidRDefault="009D4DE8">
      <w:r>
        <w:rPr>
          <w:noProof/>
        </w:rPr>
        <w:drawing>
          <wp:inline distT="0" distB="0" distL="0" distR="0">
            <wp:extent cx="1008380" cy="1299845"/>
            <wp:effectExtent l="0" t="0" r="1270" b="14605"/>
            <wp:docPr id="49" name="图片 1" descr="孙秀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1" descr="孙秀婷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8380" cy="129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5" w:name="_GoBack"/>
      <w:bookmarkEnd w:id="5"/>
    </w:p>
    <w:bookmarkEnd w:id="4"/>
    <w:p w14:paraId="7C1DC52B" w14:textId="77777777" w:rsidR="00BF3ED6" w:rsidRDefault="00BF3ED6"/>
    <w:p w14:paraId="1D21EDEC" w14:textId="77777777" w:rsidR="00BF3ED6" w:rsidRDefault="009D4DE8">
      <w:r>
        <w:t>*</w:t>
      </w:r>
      <w:r>
        <w:rPr>
          <w:b/>
        </w:rPr>
        <w:t>通信作者</w:t>
      </w:r>
      <w:r>
        <w:t>：杨蓓（</w:t>
      </w:r>
      <w:r>
        <w:t>1989—</w:t>
      </w:r>
      <w:r>
        <w:t>），女，硕士，讲师，主要研究方向为光纤通信技术和智能制造处理。</w:t>
      </w:r>
    </w:p>
    <w:p w14:paraId="39B12E68" w14:textId="77777777" w:rsidR="00BF3ED6" w:rsidRDefault="00BF3ED6"/>
    <w:sectPr w:rsidR="00BF3ED6">
      <w:headerReference w:type="even" r:id="rId25"/>
      <w:pgSz w:w="11906" w:h="16838"/>
      <w:pgMar w:top="1440" w:right="1800" w:bottom="1440" w:left="1800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E45EEA" w14:textId="77777777" w:rsidR="009D4DE8" w:rsidRDefault="009D4DE8">
      <w:r>
        <w:separator/>
      </w:r>
    </w:p>
    <w:p w14:paraId="561A35B6" w14:textId="77777777" w:rsidR="009D4DE8" w:rsidRDefault="009D4DE8"/>
  </w:endnote>
  <w:endnote w:type="continuationSeparator" w:id="0">
    <w:p w14:paraId="6CF95E54" w14:textId="77777777" w:rsidR="009D4DE8" w:rsidRDefault="009D4DE8">
      <w:r>
        <w:continuationSeparator/>
      </w:r>
    </w:p>
    <w:p w14:paraId="35A4A57E" w14:textId="77777777" w:rsidR="009D4DE8" w:rsidRDefault="009D4D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66062D" w14:textId="77777777" w:rsidR="009D4DE8" w:rsidRDefault="009D4DE8">
      <w:r>
        <w:separator/>
      </w:r>
    </w:p>
    <w:p w14:paraId="7D07E02F" w14:textId="77777777" w:rsidR="009D4DE8" w:rsidRDefault="009D4DE8"/>
  </w:footnote>
  <w:footnote w:type="continuationSeparator" w:id="0">
    <w:p w14:paraId="0587E071" w14:textId="77777777" w:rsidR="009D4DE8" w:rsidRDefault="009D4DE8">
      <w:r>
        <w:continuationSeparator/>
      </w:r>
    </w:p>
    <w:p w14:paraId="48BA048D" w14:textId="77777777" w:rsidR="009D4DE8" w:rsidRDefault="009D4DE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773C76" w14:textId="77777777" w:rsidR="00BF3ED6" w:rsidRDefault="00BF3ED6">
    <w:pPr>
      <w:pStyle w:val="a9"/>
    </w:pPr>
  </w:p>
  <w:p w14:paraId="6557632A" w14:textId="77777777" w:rsidR="00BF3ED6" w:rsidRDefault="009D4DE8">
    <w:pPr>
      <w:pStyle w:val="a9"/>
    </w:pPr>
    <w:r>
      <w:rPr>
        <w:rStyle w:val="ae"/>
        <w:sz w:val="15"/>
      </w:rPr>
      <w:fldChar w:fldCharType="begin"/>
    </w:r>
    <w:r>
      <w:rPr>
        <w:rStyle w:val="ae"/>
        <w:sz w:val="15"/>
      </w:rPr>
      <w:instrText xml:space="preserve"> PAGE </w:instrText>
    </w:r>
    <w:r>
      <w:rPr>
        <w:rStyle w:val="ae"/>
        <w:sz w:val="15"/>
      </w:rPr>
      <w:fldChar w:fldCharType="separate"/>
    </w:r>
    <w:r>
      <w:rPr>
        <w:rStyle w:val="ae"/>
        <w:sz w:val="15"/>
      </w:rPr>
      <w:t>2</w:t>
    </w:r>
    <w:r>
      <w:rPr>
        <w:rStyle w:val="ae"/>
        <w:sz w:val="15"/>
      </w:rPr>
      <w:fldChar w:fldCharType="end"/>
    </w:r>
    <w:r>
      <w:rPr>
        <w:rFonts w:hint="eastAsia"/>
      </w:rPr>
      <w:t xml:space="preserve">                                                    </w:t>
    </w:r>
    <w:r>
      <w:rPr>
        <w:rFonts w:hint="eastAsia"/>
      </w:rPr>
      <w:t>济南大学学报（自然科学版）</w:t>
    </w:r>
    <w:r>
      <w:rPr>
        <w:rFonts w:hint="eastAsia"/>
      </w:rPr>
      <w:t xml:space="preserve">                                      </w:t>
    </w:r>
    <w:r>
      <w:rPr>
        <w:rFonts w:hint="eastAsia"/>
      </w:rPr>
      <w:t>第</w:t>
    </w:r>
    <w:r>
      <w:rPr>
        <w:rFonts w:hint="eastAsia"/>
      </w:rPr>
      <w:t>22</w:t>
    </w:r>
    <w:r>
      <w:rPr>
        <w:rFonts w:hint="eastAsia"/>
      </w:rPr>
      <w:t>卷</w:t>
    </w:r>
  </w:p>
  <w:p w14:paraId="64843C77" w14:textId="77777777" w:rsidR="00BF3ED6" w:rsidRDefault="00BF3ED6"/>
  <w:p w14:paraId="401084E3" w14:textId="77777777" w:rsidR="00BF3ED6" w:rsidRDefault="00BF3ED6"/>
  <w:p w14:paraId="54C6C245" w14:textId="77777777" w:rsidR="00BF3ED6" w:rsidRDefault="00BF3ED6"/>
  <w:p w14:paraId="6817A7AE" w14:textId="77777777" w:rsidR="00BF3ED6" w:rsidRDefault="00BF3ED6"/>
  <w:p w14:paraId="6E88BD83" w14:textId="77777777" w:rsidR="00BF3ED6" w:rsidRDefault="00BF3ED6"/>
  <w:p w14:paraId="0EDB3BBC" w14:textId="77777777" w:rsidR="00BF3ED6" w:rsidRDefault="00BF3ED6"/>
  <w:p w14:paraId="0B8F5991" w14:textId="77777777" w:rsidR="00BF3ED6" w:rsidRDefault="00BF3ED6"/>
  <w:p w14:paraId="156BC0FB" w14:textId="77777777" w:rsidR="00BF3ED6" w:rsidRDefault="00BF3ED6"/>
  <w:p w14:paraId="61D72497" w14:textId="77777777" w:rsidR="00BF3ED6" w:rsidRDefault="00BF3ED6"/>
  <w:p w14:paraId="15A392AB" w14:textId="77777777" w:rsidR="00BF3ED6" w:rsidRDefault="00BF3ED6"/>
  <w:p w14:paraId="61B3B3A7" w14:textId="77777777" w:rsidR="00000000" w:rsidRDefault="009D4DE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IyZDIxZGY4YTlmNjAwYzM5ZTEwYWYxZWJiM2MwMDMifQ=="/>
  </w:docVars>
  <w:rsids>
    <w:rsidRoot w:val="00A6028D"/>
    <w:rsid w:val="000027B9"/>
    <w:rsid w:val="0001177E"/>
    <w:rsid w:val="000331B2"/>
    <w:rsid w:val="0006311E"/>
    <w:rsid w:val="00074C43"/>
    <w:rsid w:val="00090325"/>
    <w:rsid w:val="000B25F0"/>
    <w:rsid w:val="000B5AA0"/>
    <w:rsid w:val="000C3116"/>
    <w:rsid w:val="000C3152"/>
    <w:rsid w:val="000D3815"/>
    <w:rsid w:val="000F765E"/>
    <w:rsid w:val="00113D10"/>
    <w:rsid w:val="00117770"/>
    <w:rsid w:val="001341A7"/>
    <w:rsid w:val="0014357F"/>
    <w:rsid w:val="001470C9"/>
    <w:rsid w:val="0018299B"/>
    <w:rsid w:val="00184D87"/>
    <w:rsid w:val="001871AA"/>
    <w:rsid w:val="0019730E"/>
    <w:rsid w:val="00213E54"/>
    <w:rsid w:val="00232154"/>
    <w:rsid w:val="00253816"/>
    <w:rsid w:val="00282D6F"/>
    <w:rsid w:val="002860E4"/>
    <w:rsid w:val="002A1F19"/>
    <w:rsid w:val="002B1F1E"/>
    <w:rsid w:val="003027A2"/>
    <w:rsid w:val="00311534"/>
    <w:rsid w:val="00341E10"/>
    <w:rsid w:val="00353741"/>
    <w:rsid w:val="00360EAE"/>
    <w:rsid w:val="0039481D"/>
    <w:rsid w:val="003C6D3E"/>
    <w:rsid w:val="003D58FA"/>
    <w:rsid w:val="003D6B03"/>
    <w:rsid w:val="00424E04"/>
    <w:rsid w:val="00425464"/>
    <w:rsid w:val="004A0B47"/>
    <w:rsid w:val="004A4CE9"/>
    <w:rsid w:val="004A5CC5"/>
    <w:rsid w:val="00511383"/>
    <w:rsid w:val="00524F72"/>
    <w:rsid w:val="00570F82"/>
    <w:rsid w:val="005B39D6"/>
    <w:rsid w:val="005C6EC9"/>
    <w:rsid w:val="005D02B4"/>
    <w:rsid w:val="005E7CDA"/>
    <w:rsid w:val="00624508"/>
    <w:rsid w:val="0064237D"/>
    <w:rsid w:val="00644696"/>
    <w:rsid w:val="0067755A"/>
    <w:rsid w:val="006878E8"/>
    <w:rsid w:val="006A5F8C"/>
    <w:rsid w:val="006A6BBC"/>
    <w:rsid w:val="006D6C71"/>
    <w:rsid w:val="00702862"/>
    <w:rsid w:val="00712088"/>
    <w:rsid w:val="00801D7F"/>
    <w:rsid w:val="008470C4"/>
    <w:rsid w:val="0086221A"/>
    <w:rsid w:val="008939A7"/>
    <w:rsid w:val="008B584B"/>
    <w:rsid w:val="008F2CF1"/>
    <w:rsid w:val="00974B48"/>
    <w:rsid w:val="009A47EA"/>
    <w:rsid w:val="009A5B3B"/>
    <w:rsid w:val="009A66D8"/>
    <w:rsid w:val="009D4DE8"/>
    <w:rsid w:val="009E3620"/>
    <w:rsid w:val="009F2821"/>
    <w:rsid w:val="00A22CD6"/>
    <w:rsid w:val="00A262C8"/>
    <w:rsid w:val="00A42112"/>
    <w:rsid w:val="00A4782E"/>
    <w:rsid w:val="00A503E4"/>
    <w:rsid w:val="00A5262F"/>
    <w:rsid w:val="00A6028D"/>
    <w:rsid w:val="00A85843"/>
    <w:rsid w:val="00A862B0"/>
    <w:rsid w:val="00A87B52"/>
    <w:rsid w:val="00AC50E1"/>
    <w:rsid w:val="00AC7BC5"/>
    <w:rsid w:val="00AE2CE8"/>
    <w:rsid w:val="00B02342"/>
    <w:rsid w:val="00B27975"/>
    <w:rsid w:val="00B31EFA"/>
    <w:rsid w:val="00B341A7"/>
    <w:rsid w:val="00B341C4"/>
    <w:rsid w:val="00B351AB"/>
    <w:rsid w:val="00B4375D"/>
    <w:rsid w:val="00B4467F"/>
    <w:rsid w:val="00B74798"/>
    <w:rsid w:val="00B77A5E"/>
    <w:rsid w:val="00B847E4"/>
    <w:rsid w:val="00B8718F"/>
    <w:rsid w:val="00BB19EF"/>
    <w:rsid w:val="00BB6572"/>
    <w:rsid w:val="00BD071D"/>
    <w:rsid w:val="00BD54B0"/>
    <w:rsid w:val="00BF3ED6"/>
    <w:rsid w:val="00C13691"/>
    <w:rsid w:val="00C17DA2"/>
    <w:rsid w:val="00C32BE3"/>
    <w:rsid w:val="00C44BA4"/>
    <w:rsid w:val="00C55A09"/>
    <w:rsid w:val="00C729FF"/>
    <w:rsid w:val="00C73A0A"/>
    <w:rsid w:val="00CE0AFD"/>
    <w:rsid w:val="00CE0E21"/>
    <w:rsid w:val="00D017FE"/>
    <w:rsid w:val="00D111C7"/>
    <w:rsid w:val="00D84BD2"/>
    <w:rsid w:val="00DB7287"/>
    <w:rsid w:val="00DB7A16"/>
    <w:rsid w:val="00DC4228"/>
    <w:rsid w:val="00DD1AC3"/>
    <w:rsid w:val="00DF678E"/>
    <w:rsid w:val="00E22F88"/>
    <w:rsid w:val="00E30D2C"/>
    <w:rsid w:val="00E860C0"/>
    <w:rsid w:val="00EC1FFC"/>
    <w:rsid w:val="00F6099B"/>
    <w:rsid w:val="00FB09F6"/>
    <w:rsid w:val="00FB25AF"/>
    <w:rsid w:val="00FC2E2D"/>
    <w:rsid w:val="00FF2D73"/>
    <w:rsid w:val="08027D7F"/>
    <w:rsid w:val="0F0F5B08"/>
    <w:rsid w:val="17BD1EE3"/>
    <w:rsid w:val="21C12447"/>
    <w:rsid w:val="31615451"/>
    <w:rsid w:val="31C15AA6"/>
    <w:rsid w:val="36785717"/>
    <w:rsid w:val="392C47F2"/>
    <w:rsid w:val="421678CB"/>
    <w:rsid w:val="47CA38F8"/>
    <w:rsid w:val="54A3750A"/>
    <w:rsid w:val="6A122386"/>
    <w:rsid w:val="73575823"/>
    <w:rsid w:val="738E13CF"/>
    <w:rsid w:val="7488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B03F6"/>
  <w15:docId w15:val="{891B3914-4ECB-4850-A6BA-028BE8D6D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rFonts w:ascii="Times New Roman" w:eastAsia="宋体" w:hAnsi="Times New Roman" w:cs="Times New Roman"/>
      <w:color w:val="000000" w:themeColor="text1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Pr>
      <w:sz w:val="18"/>
      <w:szCs w:val="18"/>
    </w:rPr>
  </w:style>
  <w:style w:type="paragraph" w:styleId="a7">
    <w:name w:val="footer"/>
    <w:basedOn w:val="a"/>
    <w:link w:val="a8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rPr>
      <w:b/>
      <w:bCs/>
    </w:rPr>
  </w:style>
  <w:style w:type="character" w:styleId="ad">
    <w:name w:val="Strong"/>
    <w:autoRedefine/>
    <w:uiPriority w:val="22"/>
    <w:qFormat/>
    <w:rPr>
      <w:b/>
      <w:bCs/>
    </w:rPr>
  </w:style>
  <w:style w:type="character" w:styleId="ae">
    <w:name w:val="page number"/>
    <w:autoRedefine/>
    <w:qFormat/>
  </w:style>
  <w:style w:type="character" w:styleId="af">
    <w:name w:val="annotation reference"/>
    <w:basedOn w:val="a0"/>
    <w:uiPriority w:val="99"/>
    <w:semiHidden/>
    <w:unhideWhenUsed/>
    <w:rPr>
      <w:sz w:val="21"/>
      <w:szCs w:val="21"/>
    </w:rPr>
  </w:style>
  <w:style w:type="character" w:styleId="af0">
    <w:name w:val="Placeholder Text"/>
    <w:basedOn w:val="a0"/>
    <w:uiPriority w:val="99"/>
    <w:semiHidden/>
    <w:rPr>
      <w:color w:val="808080"/>
    </w:rPr>
  </w:style>
  <w:style w:type="character" w:customStyle="1" w:styleId="aa">
    <w:name w:val="页眉 字符"/>
    <w:basedOn w:val="a0"/>
    <w:link w:val="a9"/>
    <w:rPr>
      <w:rFonts w:ascii="等线" w:eastAsia="等线" w:hAnsi="等线" w:cs="Times New Roman"/>
      <w:sz w:val="18"/>
      <w:szCs w:val="18"/>
    </w:rPr>
  </w:style>
  <w:style w:type="character" w:customStyle="1" w:styleId="a6">
    <w:name w:val="批注框文本 字符"/>
    <w:basedOn w:val="a0"/>
    <w:link w:val="a5"/>
    <w:autoRedefine/>
    <w:uiPriority w:val="99"/>
    <w:semiHidden/>
    <w:qFormat/>
    <w:rPr>
      <w:rFonts w:ascii="等线" w:eastAsia="等线" w:hAnsi="等线" w:cs="Times New Roman"/>
      <w:sz w:val="18"/>
      <w:szCs w:val="18"/>
    </w:rPr>
  </w:style>
  <w:style w:type="character" w:customStyle="1" w:styleId="a8">
    <w:name w:val="页脚 字符"/>
    <w:basedOn w:val="a0"/>
    <w:link w:val="a7"/>
    <w:autoRedefine/>
    <w:uiPriority w:val="99"/>
    <w:qFormat/>
    <w:rPr>
      <w:rFonts w:ascii="等线" w:eastAsia="等线" w:hAnsi="等线" w:cs="Times New Roman"/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rPr>
      <w:rFonts w:ascii="Times New Roman" w:eastAsia="宋体" w:hAnsi="Times New Roman" w:cs="Times New Roman"/>
      <w:color w:val="000000" w:themeColor="text1"/>
      <w:kern w:val="2"/>
      <w:sz w:val="21"/>
      <w:szCs w:val="21"/>
    </w:rPr>
  </w:style>
  <w:style w:type="character" w:customStyle="1" w:styleId="ac">
    <w:name w:val="批注主题 字符"/>
    <w:basedOn w:val="a4"/>
    <w:link w:val="ab"/>
    <w:uiPriority w:val="99"/>
    <w:semiHidden/>
    <w:rPr>
      <w:rFonts w:ascii="Times New Roman" w:eastAsia="宋体" w:hAnsi="Times New Roman" w:cs="Times New Roman"/>
      <w:b/>
      <w:bCs/>
      <w:color w:val="000000" w:themeColor="text1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Microsoft_Visio_2003-2010___3.vsd"/><Relationship Id="rId18" Type="http://schemas.openxmlformats.org/officeDocument/2006/relationships/image" Target="media/image7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oleObject" Target="embeddings/Microsoft_Visio_2003-2010___7.vsd"/><Relationship Id="rId7" Type="http://schemas.openxmlformats.org/officeDocument/2006/relationships/oleObject" Target="embeddings/Microsoft_Visio_2003-2010___.vsd"/><Relationship Id="rId12" Type="http://schemas.openxmlformats.org/officeDocument/2006/relationships/image" Target="media/image4.emf"/><Relationship Id="rId17" Type="http://schemas.openxmlformats.org/officeDocument/2006/relationships/oleObject" Target="embeddings/Microsoft_Visio_2003-2010___5.vsd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embeddings/Microsoft_Visio_2003-2010___2.vsd"/><Relationship Id="rId24" Type="http://schemas.openxmlformats.org/officeDocument/2006/relationships/image" Target="media/image10.jpeg"/><Relationship Id="rId5" Type="http://schemas.openxmlformats.org/officeDocument/2006/relationships/endnotes" Target="endnotes.xml"/><Relationship Id="rId15" Type="http://schemas.openxmlformats.org/officeDocument/2006/relationships/oleObject" Target="embeddings/Microsoft_Visio_2003-2010___4.vsd"/><Relationship Id="rId23" Type="http://schemas.openxmlformats.org/officeDocument/2006/relationships/oleObject" Target="embeddings/Microsoft_Visio_2003-2010___8.vsd"/><Relationship Id="rId10" Type="http://schemas.openxmlformats.org/officeDocument/2006/relationships/image" Target="media/image3.emf"/><Relationship Id="rId19" Type="http://schemas.openxmlformats.org/officeDocument/2006/relationships/oleObject" Target="embeddings/Microsoft_Visio_2003-2010___6.vsd"/><Relationship Id="rId4" Type="http://schemas.openxmlformats.org/officeDocument/2006/relationships/footnotes" Target="footnotes.xml"/><Relationship Id="rId9" Type="http://schemas.openxmlformats.org/officeDocument/2006/relationships/oleObject" Target="embeddings/Microsoft_Visio_2003-2010___1.vsd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1691</Words>
  <Characters>9639</Characters>
  <Application>Microsoft Office Word</Application>
  <DocSecurity>0</DocSecurity>
  <Lines>80</Lines>
  <Paragraphs>22</Paragraphs>
  <ScaleCrop>false</ScaleCrop>
  <Company>微软中国</Company>
  <LinksUpToDate>false</LinksUpToDate>
  <CharactersWithSpaces>11308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77</cp:revision>
  <dcterms:created xsi:type="dcterms:W3CDTF">2024-03-29T09:21:00Z</dcterms:created>
  <dcterms:modified xsi:type="dcterms:W3CDTF">2024-06-14T08:59:00Z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B28A2F42872F41EDA7A7B0BCBBDF482B_12</vt:lpwstr>
  </property>
</Properties>
</file>