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0EAA6" w14:textId="77777777" w:rsidR="006D6DEA" w:rsidRDefault="00772A90">
      <w:pPr>
        <w:keepNext/>
        <w:widowControl/>
        <w:spacing w:after="60"/>
        <w:jc w:val="center"/>
        <w:rPr>
          <w:rFonts w:eastAsia="黑体"/>
          <w:sz w:val="32"/>
        </w:rPr>
      </w:pPr>
      <w:r>
        <w:rPr>
          <w:rFonts w:eastAsia="黑体"/>
          <w:b/>
          <w:sz w:val="32"/>
          <w:szCs w:val="36"/>
        </w:rPr>
        <w:t>聚合物医用光纤</w:t>
      </w:r>
      <w:r>
        <w:rPr>
          <w:rFonts w:eastAsia="黑体" w:hint="eastAsia"/>
          <w:b/>
          <w:sz w:val="32"/>
          <w:szCs w:val="36"/>
        </w:rPr>
        <w:t>的</w:t>
      </w:r>
      <w:r>
        <w:rPr>
          <w:rFonts w:eastAsia="黑体"/>
          <w:b/>
          <w:sz w:val="32"/>
          <w:szCs w:val="36"/>
        </w:rPr>
        <w:t>发展现状与趋势</w:t>
      </w:r>
    </w:p>
    <w:p w14:paraId="5556BCAB" w14:textId="2BB3650C" w:rsidR="006D6DEA" w:rsidRDefault="00772A90">
      <w:pPr>
        <w:keepNext/>
        <w:widowControl/>
        <w:spacing w:after="40"/>
        <w:jc w:val="center"/>
        <w:rPr>
          <w:rFonts w:eastAsia="楷体_GB2312"/>
          <w:sz w:val="24"/>
        </w:rPr>
      </w:pPr>
      <w:r>
        <w:rPr>
          <w:rFonts w:eastAsia="楷体_GB2312"/>
          <w:sz w:val="24"/>
          <w:szCs w:val="24"/>
        </w:rPr>
        <w:t>苑立波</w:t>
      </w:r>
      <w:r>
        <w:rPr>
          <w:rFonts w:eastAsia="楷体_GB2312"/>
          <w:sz w:val="24"/>
          <w:szCs w:val="24"/>
          <w:vertAlign w:val="superscript"/>
        </w:rPr>
        <w:t>1</w:t>
      </w:r>
      <w:r w:rsidR="00A161DB" w:rsidRPr="00A33614">
        <w:rPr>
          <w:b/>
          <w:sz w:val="24"/>
          <w:szCs w:val="24"/>
          <w:vertAlign w:val="superscript"/>
        </w:rPr>
        <w:t>†</w:t>
      </w:r>
      <w:r>
        <w:rPr>
          <w:rFonts w:eastAsia="楷体_GB2312" w:hint="eastAsia"/>
          <w:sz w:val="24"/>
          <w:szCs w:val="24"/>
        </w:rPr>
        <w:t>，</w:t>
      </w:r>
      <w:r>
        <w:rPr>
          <w:rFonts w:eastAsia="楷体_GB2312"/>
          <w:sz w:val="24"/>
          <w:szCs w:val="24"/>
        </w:rPr>
        <w:t>任侯柏</w:t>
      </w:r>
      <w:r>
        <w:rPr>
          <w:rFonts w:eastAsia="楷体_GB2312"/>
          <w:sz w:val="24"/>
          <w:szCs w:val="24"/>
          <w:vertAlign w:val="superscript"/>
        </w:rPr>
        <w:t>1</w:t>
      </w:r>
      <w:r w:rsidR="00A161DB">
        <w:rPr>
          <w:b/>
          <w:sz w:val="24"/>
          <w:szCs w:val="24"/>
          <w:vertAlign w:val="superscript"/>
        </w:rPr>
        <w:t>†</w:t>
      </w:r>
      <w:r>
        <w:rPr>
          <w:rFonts w:eastAsia="楷体_GB2312"/>
          <w:sz w:val="24"/>
          <w:szCs w:val="24"/>
        </w:rPr>
        <w:t>，陈意坚</w:t>
      </w:r>
      <w:r>
        <w:rPr>
          <w:rFonts w:eastAsia="楷体_GB2312"/>
          <w:sz w:val="24"/>
          <w:szCs w:val="24"/>
          <w:vertAlign w:val="superscript"/>
        </w:rPr>
        <w:t>2</w:t>
      </w:r>
    </w:p>
    <w:p w14:paraId="5FA7CA86" w14:textId="77777777" w:rsidR="00140B68" w:rsidRDefault="00772A90">
      <w:pPr>
        <w:keepNext/>
        <w:widowControl/>
        <w:spacing w:after="80"/>
        <w:jc w:val="center"/>
        <w:rPr>
          <w:sz w:val="15"/>
          <w:szCs w:val="15"/>
        </w:rPr>
      </w:pPr>
      <w:r>
        <w:rPr>
          <w:sz w:val="15"/>
          <w:szCs w:val="15"/>
        </w:rPr>
        <w:t>（</w:t>
      </w:r>
      <w:r>
        <w:rPr>
          <w:sz w:val="15"/>
          <w:szCs w:val="15"/>
        </w:rPr>
        <w:t xml:space="preserve">1 </w:t>
      </w:r>
      <w:r>
        <w:rPr>
          <w:sz w:val="15"/>
          <w:szCs w:val="15"/>
        </w:rPr>
        <w:t>桂林电子科技大学</w:t>
      </w:r>
      <w:r>
        <w:rPr>
          <w:sz w:val="15"/>
          <w:szCs w:val="15"/>
        </w:rPr>
        <w:t xml:space="preserve"> </w:t>
      </w:r>
      <w:r>
        <w:rPr>
          <w:sz w:val="15"/>
          <w:szCs w:val="15"/>
        </w:rPr>
        <w:t>光电工程学院，广西</w:t>
      </w:r>
      <w:r>
        <w:rPr>
          <w:sz w:val="15"/>
          <w:szCs w:val="15"/>
        </w:rPr>
        <w:t xml:space="preserve"> </w:t>
      </w:r>
      <w:r>
        <w:rPr>
          <w:sz w:val="15"/>
          <w:szCs w:val="15"/>
        </w:rPr>
        <w:t>桂林</w:t>
      </w:r>
      <w:r>
        <w:rPr>
          <w:sz w:val="15"/>
          <w:szCs w:val="15"/>
        </w:rPr>
        <w:t xml:space="preserve"> 541004</w:t>
      </w:r>
      <w:r>
        <w:rPr>
          <w:sz w:val="15"/>
          <w:szCs w:val="15"/>
        </w:rPr>
        <w:t>；</w:t>
      </w:r>
    </w:p>
    <w:p w14:paraId="7B90C834" w14:textId="3BE51D74" w:rsidR="006D6DEA" w:rsidRDefault="00772A90">
      <w:pPr>
        <w:keepNext/>
        <w:widowControl/>
        <w:spacing w:after="80"/>
        <w:jc w:val="center"/>
        <w:rPr>
          <w:sz w:val="15"/>
        </w:rPr>
      </w:pPr>
      <w:r>
        <w:rPr>
          <w:sz w:val="15"/>
          <w:szCs w:val="15"/>
        </w:rPr>
        <w:t xml:space="preserve">2 </w:t>
      </w:r>
      <w:r>
        <w:rPr>
          <w:sz w:val="15"/>
          <w:szCs w:val="15"/>
        </w:rPr>
        <w:t>哈尔滨工程大学</w:t>
      </w:r>
      <w:r>
        <w:rPr>
          <w:sz w:val="15"/>
          <w:szCs w:val="15"/>
        </w:rPr>
        <w:t xml:space="preserve"> </w:t>
      </w:r>
      <w:r>
        <w:rPr>
          <w:sz w:val="15"/>
          <w:szCs w:val="15"/>
        </w:rPr>
        <w:t>纤维集成光学教育部重点实验室，黑龙江</w:t>
      </w:r>
      <w:r>
        <w:rPr>
          <w:sz w:val="15"/>
          <w:szCs w:val="15"/>
        </w:rPr>
        <w:t xml:space="preserve"> </w:t>
      </w:r>
      <w:r>
        <w:rPr>
          <w:sz w:val="15"/>
          <w:szCs w:val="15"/>
        </w:rPr>
        <w:t>哈尔滨</w:t>
      </w:r>
      <w:r>
        <w:rPr>
          <w:sz w:val="15"/>
          <w:szCs w:val="15"/>
        </w:rPr>
        <w:t xml:space="preserve"> 150001</w:t>
      </w:r>
      <w:r>
        <w:rPr>
          <w:sz w:val="15"/>
          <w:szCs w:val="15"/>
        </w:rPr>
        <w:t>）</w:t>
      </w:r>
    </w:p>
    <w:p w14:paraId="7C5D7C28" w14:textId="4F7C5AF6" w:rsidR="006D6DEA" w:rsidRDefault="00772A90">
      <w:pPr>
        <w:widowControl/>
        <w:rPr>
          <w:rFonts w:eastAsia="楷体_GB2312"/>
          <w:sz w:val="18"/>
        </w:rPr>
      </w:pPr>
      <w:r>
        <w:rPr>
          <w:b/>
          <w:sz w:val="18"/>
        </w:rPr>
        <w:t>摘要：</w:t>
      </w:r>
      <w:r>
        <w:rPr>
          <w:rFonts w:ascii="楷体_GB2312" w:eastAsia="楷体_GB2312" w:hAnsi="Segoe UI" w:cs="Segoe UI" w:hint="eastAsia"/>
          <w:color w:val="0F1115"/>
          <w:sz w:val="19"/>
          <w:shd w:val="clear" w:color="auto" w:fill="FFFFFF"/>
        </w:rPr>
        <w:t>聚合物医用光纤在体表形变监测、生化检测及短期植入诊疗中具有应用前景，但</w:t>
      </w:r>
      <w:r w:rsidR="006F7841">
        <w:rPr>
          <w:rFonts w:ascii="楷体_GB2312" w:eastAsia="楷体_GB2312" w:hAnsi="Segoe UI" w:cs="Segoe UI" w:hint="eastAsia"/>
          <w:color w:val="0F1115"/>
          <w:sz w:val="19"/>
          <w:shd w:val="clear" w:color="auto" w:fill="FFFFFF"/>
        </w:rPr>
        <w:t>光纤连接</w:t>
      </w:r>
      <w:r>
        <w:rPr>
          <w:rFonts w:ascii="楷体_GB2312" w:eastAsia="楷体_GB2312" w:hAnsi="Segoe UI" w:cs="Segoe UI" w:hint="eastAsia"/>
          <w:color w:val="0F1115"/>
          <w:sz w:val="19"/>
          <w:shd w:val="clear" w:color="auto" w:fill="FFFFFF"/>
        </w:rPr>
        <w:t>段松弛、吸水溶胀和界面老化等本征特性引入的损耗、迟滞与漂移制约了其临床转化。本文从材料体系、波导结构、光学响应机制和医学验证四个</w:t>
      </w:r>
      <w:r w:rsidR="006F7841">
        <w:rPr>
          <w:rFonts w:ascii="楷体_GB2312" w:eastAsia="楷体_GB2312" w:hAnsi="Segoe UI" w:cs="Segoe UI" w:hint="eastAsia"/>
          <w:color w:val="0F1115"/>
          <w:sz w:val="19"/>
          <w:shd w:val="clear" w:color="auto" w:fill="FFFFFF"/>
        </w:rPr>
        <w:t>方</w:t>
      </w:r>
      <w:r>
        <w:rPr>
          <w:rFonts w:ascii="楷体_GB2312" w:eastAsia="楷体_GB2312" w:hAnsi="Segoe UI" w:cs="Segoe UI" w:hint="eastAsia"/>
          <w:color w:val="0F1115"/>
          <w:sz w:val="19"/>
          <w:shd w:val="clear" w:color="auto" w:fill="FFFFFF"/>
        </w:rPr>
        <w:t>面，梳理了传统聚合物光纤、柔性波导、光纤光栅、生化传感器及可降解光纤的研究进展，分析了柔性导光不确定性、湿态干扰、交叉敏感及界面失效等共性瓶颈，讨论了人工智能、三维打印、多材料集成及标准化评价等发展方向</w:t>
      </w:r>
      <w:r w:rsidR="006F7841">
        <w:rPr>
          <w:rFonts w:ascii="楷体_GB2312" w:eastAsia="楷体_GB2312" w:hAnsi="Segoe UI" w:cs="Segoe UI" w:hint="eastAsia"/>
          <w:color w:val="0F1115"/>
          <w:sz w:val="19"/>
          <w:shd w:val="clear" w:color="auto" w:fill="FFFFFF"/>
        </w:rPr>
        <w:t>与趋势</w:t>
      </w:r>
      <w:r>
        <w:rPr>
          <w:rFonts w:ascii="楷体_GB2312" w:eastAsia="楷体_GB2312" w:hAnsi="Segoe UI" w:cs="Segoe UI" w:hint="eastAsia"/>
          <w:color w:val="0F1115"/>
          <w:sz w:val="19"/>
          <w:shd w:val="clear" w:color="auto" w:fill="FFFFFF"/>
        </w:rPr>
        <w:t>。该领域</w:t>
      </w:r>
      <w:r w:rsidR="000C62DE">
        <w:rPr>
          <w:rFonts w:ascii="楷体_GB2312" w:eastAsia="楷体_GB2312" w:hAnsi="Segoe UI" w:cs="Segoe UI" w:hint="eastAsia"/>
          <w:color w:val="0F1115"/>
          <w:sz w:val="19"/>
          <w:shd w:val="clear" w:color="auto" w:fill="FFFFFF"/>
        </w:rPr>
        <w:t>的</w:t>
      </w:r>
      <w:r>
        <w:rPr>
          <w:rFonts w:ascii="楷体_GB2312" w:eastAsia="楷体_GB2312" w:hAnsi="Segoe UI" w:cs="Segoe UI" w:hint="eastAsia"/>
          <w:color w:val="0F1115"/>
          <w:sz w:val="19"/>
          <w:shd w:val="clear" w:color="auto" w:fill="FFFFFF"/>
        </w:rPr>
        <w:t>研究</w:t>
      </w:r>
      <w:r w:rsidR="006F7841">
        <w:rPr>
          <w:rFonts w:ascii="楷体_GB2312" w:eastAsia="楷体_GB2312" w:hAnsi="Segoe UI" w:cs="Segoe UI" w:hint="eastAsia"/>
          <w:color w:val="0F1115"/>
          <w:sz w:val="19"/>
          <w:shd w:val="clear" w:color="auto" w:fill="FFFFFF"/>
        </w:rPr>
        <w:t>表明</w:t>
      </w:r>
      <w:r w:rsidR="000C62DE">
        <w:rPr>
          <w:rFonts w:ascii="楷体_GB2312" w:eastAsia="楷体_GB2312" w:hAnsi="Segoe UI" w:cs="Segoe UI" w:hint="eastAsia"/>
          <w:color w:val="0F1115"/>
          <w:sz w:val="19"/>
          <w:shd w:val="clear" w:color="auto" w:fill="FFFFFF"/>
        </w:rPr>
        <w:t>，关键点</w:t>
      </w:r>
      <w:r>
        <w:rPr>
          <w:rFonts w:ascii="楷体_GB2312" w:eastAsia="楷体_GB2312" w:hAnsi="Segoe UI" w:cs="Segoe UI" w:hint="eastAsia"/>
          <w:color w:val="0F1115"/>
          <w:sz w:val="19"/>
          <w:shd w:val="clear" w:color="auto" w:fill="FFFFFF"/>
        </w:rPr>
        <w:t>正从灵敏度提升转向使用期内的</w:t>
      </w:r>
      <w:r w:rsidR="006F7841">
        <w:rPr>
          <w:rFonts w:ascii="楷体_GB2312" w:eastAsia="楷体_GB2312" w:hAnsi="Segoe UI" w:cs="Segoe UI" w:hint="eastAsia"/>
          <w:color w:val="0F1115"/>
          <w:sz w:val="19"/>
          <w:shd w:val="clear" w:color="auto" w:fill="FFFFFF"/>
        </w:rPr>
        <w:t>信息读取</w:t>
      </w:r>
      <w:r>
        <w:rPr>
          <w:rFonts w:ascii="楷体_GB2312" w:eastAsia="楷体_GB2312" w:hAnsi="Segoe UI" w:cs="Segoe UI" w:hint="eastAsia"/>
          <w:color w:val="0F1115"/>
          <w:sz w:val="19"/>
          <w:shd w:val="clear" w:color="auto" w:fill="FFFFFF"/>
        </w:rPr>
        <w:t>稳定与</w:t>
      </w:r>
      <w:r w:rsidR="000C62DE">
        <w:rPr>
          <w:rFonts w:ascii="楷体_GB2312" w:eastAsia="楷体_GB2312" w:hAnsi="Segoe UI" w:cs="Segoe UI" w:hint="eastAsia"/>
          <w:color w:val="0F1115"/>
          <w:sz w:val="19"/>
          <w:shd w:val="clear" w:color="auto" w:fill="FFFFFF"/>
        </w:rPr>
        <w:t>临床对照</w:t>
      </w:r>
      <w:r>
        <w:rPr>
          <w:rFonts w:ascii="楷体_GB2312" w:eastAsia="楷体_GB2312" w:hAnsi="Segoe UI" w:cs="Segoe UI" w:hint="eastAsia"/>
          <w:color w:val="0F1115"/>
          <w:sz w:val="19"/>
          <w:shd w:val="clear" w:color="auto" w:fill="FFFFFF"/>
        </w:rPr>
        <w:t>，系统级验证是下一阶段的核心</w:t>
      </w:r>
      <w:r>
        <w:rPr>
          <w:rFonts w:ascii="楷体_GB2312" w:eastAsia="楷体_GB2312" w:hint="eastAsia"/>
          <w:sz w:val="16"/>
        </w:rPr>
        <w:t>。</w:t>
      </w:r>
    </w:p>
    <w:p w14:paraId="297101BE" w14:textId="77777777" w:rsidR="006D6DEA" w:rsidRDefault="00772A90">
      <w:pPr>
        <w:widowControl/>
        <w:rPr>
          <w:rFonts w:eastAsia="楷体_GB2312"/>
          <w:sz w:val="18"/>
        </w:rPr>
      </w:pPr>
      <w:r>
        <w:rPr>
          <w:b/>
          <w:sz w:val="18"/>
        </w:rPr>
        <w:t>关键词：</w:t>
      </w:r>
      <w:r>
        <w:rPr>
          <w:rFonts w:eastAsia="楷体_GB2312"/>
          <w:sz w:val="18"/>
        </w:rPr>
        <w:t>聚合物光纤；生物医学传感；光纤布拉格光栅；可穿戴传感；生化检测；可降解</w:t>
      </w:r>
      <w:r>
        <w:rPr>
          <w:rFonts w:eastAsia="楷体_GB2312" w:hint="eastAsia"/>
          <w:sz w:val="18"/>
        </w:rPr>
        <w:t>聚合物</w:t>
      </w:r>
      <w:r>
        <w:rPr>
          <w:rFonts w:eastAsia="楷体_GB2312"/>
          <w:sz w:val="18"/>
        </w:rPr>
        <w:t>光</w:t>
      </w:r>
      <w:r>
        <w:rPr>
          <w:rFonts w:eastAsia="楷体_GB2312" w:hint="eastAsia"/>
          <w:sz w:val="18"/>
        </w:rPr>
        <w:t>纤</w:t>
      </w:r>
    </w:p>
    <w:p w14:paraId="6F5CAF8F" w14:textId="77777777" w:rsidR="006D6DEA" w:rsidRDefault="006D6DEA">
      <w:pPr>
        <w:widowControl/>
        <w:rPr>
          <w:rFonts w:eastAsia="楷体_GB2312"/>
          <w:sz w:val="18"/>
        </w:rPr>
      </w:pPr>
    </w:p>
    <w:p w14:paraId="2924DACA" w14:textId="555B5D69" w:rsidR="00140B68" w:rsidRPr="00AF5797" w:rsidRDefault="00772A90" w:rsidP="00AF5797">
      <w:pPr>
        <w:widowControl/>
        <w:spacing w:line="400" w:lineRule="exact"/>
        <w:jc w:val="center"/>
        <w:rPr>
          <w:rStyle w:val="ae"/>
          <w:rFonts w:ascii="Segoe UI" w:hAnsi="Segoe UI" w:cs="Segoe UI" w:hint="eastAsia"/>
          <w:color w:val="0F1115"/>
          <w:sz w:val="29"/>
          <w:shd w:val="clear" w:color="auto" w:fill="FFFFFF"/>
        </w:rPr>
      </w:pPr>
      <w:r>
        <w:rPr>
          <w:rStyle w:val="ae"/>
          <w:rFonts w:ascii="Segoe UI" w:hAnsi="Segoe UI" w:cs="Segoe UI"/>
          <w:color w:val="0F1115"/>
          <w:sz w:val="29"/>
          <w:shd w:val="clear" w:color="auto" w:fill="FFFFFF"/>
        </w:rPr>
        <w:t>Current Status and Trends of Polymer Optical Fibers for Medical Applications</w:t>
      </w:r>
      <w:bookmarkStart w:id="0" w:name="_GoBack"/>
      <w:bookmarkEnd w:id="0"/>
    </w:p>
    <w:p w14:paraId="521D4682" w14:textId="4ADA5028" w:rsidR="00140B68" w:rsidRPr="00140B68" w:rsidRDefault="00140B68" w:rsidP="00140B68">
      <w:pPr>
        <w:pStyle w:val="ds-markdown-paragraph"/>
        <w:shd w:val="clear" w:color="auto" w:fill="FFFFFF"/>
        <w:spacing w:before="0" w:beforeAutospacing="0" w:after="0" w:afterAutospacing="0" w:line="300" w:lineRule="exact"/>
        <w:jc w:val="center"/>
        <w:rPr>
          <w:rFonts w:ascii="Segoe UI" w:hAnsi="Segoe UI" w:cs="Segoe UI"/>
          <w:b/>
          <w:color w:val="0F1115"/>
        </w:rPr>
      </w:pPr>
      <w:r w:rsidRPr="00140B68">
        <w:rPr>
          <w:rStyle w:val="ae"/>
          <w:rFonts w:ascii="Segoe UI" w:hAnsi="Segoe UI" w:cs="Segoe UI"/>
          <w:b w:val="0"/>
          <w:color w:val="0F1115"/>
        </w:rPr>
        <w:t>Yuan Libo</w:t>
      </w:r>
      <w:r w:rsidR="00445FA1">
        <w:rPr>
          <w:rFonts w:eastAsia="楷体_GB2312"/>
          <w:vertAlign w:val="superscript"/>
        </w:rPr>
        <w:t>1</w:t>
      </w:r>
      <w:r w:rsidR="00445FA1" w:rsidRPr="00A33614">
        <w:rPr>
          <w:rFonts w:ascii="Times New Roman" w:hAnsi="Times New Roman"/>
          <w:b/>
          <w:vertAlign w:val="superscript"/>
        </w:rPr>
        <w:t>†</w:t>
      </w:r>
      <w:r w:rsidRPr="00140B68">
        <w:rPr>
          <w:rStyle w:val="af"/>
          <w:rFonts w:ascii="Segoe UI" w:hAnsi="Segoe UI" w:cs="Segoe UI"/>
          <w:bCs/>
          <w:i w:val="0"/>
          <w:color w:val="0F1115"/>
        </w:rPr>
        <w:t>, Ren Houbai</w:t>
      </w:r>
      <w:r w:rsidR="00445FA1">
        <w:rPr>
          <w:rFonts w:eastAsia="楷体_GB2312"/>
          <w:vertAlign w:val="superscript"/>
        </w:rPr>
        <w:t>1</w:t>
      </w:r>
      <w:r w:rsidR="00445FA1" w:rsidRPr="00A33614">
        <w:rPr>
          <w:rFonts w:ascii="Times New Roman" w:hAnsi="Times New Roman"/>
          <w:b/>
          <w:vertAlign w:val="superscript"/>
        </w:rPr>
        <w:t>†</w:t>
      </w:r>
      <w:r w:rsidRPr="00140B68">
        <w:rPr>
          <w:rStyle w:val="ae"/>
          <w:rFonts w:ascii="Segoe UI" w:hAnsi="Segoe UI" w:cs="Segoe UI"/>
          <w:b w:val="0"/>
          <w:color w:val="0F1115"/>
        </w:rPr>
        <w:t>, Chen Yijian²</w:t>
      </w:r>
    </w:p>
    <w:p w14:paraId="5B84C74E" w14:textId="43AA62C9" w:rsidR="00140B68" w:rsidRPr="00140B68" w:rsidRDefault="00140B68" w:rsidP="00140B68">
      <w:pPr>
        <w:pStyle w:val="ds-markdown-paragraph"/>
        <w:shd w:val="clear" w:color="auto" w:fill="FFFFFF"/>
        <w:spacing w:before="0" w:beforeAutospacing="0" w:after="0" w:afterAutospacing="0" w:line="300" w:lineRule="exact"/>
        <w:jc w:val="center"/>
        <w:rPr>
          <w:rStyle w:val="ae"/>
          <w:rFonts w:ascii="Segoe UI" w:hAnsi="Segoe UI" w:cs="Segoe UI"/>
          <w:b w:val="0"/>
          <w:bCs w:val="0"/>
          <w:color w:val="0F1115"/>
        </w:rPr>
      </w:pPr>
      <w:r w:rsidRPr="00140B68">
        <w:rPr>
          <w:rStyle w:val="af"/>
          <w:rFonts w:ascii="Segoe UI" w:hAnsi="Segoe UI" w:cs="Segoe UI"/>
          <w:i w:val="0"/>
          <w:color w:val="0F1115"/>
        </w:rPr>
        <w:t>(¹ School of Optoelectronic Engineering, Guilin University of Electronic Technology, Guilin 541004, Guangxi, China;</w:t>
      </w:r>
      <w:r w:rsidRPr="00140B68">
        <w:rPr>
          <w:rFonts w:ascii="Segoe UI" w:hAnsi="Segoe UI" w:cs="Segoe UI"/>
          <w:color w:val="0F1115"/>
        </w:rPr>
        <w:br/>
      </w:r>
      <w:r w:rsidRPr="00140B68">
        <w:rPr>
          <w:rStyle w:val="af"/>
          <w:rFonts w:ascii="Segoe UI" w:hAnsi="Segoe UI" w:cs="Segoe UI"/>
          <w:i w:val="0"/>
          <w:color w:val="0F1115"/>
        </w:rPr>
        <w:t>² Key Laboratory of In-Fiber Integrated Optics, Ministry of Education, Harbin Engineering University, Harbin 150001, Heilongjiang, China)</w:t>
      </w:r>
    </w:p>
    <w:p w14:paraId="51DE2872" w14:textId="77777777" w:rsidR="000C62DE" w:rsidRDefault="000C62DE">
      <w:pPr>
        <w:widowControl/>
        <w:spacing w:line="240" w:lineRule="exact"/>
        <w:rPr>
          <w:b/>
          <w:bCs/>
          <w:sz w:val="18"/>
        </w:rPr>
      </w:pPr>
    </w:p>
    <w:p w14:paraId="6BE16994" w14:textId="2E8679A8" w:rsidR="000C62DE" w:rsidRPr="000C62DE" w:rsidRDefault="000C62DE">
      <w:pPr>
        <w:widowControl/>
        <w:spacing w:line="240" w:lineRule="exact"/>
        <w:rPr>
          <w:sz w:val="18"/>
        </w:rPr>
      </w:pPr>
      <w:r w:rsidRPr="000C62DE">
        <w:rPr>
          <w:b/>
          <w:bCs/>
          <w:sz w:val="18"/>
        </w:rPr>
        <w:t>Abstract:</w:t>
      </w:r>
      <w:r w:rsidRPr="000C62DE">
        <w:rPr>
          <w:sz w:val="18"/>
        </w:rPr>
        <w:t xml:space="preserve"> Polymer medical optical fibers show promising applications in body surface deformation monitoring, biochemical detection, and short-term implantable diagnosis and treatment. However, intrinsic characteristics such as relaxation of fiber connection segments, water absorption and swelling, and interface aging introduce loss, hysteresis, and drift, which constrain their clinical translation. This paper reviews the research progress of conventional polymer optical fibers, flexible waveguides, fiber Bragg gratings, biochemical sensors, and biodegradable fibers from four perspectives: material systems, waveguide structures, optical response mechanisms, and medical validation. It analyzes common bottlenecks including uncertainty in flexible light guidance, wet-state interference, cross-sensitivity, and interface failure, and discusses development directions and trends such as artificial intelligence, three-dimensional printing, multi-material integration, and standardized evaluation. Research in this field indicates that the focus is shifting from sensitivity improvement to stable information readout during service life and clinical comparison, with system-level verification as the core of the next stage.</w:t>
      </w:r>
    </w:p>
    <w:p w14:paraId="2E5CD1D9" w14:textId="77777777" w:rsidR="006D6DEA" w:rsidRDefault="00772A90">
      <w:pPr>
        <w:widowControl/>
        <w:spacing w:line="240" w:lineRule="exact"/>
        <w:rPr>
          <w:sz w:val="18"/>
        </w:rPr>
      </w:pPr>
      <w:r>
        <w:rPr>
          <w:b/>
          <w:bCs/>
          <w:sz w:val="18"/>
        </w:rPr>
        <w:t xml:space="preserve">Keywords: </w:t>
      </w:r>
      <w:r>
        <w:rPr>
          <w:sz w:val="18"/>
        </w:rPr>
        <w:t>polymer optical fiber; biomedical sensing; fiber Bragg grating; wearable sensing; biochemical detection; degradable polymer optical fiber</w:t>
      </w:r>
      <w:r>
        <w:rPr>
          <w:rFonts w:hint="eastAsia"/>
          <w:sz w:val="18"/>
        </w:rPr>
        <w:t>.</w:t>
      </w:r>
    </w:p>
    <w:p w14:paraId="39EB436E" w14:textId="77777777" w:rsidR="006D6DEA" w:rsidRDefault="006D6DEA">
      <w:pPr>
        <w:widowControl/>
        <w:spacing w:line="240" w:lineRule="exact"/>
        <w:rPr>
          <w:sz w:val="18"/>
        </w:rPr>
      </w:pPr>
    </w:p>
    <w:p w14:paraId="1186B0E3" w14:textId="77777777" w:rsidR="006D6DEA" w:rsidRDefault="00772A90">
      <w:pPr>
        <w:keepNext/>
        <w:keepLines/>
        <w:widowControl/>
        <w:spacing w:before="120" w:after="60"/>
        <w:jc w:val="left"/>
        <w:rPr>
          <w:sz w:val="24"/>
        </w:rPr>
      </w:pPr>
      <w:r>
        <w:rPr>
          <w:rFonts w:eastAsia="黑体"/>
          <w:b/>
          <w:sz w:val="24"/>
          <w:szCs w:val="24"/>
        </w:rPr>
        <w:t xml:space="preserve">0 </w:t>
      </w:r>
      <w:r>
        <w:rPr>
          <w:rFonts w:eastAsia="黑体"/>
          <w:b/>
          <w:sz w:val="24"/>
          <w:szCs w:val="24"/>
        </w:rPr>
        <w:t>引言</w:t>
      </w:r>
    </w:p>
    <w:p w14:paraId="773CAF0E" w14:textId="51BE3048" w:rsidR="006D6DEA" w:rsidRDefault="00772A90">
      <w:pPr>
        <w:widowControl/>
        <w:ind w:firstLine="420"/>
        <w:rPr>
          <w:rFonts w:ascii="Segoe UI" w:hAnsi="Segoe UI" w:cs="Segoe UI"/>
          <w:color w:val="0F1115"/>
          <w:shd w:val="clear" w:color="auto" w:fill="FFFFFF"/>
        </w:rPr>
      </w:pPr>
      <w:r>
        <w:rPr>
          <w:rFonts w:ascii="Segoe UI" w:hAnsi="Segoe UI" w:cs="Segoe UI"/>
          <w:color w:val="0F1115"/>
          <w:shd w:val="clear" w:color="auto" w:fill="FFFFFF"/>
        </w:rPr>
        <w:t>医学应用场景对光纤性能的需求正发生深刻变化。</w:t>
      </w:r>
      <w:r>
        <w:t>苑婷婷等</w:t>
      </w:r>
      <w:r>
        <w:rPr>
          <w:rFonts w:hint="eastAsia"/>
        </w:rPr>
        <w:t>人</w:t>
      </w:r>
      <w:r>
        <w:rPr>
          <w:vertAlign w:val="superscript"/>
        </w:rPr>
        <w:t>[1]</w:t>
      </w:r>
      <w:r>
        <w:rPr>
          <w:rFonts w:ascii="Segoe UI" w:hAnsi="Segoe UI" w:cs="Segoe UI"/>
          <w:color w:val="0F1115"/>
          <w:shd w:val="clear" w:color="auto" w:fill="FFFFFF"/>
        </w:rPr>
        <w:t xml:space="preserve"> </w:t>
      </w:r>
      <w:r>
        <w:rPr>
          <w:rFonts w:ascii="Segoe UI" w:hAnsi="Segoe UI" w:cs="Segoe UI"/>
          <w:color w:val="0F1115"/>
          <w:shd w:val="clear" w:color="auto" w:fill="FFFFFF"/>
        </w:rPr>
        <w:t>从需求侧出发，指出临床诊断与健康监测亟需具备小型化、抗电磁干扰、可远程读取及与软组织良好贴合特性的传感单元。</w:t>
      </w:r>
      <w:r>
        <w:t>Ochoa M</w:t>
      </w:r>
      <w:r>
        <w:t>等</w:t>
      </w:r>
      <w:r>
        <w:rPr>
          <w:rFonts w:hint="eastAsia"/>
        </w:rPr>
        <w:t>人</w:t>
      </w:r>
      <w:r>
        <w:rPr>
          <w:vertAlign w:val="superscript"/>
        </w:rPr>
        <w:t>[2]</w:t>
      </w:r>
      <w:r>
        <w:rPr>
          <w:rFonts w:ascii="Segoe UI" w:hAnsi="Segoe UI" w:cs="Segoe UI"/>
          <w:color w:val="0F1115"/>
          <w:shd w:val="clear" w:color="auto" w:fill="FFFFFF"/>
        </w:rPr>
        <w:t>则进一步将近年生物医学光子传感的进展归纳为光纤传感技术、微型化探头及组织内光学接口三者的协同驱动。</w:t>
      </w:r>
      <w:r>
        <w:t>在</w:t>
      </w:r>
      <w:r>
        <w:rPr>
          <w:rFonts w:hint="eastAsia"/>
        </w:rPr>
        <w:t>此</w:t>
      </w:r>
      <w:r>
        <w:t>背景下，聚合物光纤（</w:t>
      </w:r>
      <w:r>
        <w:t>POF</w:t>
      </w:r>
      <w:r>
        <w:t>）</w:t>
      </w:r>
      <w:r>
        <w:rPr>
          <w:rFonts w:ascii="Segoe UI" w:hAnsi="Segoe UI" w:cs="Segoe UI"/>
          <w:color w:val="0F1115"/>
          <w:shd w:val="clear" w:color="auto" w:fill="FFFFFF"/>
        </w:rPr>
        <w:t>凭借其柔韧性、易耦合性及可嵌入柔性基体的优势，被</w:t>
      </w:r>
      <w:r>
        <w:rPr>
          <w:rFonts w:ascii="Segoe UI" w:hAnsi="Segoe UI" w:cs="Segoe UI"/>
          <w:color w:val="0F1115"/>
          <w:shd w:val="clear" w:color="auto" w:fill="FFFFFF"/>
        </w:rPr>
        <w:t>Leal-Junior A G</w:t>
      </w:r>
      <w:r>
        <w:rPr>
          <w:rFonts w:ascii="Segoe UI" w:hAnsi="Segoe UI" w:cs="Segoe UI"/>
          <w:color w:val="0F1115"/>
          <w:shd w:val="clear" w:color="auto" w:fill="FFFFFF"/>
        </w:rPr>
        <w:t>等</w:t>
      </w:r>
      <w:r>
        <w:rPr>
          <w:rFonts w:ascii="Segoe UI" w:hAnsi="Segoe UI" w:cs="Segoe UI" w:hint="eastAsia"/>
          <w:color w:val="0F1115"/>
          <w:shd w:val="clear" w:color="auto" w:fill="FFFFFF"/>
        </w:rPr>
        <w:t>人</w:t>
      </w:r>
      <w:r>
        <w:rPr>
          <w:rFonts w:ascii="Segoe UI" w:hAnsi="Segoe UI" w:cs="Segoe UI"/>
          <w:color w:val="0F1115"/>
          <w:shd w:val="clear" w:color="auto" w:fill="FFFFFF"/>
          <w:vertAlign w:val="superscript"/>
        </w:rPr>
        <w:t>[3]</w:t>
      </w:r>
      <w:r>
        <w:rPr>
          <w:rFonts w:ascii="Segoe UI" w:hAnsi="Segoe UI" w:cs="Segoe UI"/>
          <w:color w:val="0F1115"/>
          <w:shd w:val="clear" w:color="auto" w:fill="FFFFFF"/>
        </w:rPr>
        <w:t>列为健康监测领域的重要传感器类别。由此，医用光纤的评价维度已从单一的光传输通道拓展为连续</w:t>
      </w:r>
      <w:r w:rsidR="00B07772">
        <w:rPr>
          <w:rFonts w:ascii="Segoe UI" w:hAnsi="Segoe UI" w:cs="Segoe UI" w:hint="eastAsia"/>
          <w:color w:val="0F1115"/>
          <w:shd w:val="clear" w:color="auto" w:fill="FFFFFF"/>
        </w:rPr>
        <w:t>感测</w:t>
      </w:r>
      <w:r>
        <w:rPr>
          <w:rFonts w:ascii="Segoe UI" w:hAnsi="Segoe UI" w:cs="Segoe UI"/>
          <w:color w:val="0F1115"/>
          <w:shd w:val="clear" w:color="auto" w:fill="FFFFFF"/>
        </w:rPr>
        <w:t>单元，这一转变为聚合物光纤在分布式诊疗中的应用开辟了新的发展方向。</w:t>
      </w:r>
    </w:p>
    <w:p w14:paraId="56F93E58" w14:textId="20EA4C76" w:rsidR="00D3214A" w:rsidRPr="00AF5797" w:rsidRDefault="00772A90" w:rsidP="00AF5797">
      <w:pPr>
        <w:widowControl/>
        <w:ind w:firstLine="420"/>
        <w:rPr>
          <w:rFonts w:ascii="Segoe UI" w:hAnsi="Segoe UI" w:cs="Segoe UI" w:hint="eastAsia"/>
          <w:color w:val="0F1115"/>
          <w:shd w:val="clear" w:color="auto" w:fill="FFFFFF"/>
        </w:rPr>
      </w:pPr>
      <w:r>
        <w:t>本文将聚合物医用光纤限定为以聚合物为主要导光介质</w:t>
      </w:r>
      <w:r w:rsidR="009857D5">
        <w:rPr>
          <w:rFonts w:hint="eastAsia"/>
        </w:rPr>
        <w:t>用于</w:t>
      </w:r>
      <w:r>
        <w:t>医学传感或光递送任务的光纤和软波导。</w:t>
      </w:r>
      <w:r>
        <w:rPr>
          <w:rFonts w:hint="eastAsia"/>
        </w:rPr>
        <w:t>其中，</w:t>
      </w:r>
      <w:r>
        <w:t>塑料芯</w:t>
      </w:r>
      <w:r>
        <w:t>POF</w:t>
      </w:r>
      <w:r>
        <w:t>工艺</w:t>
      </w:r>
      <w:r w:rsidR="009857D5">
        <w:rPr>
          <w:vertAlign w:val="superscript"/>
        </w:rPr>
        <w:t>[4]</w:t>
      </w:r>
      <w:r w:rsidR="009857D5">
        <w:rPr>
          <w:rFonts w:hint="eastAsia"/>
        </w:rPr>
        <w:t>、</w:t>
      </w:r>
      <w:r>
        <w:rPr>
          <w:rFonts w:ascii="Segoe UI" w:hAnsi="Segoe UI" w:cs="Segoe UI"/>
          <w:color w:val="0F1115"/>
          <w:shd w:val="clear" w:color="auto" w:fill="FFFFFF"/>
        </w:rPr>
        <w:t>聚合物芯</w:t>
      </w:r>
      <w:r w:rsidR="00B07772">
        <w:rPr>
          <w:rFonts w:ascii="Segoe UI" w:hAnsi="Segoe UI" w:cs="Segoe UI" w:hint="eastAsia"/>
          <w:color w:val="0F1115"/>
          <w:shd w:val="clear" w:color="auto" w:fill="FFFFFF"/>
        </w:rPr>
        <w:t>以及</w:t>
      </w:r>
      <w:r>
        <w:rPr>
          <w:rFonts w:ascii="Segoe UI" w:hAnsi="Segoe UI" w:cs="Segoe UI"/>
          <w:color w:val="0F1115"/>
          <w:shd w:val="clear" w:color="auto" w:fill="FFFFFF"/>
        </w:rPr>
        <w:t>芯包层传感器</w:t>
      </w:r>
      <w:r w:rsidR="009857D5">
        <w:rPr>
          <w:vertAlign w:val="superscript"/>
        </w:rPr>
        <w:t>[5]</w:t>
      </w:r>
      <w:r>
        <w:rPr>
          <w:rFonts w:ascii="Segoe UI" w:hAnsi="Segoe UI" w:cs="Segoe UI"/>
          <w:color w:val="0F1115"/>
          <w:shd w:val="clear" w:color="auto" w:fill="FFFFFF"/>
        </w:rPr>
        <w:t>，</w:t>
      </w:r>
      <w:r w:rsidR="00B07772">
        <w:rPr>
          <w:rFonts w:ascii="Segoe UI" w:hAnsi="Segoe UI" w:cs="Segoe UI" w:hint="eastAsia"/>
          <w:color w:val="0F1115"/>
          <w:shd w:val="clear" w:color="auto" w:fill="FFFFFF"/>
        </w:rPr>
        <w:t>已经得到较充分的发展</w:t>
      </w:r>
      <w:r>
        <w:rPr>
          <w:rFonts w:ascii="Segoe UI" w:hAnsi="Segoe UI" w:cs="Segoe UI"/>
          <w:color w:val="0F1115"/>
          <w:shd w:val="clear" w:color="auto" w:fill="FFFFFF"/>
        </w:rPr>
        <w:t>。弹性体软波导</w:t>
      </w:r>
      <w:r w:rsidR="00B07772">
        <w:rPr>
          <w:rFonts w:ascii="Segoe UI" w:hAnsi="Segoe UI" w:cs="Segoe UI" w:hint="eastAsia"/>
          <w:color w:val="0F1115"/>
          <w:shd w:val="clear" w:color="auto" w:fill="FFFFFF"/>
        </w:rPr>
        <w:t>也</w:t>
      </w:r>
      <w:r>
        <w:rPr>
          <w:rFonts w:ascii="Segoe UI" w:hAnsi="Segoe UI" w:cs="Segoe UI"/>
          <w:color w:val="0F1115"/>
          <w:shd w:val="clear" w:color="auto" w:fill="FFFFFF"/>
        </w:rPr>
        <w:t>已拓展至可穿戴</w:t>
      </w:r>
      <w:r w:rsidR="00B07772">
        <w:rPr>
          <w:rFonts w:ascii="Segoe UI" w:hAnsi="Segoe UI" w:cs="Segoe UI" w:hint="eastAsia"/>
          <w:color w:val="0F1115"/>
          <w:shd w:val="clear" w:color="auto" w:fill="FFFFFF"/>
        </w:rPr>
        <w:t>监测</w:t>
      </w:r>
      <w:r>
        <w:rPr>
          <w:rFonts w:ascii="Segoe UI" w:hAnsi="Segoe UI" w:cs="Segoe UI"/>
          <w:color w:val="0F1115"/>
          <w:shd w:val="clear" w:color="auto" w:fill="FFFFFF"/>
        </w:rPr>
        <w:t>与生物医学传感分析领域</w:t>
      </w:r>
      <w:r>
        <w:rPr>
          <w:vertAlign w:val="superscript"/>
        </w:rPr>
        <w:t>[6]</w:t>
      </w:r>
      <w:r>
        <w:rPr>
          <w:rFonts w:ascii="Segoe UI" w:hAnsi="Segoe UI" w:cs="Segoe UI"/>
          <w:color w:val="0F1115"/>
          <w:shd w:val="clear" w:color="auto" w:fill="FFFFFF"/>
        </w:rPr>
        <w:t>；而多材料神经纤</w:t>
      </w:r>
      <w:r>
        <w:rPr>
          <w:rFonts w:ascii="Segoe UI" w:hAnsi="Segoe UI" w:cs="Segoe UI"/>
          <w:color w:val="0F1115"/>
          <w:shd w:val="clear" w:color="auto" w:fill="FFFFFF"/>
        </w:rPr>
        <w:lastRenderedPageBreak/>
        <w:t>维的</w:t>
      </w:r>
      <w:r w:rsidR="00D3214A">
        <w:rPr>
          <w:rFonts w:ascii="Segoe UI" w:hAnsi="Segoe UI" w:cs="Segoe UI" w:hint="eastAsia"/>
          <w:color w:val="0F1115"/>
          <w:shd w:val="clear" w:color="auto" w:fill="FFFFFF"/>
        </w:rPr>
        <w:t>研究</w:t>
      </w:r>
      <w:r>
        <w:rPr>
          <w:rFonts w:ascii="Segoe UI" w:hAnsi="Segoe UI" w:cs="Segoe UI"/>
          <w:color w:val="0F1115"/>
          <w:shd w:val="clear" w:color="auto" w:fill="FFFFFF"/>
        </w:rPr>
        <w:t>表明，当光、电及微流体单元集成于同一</w:t>
      </w:r>
      <w:r w:rsidR="00412931">
        <w:rPr>
          <w:rFonts w:ascii="Segoe UI" w:hAnsi="Segoe UI" w:cs="Segoe UI" w:hint="eastAsia"/>
          <w:color w:val="0F1115"/>
          <w:shd w:val="clear" w:color="auto" w:fill="FFFFFF"/>
        </w:rPr>
        <w:t>光</w:t>
      </w:r>
      <w:r>
        <w:rPr>
          <w:rFonts w:ascii="Segoe UI" w:hAnsi="Segoe UI" w:cs="Segoe UI"/>
          <w:color w:val="0F1115"/>
          <w:shd w:val="clear" w:color="auto" w:fill="FFFFFF"/>
        </w:rPr>
        <w:t>纤时，其评价尺度已从单个传感器上升至医学系统层面</w:t>
      </w:r>
      <w:r>
        <w:rPr>
          <w:vertAlign w:val="superscript"/>
        </w:rPr>
        <w:t>[7]</w:t>
      </w:r>
      <w:r>
        <w:rPr>
          <w:rFonts w:ascii="Segoe UI" w:hAnsi="Segoe UI" w:cs="Segoe UI"/>
          <w:color w:val="0F1115"/>
          <w:shd w:val="clear" w:color="auto" w:fill="FFFFFF"/>
        </w:rPr>
        <w:t>。聚合物材料的可变形性并非单纯优势</w:t>
      </w:r>
      <w:r>
        <w:rPr>
          <w:rFonts w:ascii="Segoe UI" w:hAnsi="Segoe UI" w:cs="Segoe UI"/>
          <w:color w:val="0F1115"/>
          <w:shd w:val="clear" w:color="auto" w:fill="FFFFFF"/>
        </w:rPr>
        <w:t>——</w:t>
      </w:r>
      <w:r>
        <w:rPr>
          <w:rFonts w:ascii="Segoe UI" w:hAnsi="Segoe UI" w:cs="Segoe UI"/>
          <w:color w:val="0F1115"/>
          <w:shd w:val="clear" w:color="auto" w:fill="FFFFFF"/>
        </w:rPr>
        <w:t>分子振动吸收、结构不均匀和加工会增加传播损耗</w:t>
      </w:r>
      <w:r>
        <w:rPr>
          <w:vertAlign w:val="superscript"/>
        </w:rPr>
        <w:t>[5]</w:t>
      </w:r>
      <w:r>
        <w:rPr>
          <w:rFonts w:ascii="Segoe UI" w:hAnsi="Segoe UI" w:cs="Segoe UI"/>
          <w:color w:val="0F1115"/>
          <w:shd w:val="clear" w:color="auto" w:fill="FFFFFF"/>
        </w:rPr>
        <w:t>，</w:t>
      </w:r>
      <w:r w:rsidR="00D3214A">
        <w:rPr>
          <w:rFonts w:ascii="Segoe UI" w:hAnsi="Segoe UI" w:cs="Segoe UI" w:hint="eastAsia"/>
          <w:color w:val="0F1115"/>
          <w:shd w:val="clear" w:color="auto" w:fill="FFFFFF"/>
        </w:rPr>
        <w:t>传感器</w:t>
      </w:r>
      <w:r>
        <w:rPr>
          <w:rFonts w:ascii="Segoe UI" w:hAnsi="Segoe UI" w:cs="Segoe UI"/>
          <w:color w:val="0F1115"/>
          <w:shd w:val="clear" w:color="auto" w:fill="FFFFFF"/>
        </w:rPr>
        <w:t>运动和黏弹性会造成迟滞与应力松弛</w:t>
      </w:r>
      <w:r>
        <w:rPr>
          <w:vertAlign w:val="superscript"/>
        </w:rPr>
        <w:t>[8]</w:t>
      </w:r>
      <w:r>
        <w:rPr>
          <w:rFonts w:ascii="Segoe UI" w:hAnsi="Segoe UI" w:cs="Segoe UI"/>
          <w:color w:val="0F1115"/>
          <w:shd w:val="clear" w:color="auto" w:fill="FFFFFF"/>
        </w:rPr>
        <w:t>，而进入汗液、体液或组织环境后，佩戴压力、组织运动、蛋白吸附和降解过程还会持续改变。</w:t>
      </w:r>
      <w:r w:rsidR="004B45E4">
        <w:rPr>
          <w:rFonts w:hint="eastAsia"/>
        </w:rPr>
        <w:t>为此，我们将</w:t>
      </w:r>
      <w:r w:rsidR="004B45E4">
        <w:t>从</w:t>
      </w:r>
    </w:p>
    <w:p w14:paraId="2A61A1C9" w14:textId="57840695" w:rsidR="006D6DEA" w:rsidRDefault="004B45E4" w:rsidP="004B45E4">
      <w:pPr>
        <w:widowControl/>
      </w:pPr>
      <w:r>
        <w:t>材料体系</w:t>
      </w:r>
      <w:r w:rsidR="00772A90">
        <w:t>、波导结构、信号机制和医学验证</w:t>
      </w:r>
      <w:r w:rsidR="00D06C1A">
        <w:rPr>
          <w:rFonts w:hint="eastAsia"/>
        </w:rPr>
        <w:t>四</w:t>
      </w:r>
      <w:r w:rsidR="00772A90">
        <w:t>个</w:t>
      </w:r>
      <w:r w:rsidR="00D06C1A">
        <w:rPr>
          <w:rFonts w:hint="eastAsia"/>
        </w:rPr>
        <w:t>方</w:t>
      </w:r>
      <w:r w:rsidR="00772A90">
        <w:t>面</w:t>
      </w:r>
      <w:r w:rsidR="00772A90">
        <w:rPr>
          <w:rFonts w:hint="eastAsia"/>
        </w:rPr>
        <w:t>探讨</w:t>
      </w:r>
      <w:r w:rsidR="00772A90">
        <w:rPr>
          <w:rFonts w:hint="eastAsia"/>
        </w:rPr>
        <w:t>P</w:t>
      </w:r>
      <w:r w:rsidR="00772A90">
        <w:t>OF</w:t>
      </w:r>
      <w:r w:rsidR="00772A90">
        <w:rPr>
          <w:rFonts w:hint="eastAsia"/>
        </w:rPr>
        <w:t>从传感技术向临床适用过渡中面临的主要障碍与应对策略</w:t>
      </w:r>
      <w:r w:rsidR="00772A90">
        <w:t>。</w:t>
      </w:r>
    </w:p>
    <w:p w14:paraId="7EFD7969" w14:textId="77777777" w:rsidR="00AF5797" w:rsidRDefault="00AF5797" w:rsidP="004B45E4">
      <w:pPr>
        <w:widowControl/>
        <w:rPr>
          <w:rFonts w:cs="宋体" w:hint="eastAsia"/>
          <w:szCs w:val="15"/>
        </w:rPr>
      </w:pPr>
    </w:p>
    <w:p w14:paraId="7E886E83" w14:textId="77777777" w:rsidR="006D6DEA" w:rsidRDefault="00772A90">
      <w:pPr>
        <w:keepNext/>
        <w:keepLines/>
        <w:widowControl/>
        <w:spacing w:before="120" w:after="60"/>
        <w:jc w:val="left"/>
        <w:rPr>
          <w:sz w:val="24"/>
        </w:rPr>
      </w:pPr>
      <w:r>
        <w:rPr>
          <w:rFonts w:eastAsia="黑体"/>
          <w:b/>
          <w:sz w:val="24"/>
          <w:szCs w:val="24"/>
        </w:rPr>
        <w:t xml:space="preserve">1 </w:t>
      </w:r>
      <w:r>
        <w:rPr>
          <w:rFonts w:eastAsia="黑体"/>
          <w:b/>
          <w:sz w:val="24"/>
          <w:szCs w:val="24"/>
        </w:rPr>
        <w:t>材料体系与光学响应</w:t>
      </w:r>
    </w:p>
    <w:p w14:paraId="77DD242C" w14:textId="49496346" w:rsidR="002B3526" w:rsidRDefault="002B3526" w:rsidP="002B3526">
      <w:pPr>
        <w:widowControl/>
        <w:rPr>
          <w:b/>
        </w:rPr>
      </w:pPr>
      <w:r>
        <w:rPr>
          <w:rFonts w:hint="eastAsia"/>
          <w:b/>
        </w:rPr>
        <w:t xml:space="preserve">1.1 </w:t>
      </w:r>
      <w:r w:rsidRPr="002B3526">
        <w:rPr>
          <w:b/>
        </w:rPr>
        <w:t>聚甲基丙烯酸甲酯和聚碳酸酯</w:t>
      </w:r>
      <w:r>
        <w:rPr>
          <w:rFonts w:hint="eastAsia"/>
          <w:b/>
        </w:rPr>
        <w:t>材料</w:t>
      </w:r>
    </w:p>
    <w:p w14:paraId="53049744" w14:textId="6F1518C7" w:rsidR="006D6DEA" w:rsidRDefault="00772A90">
      <w:pPr>
        <w:widowControl/>
        <w:ind w:firstLine="420"/>
      </w:pPr>
      <w:r>
        <w:rPr>
          <w:rFonts w:hint="eastAsia"/>
        </w:rPr>
        <w:t>医用</w:t>
      </w:r>
      <w:r>
        <w:t>POF</w:t>
      </w:r>
      <w:r>
        <w:rPr>
          <w:rFonts w:hint="eastAsia"/>
        </w:rPr>
        <w:t>的性能首先取决于材料选择。</w:t>
      </w:r>
      <w:r>
        <w:t>传统</w:t>
      </w:r>
      <w:r>
        <w:t>POF</w:t>
      </w:r>
      <w:r>
        <w:rPr>
          <w:rFonts w:ascii="Segoe UI" w:hAnsi="Segoe UI" w:cs="Segoe UI"/>
          <w:color w:val="0F1115"/>
          <w:shd w:val="clear" w:color="auto" w:fill="FFFFFF"/>
        </w:rPr>
        <w:t>以聚甲基丙烯酸甲酯（</w:t>
      </w:r>
      <w:r>
        <w:rPr>
          <w:rFonts w:ascii="Segoe UI" w:hAnsi="Segoe UI" w:cs="Segoe UI"/>
          <w:color w:val="0F1115"/>
          <w:shd w:val="clear" w:color="auto" w:fill="FFFFFF"/>
        </w:rPr>
        <w:t>PMMA</w:t>
      </w:r>
      <w:r>
        <w:rPr>
          <w:rFonts w:ascii="Segoe UI" w:hAnsi="Segoe UI" w:cs="Segoe UI"/>
          <w:color w:val="0F1115"/>
          <w:shd w:val="clear" w:color="auto" w:fill="FFFFFF"/>
        </w:rPr>
        <w:t>）和聚碳酸酯（</w:t>
      </w:r>
      <w:r>
        <w:rPr>
          <w:rFonts w:ascii="Segoe UI" w:hAnsi="Segoe UI" w:cs="Segoe UI"/>
          <w:color w:val="0F1115"/>
          <w:shd w:val="clear" w:color="auto" w:fill="FFFFFF"/>
        </w:rPr>
        <w:t>PC</w:t>
      </w:r>
      <w:r>
        <w:rPr>
          <w:rFonts w:ascii="Segoe UI" w:hAnsi="Segoe UI" w:cs="Segoe UI"/>
          <w:color w:val="0F1115"/>
          <w:shd w:val="clear" w:color="auto" w:fill="FFFFFF"/>
        </w:rPr>
        <w:t>）等热塑性聚合物为主，加工成熟、可见光透明性较好，适合短距离传光、强度调制和低成本传感应用</w:t>
      </w:r>
      <w:r>
        <w:rPr>
          <w:vertAlign w:val="superscript"/>
        </w:rPr>
        <w:t>[9]</w:t>
      </w:r>
      <w:r>
        <w:t>。</w:t>
      </w:r>
      <w:r>
        <w:rPr>
          <w:rFonts w:ascii="Segoe UI" w:hAnsi="Segoe UI" w:cs="Segoe UI"/>
          <w:color w:val="0F1115"/>
          <w:shd w:val="clear" w:color="auto" w:fill="FFFFFF"/>
        </w:rPr>
        <w:t>CYTOP</w:t>
      </w:r>
      <w:r>
        <w:t>通过含氟结构</w:t>
      </w:r>
      <w:r>
        <w:rPr>
          <w:rFonts w:ascii="Segoe UI" w:hAnsi="Segoe UI" w:cs="Segoe UI"/>
          <w:color w:val="0F1115"/>
          <w:shd w:val="clear" w:color="auto" w:fill="FFFFFF"/>
        </w:rPr>
        <w:t>有效降低了近红外波段的振动吸收，已用于单峰光栅写入</w:t>
      </w:r>
      <w:r>
        <w:rPr>
          <w:vertAlign w:val="superscript"/>
        </w:rPr>
        <w:t>[10]</w:t>
      </w:r>
      <w:r>
        <w:t>。</w:t>
      </w:r>
      <w:r>
        <w:t>TOPAS</w:t>
      </w:r>
      <w:r>
        <w:t>、</w:t>
      </w:r>
      <w:r>
        <w:t xml:space="preserve">ZEONEX </w:t>
      </w:r>
      <w:r>
        <w:t>等环烯烃聚合物的优势不在</w:t>
      </w:r>
      <w:r>
        <w:t>“</w:t>
      </w:r>
      <w:r>
        <w:t>更透明</w:t>
      </w:r>
      <w:r>
        <w:t>”</w:t>
      </w:r>
      <w:r>
        <w:t>，而在低吸水和较弱湿度扰动；</w:t>
      </w:r>
      <w:r>
        <w:rPr>
          <w:rFonts w:ascii="Segoe UI" w:hAnsi="Segoe UI" w:cs="Segoe UI"/>
          <w:color w:val="0F1115"/>
          <w:shd w:val="clear" w:color="auto" w:fill="FFFFFF"/>
        </w:rPr>
        <w:t>TOPAS</w:t>
      </w:r>
      <w:r>
        <w:rPr>
          <w:rFonts w:ascii="Segoe UI" w:hAnsi="Segoe UI" w:cs="Segoe UI"/>
          <w:color w:val="0F1115"/>
          <w:shd w:val="clear" w:color="auto" w:fill="FFFFFF"/>
        </w:rPr>
        <w:t>聚合物光纤布拉格光栅（</w:t>
      </w:r>
      <w:r>
        <w:rPr>
          <w:rFonts w:ascii="Segoe UI" w:hAnsi="Segoe UI" w:cs="Segoe UI"/>
          <w:color w:val="0F1115"/>
          <w:shd w:val="clear" w:color="auto" w:fill="FFFFFF"/>
        </w:rPr>
        <w:t>POF-FBG</w:t>
      </w:r>
      <w:r>
        <w:rPr>
          <w:rFonts w:ascii="Segoe UI" w:hAnsi="Segoe UI" w:cs="Segoe UI"/>
          <w:color w:val="0F1115"/>
          <w:shd w:val="clear" w:color="auto" w:fill="FFFFFF"/>
        </w:rPr>
        <w:t>）的湿度不敏感特性正体现了这一</w:t>
      </w:r>
      <w:r w:rsidR="002B3526">
        <w:rPr>
          <w:rFonts w:ascii="Segoe UI" w:hAnsi="Segoe UI" w:cs="Segoe UI" w:hint="eastAsia"/>
          <w:color w:val="0F1115"/>
          <w:shd w:val="clear" w:color="auto" w:fill="FFFFFF"/>
        </w:rPr>
        <w:t>特点</w:t>
      </w:r>
      <w:r>
        <w:rPr>
          <w:vertAlign w:val="superscript"/>
        </w:rPr>
        <w:t>[11]</w:t>
      </w:r>
      <w:r>
        <w:t>。因此，材料评价应同时考虑工作波长、吸水率、加工窗口和目标医学量对</w:t>
      </w:r>
      <w:r>
        <w:rPr>
          <w:rFonts w:hint="eastAsia"/>
        </w:rPr>
        <w:t>不稳定性</w:t>
      </w:r>
      <w:r>
        <w:t>的容忍度。</w:t>
      </w:r>
    </w:p>
    <w:p w14:paraId="722BF952" w14:textId="01CC60BD" w:rsidR="006D6DEA" w:rsidRDefault="00772A90">
      <w:pPr>
        <w:widowControl/>
        <w:rPr>
          <w:b/>
        </w:rPr>
      </w:pPr>
      <w:r>
        <w:rPr>
          <w:rFonts w:hint="eastAsia"/>
          <w:b/>
        </w:rPr>
        <w:t>1.</w:t>
      </w:r>
      <w:r w:rsidR="002B3526">
        <w:rPr>
          <w:rFonts w:hint="eastAsia"/>
          <w:b/>
        </w:rPr>
        <w:t>2</w:t>
      </w:r>
      <w:r>
        <w:rPr>
          <w:rFonts w:hint="eastAsia"/>
          <w:b/>
        </w:rPr>
        <w:t xml:space="preserve"> </w:t>
      </w:r>
      <w:r>
        <w:rPr>
          <w:rFonts w:hint="eastAsia"/>
          <w:b/>
        </w:rPr>
        <w:t>软波导与水凝胶材料</w:t>
      </w:r>
    </w:p>
    <w:p w14:paraId="1C08B507" w14:textId="7DA83312" w:rsidR="006D6DEA" w:rsidRDefault="00772A90">
      <w:pPr>
        <w:widowControl/>
        <w:ind w:firstLine="420"/>
      </w:pPr>
      <w:r>
        <w:t>软波导把材料选择的重点从低损耗转到力学匹配和大形变</w:t>
      </w:r>
      <w:r w:rsidR="002B3526">
        <w:rPr>
          <w:rFonts w:hint="eastAsia"/>
        </w:rPr>
        <w:t>测量</w:t>
      </w:r>
      <w:r>
        <w:t>。</w:t>
      </w:r>
      <w:r>
        <w:rPr>
          <w:rFonts w:ascii="Segoe UI" w:hAnsi="Segoe UI" w:cs="Segoe UI"/>
          <w:color w:val="0F1115"/>
          <w:shd w:val="clear" w:color="auto" w:fill="FFFFFF"/>
        </w:rPr>
        <w:t>聚二甲基硅氧烷（</w:t>
      </w:r>
      <w:r>
        <w:rPr>
          <w:rFonts w:ascii="Segoe UI" w:hAnsi="Segoe UI" w:cs="Segoe UI"/>
          <w:color w:val="0F1115"/>
          <w:shd w:val="clear" w:color="auto" w:fill="FFFFFF"/>
        </w:rPr>
        <w:t>PDMS</w:t>
      </w:r>
      <w:r>
        <w:rPr>
          <w:rFonts w:ascii="Segoe UI" w:hAnsi="Segoe UI" w:cs="Segoe UI"/>
          <w:color w:val="0F1115"/>
          <w:shd w:val="clear" w:color="auto" w:fill="FFFFFF"/>
        </w:rPr>
        <w:t>）、聚氨酯（</w:t>
      </w:r>
      <w:r>
        <w:rPr>
          <w:rFonts w:ascii="Segoe UI" w:hAnsi="Segoe UI" w:cs="Segoe UI"/>
          <w:color w:val="0F1115"/>
          <w:shd w:val="clear" w:color="auto" w:fill="FFFFFF"/>
        </w:rPr>
        <w:t>PU</w:t>
      </w:r>
      <w:r>
        <w:rPr>
          <w:rFonts w:ascii="Segoe UI" w:hAnsi="Segoe UI" w:cs="Segoe UI"/>
          <w:color w:val="0F1115"/>
          <w:shd w:val="clear" w:color="auto" w:fill="FFFFFF"/>
        </w:rPr>
        <w:t>）、苯乙烯</w:t>
      </w:r>
      <w:r>
        <w:rPr>
          <w:rFonts w:ascii="Segoe UI" w:hAnsi="Segoe UI" w:cs="Segoe UI"/>
          <w:color w:val="0F1115"/>
          <w:shd w:val="clear" w:color="auto" w:fill="FFFFFF"/>
        </w:rPr>
        <w:t>-</w:t>
      </w:r>
      <w:r>
        <w:rPr>
          <w:rFonts w:ascii="Segoe UI" w:hAnsi="Segoe UI" w:cs="Segoe UI"/>
          <w:color w:val="0F1115"/>
          <w:shd w:val="clear" w:color="auto" w:fill="FFFFFF"/>
        </w:rPr>
        <w:t>乙烯</w:t>
      </w:r>
      <w:r>
        <w:rPr>
          <w:rFonts w:ascii="Segoe UI" w:hAnsi="Segoe UI" w:cs="Segoe UI"/>
          <w:color w:val="0F1115"/>
          <w:shd w:val="clear" w:color="auto" w:fill="FFFFFF"/>
        </w:rPr>
        <w:t>-</w:t>
      </w:r>
      <w:r>
        <w:rPr>
          <w:rFonts w:ascii="Segoe UI" w:hAnsi="Segoe UI" w:cs="Segoe UI"/>
          <w:color w:val="0F1115"/>
          <w:shd w:val="clear" w:color="auto" w:fill="FFFFFF"/>
        </w:rPr>
        <w:t>丁烯</w:t>
      </w:r>
      <w:r>
        <w:rPr>
          <w:rFonts w:ascii="Segoe UI" w:hAnsi="Segoe UI" w:cs="Segoe UI"/>
          <w:color w:val="0F1115"/>
          <w:shd w:val="clear" w:color="auto" w:fill="FFFFFF"/>
        </w:rPr>
        <w:t>-</w:t>
      </w:r>
      <w:r>
        <w:rPr>
          <w:rFonts w:ascii="Segoe UI" w:hAnsi="Segoe UI" w:cs="Segoe UI"/>
          <w:color w:val="0F1115"/>
          <w:shd w:val="clear" w:color="auto" w:fill="FFFFFF"/>
        </w:rPr>
        <w:t>苯乙烯嵌段共聚物（</w:t>
      </w:r>
      <w:r>
        <w:rPr>
          <w:rFonts w:ascii="Segoe UI" w:hAnsi="Segoe UI" w:cs="Segoe UI"/>
          <w:color w:val="0F1115"/>
          <w:shd w:val="clear" w:color="auto" w:fill="FFFFFF"/>
        </w:rPr>
        <w:t>SEBS</w:t>
      </w:r>
      <w:r>
        <w:rPr>
          <w:rFonts w:ascii="Segoe UI" w:hAnsi="Segoe UI" w:cs="Segoe UI"/>
          <w:color w:val="0F1115"/>
          <w:shd w:val="clear" w:color="auto" w:fill="FFFFFF"/>
        </w:rPr>
        <w:t>）及热塑性弹性体等</w:t>
      </w:r>
      <w:r>
        <w:t>低模量材料可减小器件与皮肤、织物或软组织之间的刚度差异</w:t>
      </w:r>
      <w:r>
        <w:rPr>
          <w:vertAlign w:val="superscript"/>
        </w:rPr>
        <w:t>[6]</w:t>
      </w:r>
      <w:r>
        <w:t>。</w:t>
      </w:r>
      <w:r>
        <w:rPr>
          <w:rFonts w:hint="eastAsia"/>
        </w:rPr>
        <w:t>然而</w:t>
      </w:r>
      <w:r>
        <w:t>，柔软性本身不能保证信号质量。热塑性弹性体光纤能够感知大形变，其光信号仍受到加载路径、恢复过程和结构形变</w:t>
      </w:r>
      <w:r w:rsidR="004B45E4">
        <w:rPr>
          <w:rFonts w:hint="eastAsia"/>
        </w:rPr>
        <w:t>的</w:t>
      </w:r>
      <w:r>
        <w:t>影响</w:t>
      </w:r>
      <w:r>
        <w:rPr>
          <w:vertAlign w:val="superscript"/>
        </w:rPr>
        <w:t>[12]</w:t>
      </w:r>
      <w:r>
        <w:t>。</w:t>
      </w:r>
    </w:p>
    <w:p w14:paraId="1515994C" w14:textId="40327540" w:rsidR="006D6DEA" w:rsidRDefault="00772A90">
      <w:pPr>
        <w:widowControl/>
        <w:ind w:firstLine="420"/>
      </w:pPr>
      <w:r>
        <w:t>水凝胶和可降解材料把</w:t>
      </w:r>
      <w:r>
        <w:t xml:space="preserve"> POF </w:t>
      </w:r>
      <w:r>
        <w:t>推向湿态界面和短期植入场景。水凝胶阶跃折射率光纤</w:t>
      </w:r>
      <w:r>
        <w:rPr>
          <w:rFonts w:hint="eastAsia"/>
        </w:rPr>
        <w:t>已被</w:t>
      </w:r>
      <w:r>
        <w:t>证明</w:t>
      </w:r>
      <w:r w:rsidR="004B45E4">
        <w:rPr>
          <w:rFonts w:hint="eastAsia"/>
        </w:rPr>
        <w:t>是一种</w:t>
      </w:r>
      <w:r>
        <w:t>高含水软材料</w:t>
      </w:r>
      <w:r w:rsidR="004B45E4">
        <w:rPr>
          <w:rFonts w:hint="eastAsia"/>
        </w:rPr>
        <w:t>且</w:t>
      </w:r>
      <w:r>
        <w:t>可以导光</w:t>
      </w:r>
      <w:r>
        <w:rPr>
          <w:vertAlign w:val="superscript"/>
        </w:rPr>
        <w:t>[13]</w:t>
      </w:r>
      <w:r>
        <w:t>，苯硼酸功能化水凝胶光纤则把葡萄糖响应与光学</w:t>
      </w:r>
      <w:r w:rsidR="004B45E4">
        <w:rPr>
          <w:rFonts w:hint="eastAsia"/>
        </w:rPr>
        <w:t>信号</w:t>
      </w:r>
      <w:r>
        <w:t>读</w:t>
      </w:r>
      <w:r w:rsidR="004B45E4">
        <w:rPr>
          <w:rFonts w:hint="eastAsia"/>
        </w:rPr>
        <w:t>取</w:t>
      </w:r>
      <w:r>
        <w:t>联系起来</w:t>
      </w:r>
      <w:r>
        <w:rPr>
          <w:vertAlign w:val="superscript"/>
        </w:rPr>
        <w:t>[14]</w:t>
      </w:r>
      <w:r>
        <w:t>。这类材料兼具力学匹配和化学响应，但尺寸变化、传质滞后和稳定性下降也随之</w:t>
      </w:r>
      <w:r>
        <w:rPr>
          <w:rFonts w:hint="eastAsia"/>
        </w:rPr>
        <w:t>而来</w:t>
      </w:r>
      <w:r>
        <w:t>。</w:t>
      </w:r>
      <w:r>
        <w:rPr>
          <w:rFonts w:ascii="Segoe UI" w:hAnsi="Segoe UI" w:cs="Segoe UI"/>
          <w:color w:val="0F1115"/>
          <w:shd w:val="clear" w:color="auto" w:fill="FFFFFF"/>
        </w:rPr>
        <w:t>可吸收体系已有聚左旋乳酸（</w:t>
      </w:r>
      <w:r>
        <w:rPr>
          <w:rFonts w:ascii="Segoe UI" w:hAnsi="Segoe UI" w:cs="Segoe UI"/>
          <w:color w:val="0F1115"/>
          <w:shd w:val="clear" w:color="auto" w:fill="FFFFFF"/>
        </w:rPr>
        <w:t>PLLA</w:t>
      </w:r>
      <w:r>
        <w:rPr>
          <w:rFonts w:ascii="Segoe UI" w:hAnsi="Segoe UI" w:cs="Segoe UI"/>
          <w:color w:val="0F1115"/>
          <w:shd w:val="clear" w:color="auto" w:fill="FFFFFF"/>
        </w:rPr>
        <w:t>）、聚乳酸</w:t>
      </w:r>
      <w:r>
        <w:rPr>
          <w:rFonts w:ascii="Segoe UI" w:hAnsi="Segoe UI" w:cs="Segoe UI"/>
          <w:color w:val="0F1115"/>
          <w:shd w:val="clear" w:color="auto" w:fill="FFFFFF"/>
        </w:rPr>
        <w:t>-</w:t>
      </w:r>
      <w:r>
        <w:rPr>
          <w:rFonts w:ascii="Segoe UI" w:hAnsi="Segoe UI" w:cs="Segoe UI"/>
          <w:color w:val="0F1115"/>
          <w:shd w:val="clear" w:color="auto" w:fill="FFFFFF"/>
        </w:rPr>
        <w:t>羟基乙酸共聚物（</w:t>
      </w:r>
      <w:r>
        <w:rPr>
          <w:rFonts w:ascii="Segoe UI" w:hAnsi="Segoe UI" w:cs="Segoe UI"/>
          <w:color w:val="0F1115"/>
          <w:shd w:val="clear" w:color="auto" w:fill="FFFFFF"/>
        </w:rPr>
        <w:t>PLGA</w:t>
      </w:r>
      <w:r>
        <w:rPr>
          <w:rFonts w:ascii="Segoe UI" w:hAnsi="Segoe UI" w:cs="Segoe UI"/>
          <w:color w:val="0F1115"/>
          <w:shd w:val="clear" w:color="auto" w:fill="FFFFFF"/>
        </w:rPr>
        <w:t>）和聚己内酯（</w:t>
      </w:r>
      <w:r>
        <w:rPr>
          <w:rFonts w:ascii="Segoe UI" w:hAnsi="Segoe UI" w:cs="Segoe UI"/>
          <w:color w:val="0F1115"/>
          <w:shd w:val="clear" w:color="auto" w:fill="FFFFFF"/>
        </w:rPr>
        <w:t>PCL</w:t>
      </w:r>
      <w:r>
        <w:rPr>
          <w:rFonts w:ascii="Segoe UI" w:hAnsi="Segoe UI" w:cs="Segoe UI"/>
          <w:color w:val="0F1115"/>
          <w:shd w:val="clear" w:color="auto" w:fill="FFFFFF"/>
        </w:rPr>
        <w:t>）等多种材料可供选择</w:t>
      </w:r>
      <w:r>
        <w:rPr>
          <w:vertAlign w:val="superscript"/>
        </w:rPr>
        <w:t>[15]</w:t>
      </w:r>
      <w:r>
        <w:t>，</w:t>
      </w:r>
      <w:r>
        <w:rPr>
          <w:rFonts w:hint="eastAsia"/>
        </w:rPr>
        <w:t>其</w:t>
      </w:r>
      <w:r>
        <w:t>制备难点集中在芯包层界面、湿态形态保持和加工窗口</w:t>
      </w:r>
      <w:r>
        <w:rPr>
          <w:vertAlign w:val="superscript"/>
        </w:rPr>
        <w:t>[16]</w:t>
      </w:r>
      <w:r>
        <w:t>。对短期植入器件而言，关键问题是在材料明显降解前，光通量、几何位置和标定关系能否维持到</w:t>
      </w:r>
      <w:r>
        <w:rPr>
          <w:rFonts w:hint="eastAsia"/>
        </w:rPr>
        <w:t>诊疗</w:t>
      </w:r>
      <w:r>
        <w:t>任务结束。</w:t>
      </w:r>
    </w:p>
    <w:p w14:paraId="78A6C495" w14:textId="7C9659FD" w:rsidR="006D6DEA" w:rsidRDefault="00772A90">
      <w:pPr>
        <w:widowControl/>
        <w:rPr>
          <w:b/>
        </w:rPr>
      </w:pPr>
      <w:r>
        <w:rPr>
          <w:rFonts w:hint="eastAsia"/>
          <w:b/>
        </w:rPr>
        <w:t>1.</w:t>
      </w:r>
      <w:r w:rsidR="002B3526">
        <w:rPr>
          <w:rFonts w:hint="eastAsia"/>
          <w:b/>
        </w:rPr>
        <w:t>3</w:t>
      </w:r>
      <w:r>
        <w:rPr>
          <w:rFonts w:hint="eastAsia"/>
          <w:b/>
        </w:rPr>
        <w:t xml:space="preserve"> </w:t>
      </w:r>
      <w:r>
        <w:rPr>
          <w:rFonts w:hint="eastAsia"/>
          <w:b/>
        </w:rPr>
        <w:t>光学响应</w:t>
      </w:r>
      <w:r>
        <w:rPr>
          <w:b/>
        </w:rPr>
        <w:t>机制分类</w:t>
      </w:r>
    </w:p>
    <w:p w14:paraId="37706F95" w14:textId="42A8FA2E" w:rsidR="007B31D8" w:rsidRDefault="00772A90" w:rsidP="007B31D8">
      <w:pPr>
        <w:widowControl/>
        <w:ind w:firstLine="420"/>
      </w:pPr>
      <w:r>
        <w:t>同一种材料</w:t>
      </w:r>
      <w:r>
        <w:rPr>
          <w:rFonts w:hint="eastAsia"/>
        </w:rPr>
        <w:t>置于</w:t>
      </w:r>
      <w:r>
        <w:t>不同结构中，</w:t>
      </w:r>
      <w:r>
        <w:rPr>
          <w:rFonts w:ascii="Segoe UI" w:hAnsi="Segoe UI" w:cs="Segoe UI"/>
          <w:color w:val="0F1115"/>
          <w:shd w:val="clear" w:color="auto" w:fill="FFFFFF"/>
        </w:rPr>
        <w:t>可能对应完全不同的信息读</w:t>
      </w:r>
      <w:r w:rsidR="004B45E4">
        <w:rPr>
          <w:rFonts w:ascii="Segoe UI" w:hAnsi="Segoe UI" w:cs="Segoe UI" w:hint="eastAsia"/>
          <w:color w:val="0F1115"/>
          <w:shd w:val="clear" w:color="auto" w:fill="FFFFFF"/>
        </w:rPr>
        <w:t>取</w:t>
      </w:r>
      <w:r>
        <w:rPr>
          <w:rFonts w:ascii="Segoe UI" w:hAnsi="Segoe UI" w:cs="Segoe UI"/>
          <w:color w:val="0F1115"/>
          <w:shd w:val="clear" w:color="auto" w:fill="FFFFFF"/>
        </w:rPr>
        <w:t>方式。</w:t>
      </w:r>
      <w:r>
        <w:t>强度调制依靠弯曲、压缩或拉伸引起的模式耦合和泄漏损耗，结构简单、成本低，但对光源、耦合和封装应力敏感</w:t>
      </w:r>
      <w:r>
        <w:rPr>
          <w:vertAlign w:val="superscript"/>
        </w:rPr>
        <w:t>[9]</w:t>
      </w:r>
      <w:r>
        <w:t>。</w:t>
      </w:r>
      <w:r>
        <w:t xml:space="preserve">POF-FBG </w:t>
      </w:r>
      <w:r>
        <w:t>通过布</w:t>
      </w:r>
      <w:r>
        <w:rPr>
          <w:rFonts w:hint="eastAsia"/>
        </w:rPr>
        <w:t>喇</w:t>
      </w:r>
      <w:r>
        <w:t>格波长漂移读</w:t>
      </w:r>
      <w:r w:rsidR="004B45E4">
        <w:rPr>
          <w:rFonts w:hint="eastAsia"/>
        </w:rPr>
        <w:t>取</w:t>
      </w:r>
      <w:r>
        <w:t>信息，是聚合物光纤传感的重要分支</w:t>
      </w:r>
      <w:r>
        <w:rPr>
          <w:vertAlign w:val="superscript"/>
        </w:rPr>
        <w:t>[17]</w:t>
      </w:r>
      <w:r>
        <w:t>；</w:t>
      </w:r>
      <w:r>
        <w:rPr>
          <w:rFonts w:hint="eastAsia"/>
        </w:rPr>
        <w:t>其</w:t>
      </w:r>
      <w:r>
        <w:t>写入工艺又会影响谱形、初始应力和长期稳定性</w:t>
      </w:r>
      <w:r>
        <w:rPr>
          <w:vertAlign w:val="superscript"/>
        </w:rPr>
        <w:t>[18]</w:t>
      </w:r>
      <w:r>
        <w:t>。倏逝场和表面等离子体共振（</w:t>
      </w:r>
      <w:r>
        <w:t>SPR</w:t>
      </w:r>
      <w:r>
        <w:t>）适合界面折射率检测</w:t>
      </w:r>
      <w:r>
        <w:rPr>
          <w:vertAlign w:val="superscript"/>
        </w:rPr>
        <w:t>[19]</w:t>
      </w:r>
      <w:r>
        <w:t>。聚合物敏感涂层可把吸附或溶胀转化为光学变化，其响应还受涂层厚度、附着方式和传质路径影响</w:t>
      </w:r>
      <w:r>
        <w:rPr>
          <w:vertAlign w:val="superscript"/>
        </w:rPr>
        <w:t>[20]</w:t>
      </w:r>
      <w:r w:rsidR="007B31D8">
        <w:rPr>
          <w:rFonts w:hint="eastAsia"/>
        </w:rPr>
        <w:t>，</w:t>
      </w:r>
      <w:r w:rsidR="004B45E4">
        <w:rPr>
          <w:rFonts w:hint="eastAsia"/>
        </w:rPr>
        <w:t>其</w:t>
      </w:r>
      <w:r w:rsidR="007B31D8">
        <w:rPr>
          <w:rFonts w:ascii="Segoe UI" w:hAnsi="Segoe UI" w:cs="Segoe UI"/>
          <w:color w:val="0F1115"/>
          <w:shd w:val="clear" w:color="auto" w:fill="FFFFFF"/>
        </w:rPr>
        <w:t>光学响应机制及其</w:t>
      </w:r>
      <w:r w:rsidR="007B31D8">
        <w:rPr>
          <w:rFonts w:ascii="Segoe UI" w:hAnsi="Segoe UI" w:cs="Segoe UI" w:hint="eastAsia"/>
          <w:color w:val="0F1115"/>
          <w:shd w:val="clear" w:color="auto" w:fill="FFFFFF"/>
        </w:rPr>
        <w:t>特点如</w:t>
      </w:r>
      <w:r w:rsidR="007B31D8">
        <w:rPr>
          <w:rFonts w:ascii="Segoe UI" w:hAnsi="Segoe UI" w:cs="Segoe UI"/>
          <w:color w:val="0F1115"/>
          <w:shd w:val="clear" w:color="auto" w:fill="FFFFFF"/>
        </w:rPr>
        <w:t>表</w:t>
      </w:r>
      <w:r w:rsidR="007B31D8">
        <w:rPr>
          <w:rFonts w:ascii="Segoe UI" w:hAnsi="Segoe UI" w:cs="Segoe UI"/>
          <w:color w:val="0F1115"/>
          <w:shd w:val="clear" w:color="auto" w:fill="FFFFFF"/>
        </w:rPr>
        <w:t>1</w:t>
      </w:r>
      <w:r w:rsidR="007B31D8">
        <w:rPr>
          <w:rFonts w:ascii="Segoe UI" w:hAnsi="Segoe UI" w:cs="Segoe UI" w:hint="eastAsia"/>
          <w:color w:val="0F1115"/>
          <w:shd w:val="clear" w:color="auto" w:fill="FFFFFF"/>
        </w:rPr>
        <w:t>所</w:t>
      </w:r>
      <w:r w:rsidR="007B31D8">
        <w:rPr>
          <w:rFonts w:ascii="Segoe UI" w:hAnsi="Segoe UI" w:cs="Segoe UI"/>
          <w:color w:val="0F1115"/>
          <w:shd w:val="clear" w:color="auto" w:fill="FFFFFF"/>
        </w:rPr>
        <w:t>示</w:t>
      </w:r>
      <w:r w:rsidR="007B31D8">
        <w:rPr>
          <w:rFonts w:ascii="Segoe UI" w:hAnsi="Segoe UI" w:cs="Segoe UI" w:hint="eastAsia"/>
          <w:color w:val="0F1115"/>
          <w:shd w:val="clear" w:color="auto" w:fill="FFFFFF"/>
        </w:rPr>
        <w:t>。</w:t>
      </w:r>
    </w:p>
    <w:p w14:paraId="6F75768D" w14:textId="44460A8A" w:rsidR="007B31D8" w:rsidRPr="00403C3E" w:rsidRDefault="007B31D8" w:rsidP="007B31D8">
      <w:pPr>
        <w:keepNext/>
        <w:keepLines/>
        <w:widowControl/>
        <w:spacing w:before="40" w:after="40"/>
        <w:jc w:val="center"/>
        <w:rPr>
          <w:b/>
          <w:sz w:val="24"/>
          <w:szCs w:val="28"/>
        </w:rPr>
      </w:pPr>
      <w:r w:rsidRPr="00403C3E">
        <w:rPr>
          <w:b/>
          <w:sz w:val="20"/>
          <w:szCs w:val="28"/>
        </w:rPr>
        <w:t>表</w:t>
      </w:r>
      <w:r w:rsidRPr="00403C3E">
        <w:rPr>
          <w:b/>
          <w:sz w:val="20"/>
          <w:szCs w:val="28"/>
        </w:rPr>
        <w:t xml:space="preserve">1 </w:t>
      </w:r>
      <w:r w:rsidRPr="00403C3E">
        <w:rPr>
          <w:b/>
          <w:sz w:val="20"/>
          <w:szCs w:val="28"/>
        </w:rPr>
        <w:t>主要光学响应机制</w:t>
      </w:r>
      <w:r w:rsidRPr="00403C3E">
        <w:rPr>
          <w:rFonts w:hint="eastAsia"/>
          <w:b/>
          <w:sz w:val="20"/>
          <w:szCs w:val="28"/>
        </w:rPr>
        <w:t>及特点</w:t>
      </w:r>
    </w:p>
    <w:tbl>
      <w:tblPr>
        <w:tblW w:w="8192" w:type="dxa"/>
        <w:jc w:val="center"/>
        <w:tblBorders>
          <w:top w:val="single" w:sz="12" w:space="0" w:color="000000"/>
          <w:left w:val="none" w:sz="0" w:space="0" w:color="000000"/>
          <w:bottom w:val="single" w:sz="12" w:space="0" w:color="000000"/>
          <w:right w:val="none" w:sz="0" w:space="0" w:color="000000"/>
          <w:insideH w:val="none" w:sz="0" w:space="0" w:color="000000"/>
          <w:insideV w:val="none" w:sz="0" w:space="0" w:color="000000"/>
        </w:tblBorders>
        <w:tblLayout w:type="fixed"/>
        <w:tblCellMar>
          <w:top w:w="80" w:type="dxa"/>
          <w:left w:w="80" w:type="dxa"/>
          <w:bottom w:w="80" w:type="dxa"/>
          <w:right w:w="80" w:type="dxa"/>
        </w:tblCellMar>
        <w:tblLook w:val="04A0" w:firstRow="1" w:lastRow="0" w:firstColumn="1" w:lastColumn="0" w:noHBand="0" w:noVBand="1"/>
      </w:tblPr>
      <w:tblGrid>
        <w:gridCol w:w="1802"/>
        <w:gridCol w:w="1966"/>
        <w:gridCol w:w="1966"/>
        <w:gridCol w:w="2458"/>
      </w:tblGrid>
      <w:tr w:rsidR="007B31D8" w14:paraId="2C3076E2" w14:textId="77777777" w:rsidTr="008B0786">
        <w:trPr>
          <w:cantSplit/>
          <w:tblHeader/>
          <w:jc w:val="center"/>
        </w:trPr>
        <w:tc>
          <w:tcPr>
            <w:tcW w:w="1802"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0851EDBF" w14:textId="77777777" w:rsidR="007B31D8" w:rsidRDefault="007B31D8" w:rsidP="008B0786">
            <w:pPr>
              <w:widowControl/>
              <w:snapToGrid w:val="0"/>
              <w:jc w:val="center"/>
              <w:rPr>
                <w:b/>
                <w:sz w:val="18"/>
              </w:rPr>
            </w:pPr>
            <w:r>
              <w:rPr>
                <w:b/>
                <w:sz w:val="15"/>
                <w:szCs w:val="15"/>
              </w:rPr>
              <w:t>机制</w:t>
            </w:r>
            <w:r>
              <w:rPr>
                <w:b/>
                <w:sz w:val="15"/>
                <w:szCs w:val="15"/>
              </w:rPr>
              <w:t>/</w:t>
            </w:r>
            <w:r>
              <w:rPr>
                <w:b/>
                <w:sz w:val="15"/>
                <w:szCs w:val="15"/>
              </w:rPr>
              <w:t>对象</w:t>
            </w:r>
          </w:p>
        </w:tc>
        <w:tc>
          <w:tcPr>
            <w:tcW w:w="1966"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4A1A68DD" w14:textId="77777777" w:rsidR="007B31D8" w:rsidRDefault="007B31D8" w:rsidP="008B0786">
            <w:pPr>
              <w:widowControl/>
              <w:snapToGrid w:val="0"/>
              <w:jc w:val="center"/>
              <w:rPr>
                <w:b/>
                <w:sz w:val="18"/>
              </w:rPr>
            </w:pPr>
            <w:r>
              <w:rPr>
                <w:b/>
                <w:sz w:val="15"/>
                <w:szCs w:val="15"/>
              </w:rPr>
              <w:t>医学信息</w:t>
            </w:r>
          </w:p>
        </w:tc>
        <w:tc>
          <w:tcPr>
            <w:tcW w:w="1966"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7235D421" w14:textId="77777777" w:rsidR="007B31D8" w:rsidRDefault="007B31D8" w:rsidP="008B0786">
            <w:pPr>
              <w:widowControl/>
              <w:snapToGrid w:val="0"/>
              <w:jc w:val="center"/>
              <w:rPr>
                <w:b/>
                <w:sz w:val="18"/>
              </w:rPr>
            </w:pPr>
            <w:r>
              <w:rPr>
                <w:b/>
                <w:sz w:val="15"/>
                <w:szCs w:val="15"/>
              </w:rPr>
              <w:t>优势</w:t>
            </w:r>
          </w:p>
        </w:tc>
        <w:tc>
          <w:tcPr>
            <w:tcW w:w="2458"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1617DAC5" w14:textId="77777777" w:rsidR="007B31D8" w:rsidRDefault="007B31D8" w:rsidP="008B0786">
            <w:pPr>
              <w:widowControl/>
              <w:snapToGrid w:val="0"/>
              <w:jc w:val="center"/>
              <w:rPr>
                <w:b/>
                <w:sz w:val="18"/>
              </w:rPr>
            </w:pPr>
            <w:r>
              <w:rPr>
                <w:b/>
                <w:sz w:val="15"/>
                <w:szCs w:val="15"/>
              </w:rPr>
              <w:t>主要限制</w:t>
            </w:r>
          </w:p>
        </w:tc>
      </w:tr>
      <w:tr w:rsidR="007B31D8" w14:paraId="10626D69" w14:textId="77777777" w:rsidTr="008B0786">
        <w:trPr>
          <w:cantSplit/>
          <w:jc w:val="center"/>
        </w:trPr>
        <w:tc>
          <w:tcPr>
            <w:tcW w:w="1802" w:type="dxa"/>
            <w:tcBorders>
              <w:top w:val="single" w:sz="4" w:space="0" w:color="auto"/>
            </w:tcBorders>
            <w:tcMar>
              <w:top w:w="35" w:type="dxa"/>
              <w:left w:w="120" w:type="dxa"/>
              <w:bottom w:w="35" w:type="dxa"/>
              <w:right w:w="120" w:type="dxa"/>
            </w:tcMar>
            <w:vAlign w:val="center"/>
          </w:tcPr>
          <w:p w14:paraId="5A4D823C" w14:textId="77777777" w:rsidR="007B31D8" w:rsidRDefault="007B31D8" w:rsidP="008B0786">
            <w:pPr>
              <w:widowControl/>
              <w:snapToGrid w:val="0"/>
              <w:jc w:val="center"/>
              <w:rPr>
                <w:sz w:val="18"/>
              </w:rPr>
            </w:pPr>
            <w:r>
              <w:rPr>
                <w:sz w:val="15"/>
                <w:szCs w:val="15"/>
              </w:rPr>
              <w:t>强度调制</w:t>
            </w:r>
          </w:p>
        </w:tc>
        <w:tc>
          <w:tcPr>
            <w:tcW w:w="1966" w:type="dxa"/>
            <w:tcBorders>
              <w:top w:val="single" w:sz="4" w:space="0" w:color="auto"/>
            </w:tcBorders>
            <w:tcMar>
              <w:top w:w="35" w:type="dxa"/>
              <w:left w:w="120" w:type="dxa"/>
              <w:bottom w:w="35" w:type="dxa"/>
              <w:right w:w="120" w:type="dxa"/>
            </w:tcMar>
            <w:vAlign w:val="center"/>
          </w:tcPr>
          <w:p w14:paraId="6A8A123C" w14:textId="77777777" w:rsidR="007B31D8" w:rsidRDefault="007B31D8" w:rsidP="008B0786">
            <w:pPr>
              <w:widowControl/>
              <w:snapToGrid w:val="0"/>
              <w:jc w:val="center"/>
              <w:rPr>
                <w:sz w:val="18"/>
              </w:rPr>
            </w:pPr>
            <w:r>
              <w:rPr>
                <w:sz w:val="15"/>
                <w:szCs w:val="15"/>
              </w:rPr>
              <w:t>弯曲、压力、运动</w:t>
            </w:r>
          </w:p>
        </w:tc>
        <w:tc>
          <w:tcPr>
            <w:tcW w:w="1966" w:type="dxa"/>
            <w:tcBorders>
              <w:top w:val="single" w:sz="4" w:space="0" w:color="auto"/>
            </w:tcBorders>
            <w:tcMar>
              <w:top w:w="35" w:type="dxa"/>
              <w:left w:w="120" w:type="dxa"/>
              <w:bottom w:w="35" w:type="dxa"/>
              <w:right w:w="120" w:type="dxa"/>
            </w:tcMar>
            <w:vAlign w:val="center"/>
          </w:tcPr>
          <w:p w14:paraId="4DEA6ADA" w14:textId="77777777" w:rsidR="007B31D8" w:rsidRDefault="007B31D8" w:rsidP="008B0786">
            <w:pPr>
              <w:widowControl/>
              <w:snapToGrid w:val="0"/>
              <w:jc w:val="center"/>
              <w:rPr>
                <w:sz w:val="18"/>
              </w:rPr>
            </w:pPr>
            <w:r>
              <w:rPr>
                <w:sz w:val="15"/>
                <w:szCs w:val="15"/>
              </w:rPr>
              <w:t>结构简单、易集成</w:t>
            </w:r>
          </w:p>
        </w:tc>
        <w:tc>
          <w:tcPr>
            <w:tcW w:w="2458" w:type="dxa"/>
            <w:tcBorders>
              <w:top w:val="single" w:sz="4" w:space="0" w:color="auto"/>
            </w:tcBorders>
            <w:tcMar>
              <w:top w:w="35" w:type="dxa"/>
              <w:left w:w="120" w:type="dxa"/>
              <w:bottom w:w="35" w:type="dxa"/>
              <w:right w:w="120" w:type="dxa"/>
            </w:tcMar>
            <w:vAlign w:val="center"/>
          </w:tcPr>
          <w:p w14:paraId="35120BFB" w14:textId="77777777" w:rsidR="007B31D8" w:rsidRDefault="007B31D8" w:rsidP="008B0786">
            <w:pPr>
              <w:widowControl/>
              <w:snapToGrid w:val="0"/>
              <w:jc w:val="center"/>
              <w:rPr>
                <w:sz w:val="18"/>
              </w:rPr>
            </w:pPr>
            <w:r>
              <w:rPr>
                <w:sz w:val="15"/>
                <w:szCs w:val="15"/>
              </w:rPr>
              <w:t>耦合和封装影响大</w:t>
            </w:r>
          </w:p>
        </w:tc>
      </w:tr>
      <w:tr w:rsidR="007B31D8" w14:paraId="0F539252" w14:textId="77777777" w:rsidTr="008B0786">
        <w:trPr>
          <w:cantSplit/>
          <w:jc w:val="center"/>
        </w:trPr>
        <w:tc>
          <w:tcPr>
            <w:tcW w:w="1802" w:type="dxa"/>
            <w:tcMar>
              <w:top w:w="35" w:type="dxa"/>
              <w:left w:w="120" w:type="dxa"/>
              <w:bottom w:w="35" w:type="dxa"/>
              <w:right w:w="120" w:type="dxa"/>
            </w:tcMar>
            <w:vAlign w:val="center"/>
          </w:tcPr>
          <w:p w14:paraId="2B0C04BA" w14:textId="77777777" w:rsidR="007B31D8" w:rsidRDefault="007B31D8" w:rsidP="008B0786">
            <w:pPr>
              <w:widowControl/>
              <w:snapToGrid w:val="0"/>
              <w:jc w:val="center"/>
              <w:rPr>
                <w:sz w:val="18"/>
              </w:rPr>
            </w:pPr>
            <w:r>
              <w:rPr>
                <w:sz w:val="15"/>
                <w:szCs w:val="15"/>
              </w:rPr>
              <w:t>POF-FBG</w:t>
            </w:r>
          </w:p>
        </w:tc>
        <w:tc>
          <w:tcPr>
            <w:tcW w:w="1966" w:type="dxa"/>
            <w:tcMar>
              <w:top w:w="35" w:type="dxa"/>
              <w:left w:w="120" w:type="dxa"/>
              <w:bottom w:w="35" w:type="dxa"/>
              <w:right w:w="120" w:type="dxa"/>
            </w:tcMar>
            <w:vAlign w:val="center"/>
          </w:tcPr>
          <w:p w14:paraId="071E142A" w14:textId="77777777" w:rsidR="007B31D8" w:rsidRDefault="007B31D8" w:rsidP="008B0786">
            <w:pPr>
              <w:widowControl/>
              <w:snapToGrid w:val="0"/>
              <w:jc w:val="center"/>
              <w:rPr>
                <w:sz w:val="18"/>
              </w:rPr>
            </w:pPr>
            <w:r>
              <w:rPr>
                <w:sz w:val="15"/>
                <w:szCs w:val="15"/>
              </w:rPr>
              <w:t>应变、温湿度、压力</w:t>
            </w:r>
          </w:p>
        </w:tc>
        <w:tc>
          <w:tcPr>
            <w:tcW w:w="1966" w:type="dxa"/>
            <w:tcMar>
              <w:top w:w="35" w:type="dxa"/>
              <w:left w:w="120" w:type="dxa"/>
              <w:bottom w:w="35" w:type="dxa"/>
              <w:right w:w="120" w:type="dxa"/>
            </w:tcMar>
            <w:vAlign w:val="center"/>
          </w:tcPr>
          <w:p w14:paraId="27F83267" w14:textId="77777777" w:rsidR="007B31D8" w:rsidRDefault="007B31D8" w:rsidP="008B0786">
            <w:pPr>
              <w:widowControl/>
              <w:snapToGrid w:val="0"/>
              <w:jc w:val="center"/>
              <w:rPr>
                <w:sz w:val="18"/>
              </w:rPr>
            </w:pPr>
            <w:r>
              <w:rPr>
                <w:sz w:val="15"/>
                <w:szCs w:val="15"/>
              </w:rPr>
              <w:t>波长编码、可复用</w:t>
            </w:r>
          </w:p>
        </w:tc>
        <w:tc>
          <w:tcPr>
            <w:tcW w:w="2458" w:type="dxa"/>
            <w:tcMar>
              <w:top w:w="35" w:type="dxa"/>
              <w:left w:w="120" w:type="dxa"/>
              <w:bottom w:w="35" w:type="dxa"/>
              <w:right w:w="120" w:type="dxa"/>
            </w:tcMar>
            <w:vAlign w:val="center"/>
          </w:tcPr>
          <w:p w14:paraId="77B25429" w14:textId="77777777" w:rsidR="007B31D8" w:rsidRDefault="007B31D8" w:rsidP="008B0786">
            <w:pPr>
              <w:widowControl/>
              <w:snapToGrid w:val="0"/>
              <w:jc w:val="center"/>
              <w:rPr>
                <w:sz w:val="18"/>
              </w:rPr>
            </w:pPr>
            <w:r>
              <w:rPr>
                <w:sz w:val="15"/>
                <w:szCs w:val="15"/>
              </w:rPr>
              <w:t>交叉敏感需解耦</w:t>
            </w:r>
          </w:p>
        </w:tc>
      </w:tr>
      <w:tr w:rsidR="007B31D8" w14:paraId="532D40F6" w14:textId="77777777" w:rsidTr="008B0786">
        <w:trPr>
          <w:cantSplit/>
          <w:jc w:val="center"/>
        </w:trPr>
        <w:tc>
          <w:tcPr>
            <w:tcW w:w="1802" w:type="dxa"/>
            <w:tcMar>
              <w:top w:w="35" w:type="dxa"/>
              <w:left w:w="120" w:type="dxa"/>
              <w:bottom w:w="35" w:type="dxa"/>
              <w:right w:w="120" w:type="dxa"/>
            </w:tcMar>
            <w:vAlign w:val="center"/>
          </w:tcPr>
          <w:p w14:paraId="14211D26" w14:textId="77777777" w:rsidR="007B31D8" w:rsidRDefault="007B31D8" w:rsidP="008B0786">
            <w:pPr>
              <w:widowControl/>
              <w:snapToGrid w:val="0"/>
              <w:jc w:val="center"/>
              <w:rPr>
                <w:sz w:val="18"/>
              </w:rPr>
            </w:pPr>
            <w:r>
              <w:rPr>
                <w:sz w:val="15"/>
                <w:szCs w:val="15"/>
              </w:rPr>
              <w:t>光栅制备</w:t>
            </w:r>
          </w:p>
        </w:tc>
        <w:tc>
          <w:tcPr>
            <w:tcW w:w="1966" w:type="dxa"/>
            <w:tcMar>
              <w:top w:w="35" w:type="dxa"/>
              <w:left w:w="120" w:type="dxa"/>
              <w:bottom w:w="35" w:type="dxa"/>
              <w:right w:w="120" w:type="dxa"/>
            </w:tcMar>
            <w:vAlign w:val="center"/>
          </w:tcPr>
          <w:p w14:paraId="5567E79C" w14:textId="77777777" w:rsidR="007B31D8" w:rsidRDefault="007B31D8" w:rsidP="008B0786">
            <w:pPr>
              <w:widowControl/>
              <w:snapToGrid w:val="0"/>
              <w:jc w:val="center"/>
              <w:rPr>
                <w:sz w:val="18"/>
              </w:rPr>
            </w:pPr>
            <w:r>
              <w:rPr>
                <w:sz w:val="15"/>
                <w:szCs w:val="15"/>
              </w:rPr>
              <w:t>波长稳定性</w:t>
            </w:r>
          </w:p>
        </w:tc>
        <w:tc>
          <w:tcPr>
            <w:tcW w:w="1966" w:type="dxa"/>
            <w:tcMar>
              <w:top w:w="35" w:type="dxa"/>
              <w:left w:w="120" w:type="dxa"/>
              <w:bottom w:w="35" w:type="dxa"/>
              <w:right w:w="120" w:type="dxa"/>
            </w:tcMar>
            <w:vAlign w:val="center"/>
          </w:tcPr>
          <w:p w14:paraId="0E2D3D57" w14:textId="77777777" w:rsidR="007B31D8" w:rsidRDefault="007B31D8" w:rsidP="008B0786">
            <w:pPr>
              <w:widowControl/>
              <w:snapToGrid w:val="0"/>
              <w:jc w:val="center"/>
              <w:rPr>
                <w:sz w:val="18"/>
              </w:rPr>
            </w:pPr>
            <w:r>
              <w:rPr>
                <w:sz w:val="15"/>
                <w:szCs w:val="15"/>
              </w:rPr>
              <w:t>可形成阵列</w:t>
            </w:r>
          </w:p>
        </w:tc>
        <w:tc>
          <w:tcPr>
            <w:tcW w:w="2458" w:type="dxa"/>
            <w:tcMar>
              <w:top w:w="35" w:type="dxa"/>
              <w:left w:w="120" w:type="dxa"/>
              <w:bottom w:w="35" w:type="dxa"/>
              <w:right w:w="120" w:type="dxa"/>
            </w:tcMar>
            <w:vAlign w:val="center"/>
          </w:tcPr>
          <w:p w14:paraId="7896FB22" w14:textId="77777777" w:rsidR="007B31D8" w:rsidRDefault="007B31D8" w:rsidP="008B0786">
            <w:pPr>
              <w:widowControl/>
              <w:snapToGrid w:val="0"/>
              <w:jc w:val="center"/>
              <w:rPr>
                <w:sz w:val="18"/>
              </w:rPr>
            </w:pPr>
            <w:r>
              <w:rPr>
                <w:sz w:val="15"/>
                <w:szCs w:val="15"/>
              </w:rPr>
              <w:t>写入损伤和谱形漂移</w:t>
            </w:r>
          </w:p>
        </w:tc>
      </w:tr>
      <w:tr w:rsidR="007B31D8" w14:paraId="72D15311" w14:textId="77777777" w:rsidTr="008B0786">
        <w:trPr>
          <w:cantSplit/>
          <w:jc w:val="center"/>
        </w:trPr>
        <w:tc>
          <w:tcPr>
            <w:tcW w:w="1802" w:type="dxa"/>
            <w:tcMar>
              <w:top w:w="35" w:type="dxa"/>
              <w:left w:w="120" w:type="dxa"/>
              <w:bottom w:w="35" w:type="dxa"/>
              <w:right w:w="120" w:type="dxa"/>
            </w:tcMar>
            <w:vAlign w:val="center"/>
          </w:tcPr>
          <w:p w14:paraId="0A21EFB8" w14:textId="77777777" w:rsidR="007B31D8" w:rsidRDefault="007B31D8" w:rsidP="008B0786">
            <w:pPr>
              <w:widowControl/>
              <w:snapToGrid w:val="0"/>
              <w:jc w:val="center"/>
              <w:rPr>
                <w:sz w:val="18"/>
              </w:rPr>
            </w:pPr>
            <w:r>
              <w:rPr>
                <w:sz w:val="15"/>
                <w:szCs w:val="15"/>
              </w:rPr>
              <w:t>倏逝场</w:t>
            </w:r>
            <w:r>
              <w:rPr>
                <w:sz w:val="15"/>
                <w:szCs w:val="15"/>
              </w:rPr>
              <w:t>/SPR</w:t>
            </w:r>
          </w:p>
        </w:tc>
        <w:tc>
          <w:tcPr>
            <w:tcW w:w="1966" w:type="dxa"/>
            <w:tcMar>
              <w:top w:w="35" w:type="dxa"/>
              <w:left w:w="120" w:type="dxa"/>
              <w:bottom w:w="35" w:type="dxa"/>
              <w:right w:w="120" w:type="dxa"/>
            </w:tcMar>
            <w:vAlign w:val="center"/>
          </w:tcPr>
          <w:p w14:paraId="52F60ADC" w14:textId="77777777" w:rsidR="007B31D8" w:rsidRDefault="007B31D8" w:rsidP="008B0786">
            <w:pPr>
              <w:widowControl/>
              <w:snapToGrid w:val="0"/>
              <w:jc w:val="center"/>
              <w:rPr>
                <w:sz w:val="18"/>
              </w:rPr>
            </w:pPr>
            <w:r>
              <w:rPr>
                <w:sz w:val="15"/>
                <w:szCs w:val="15"/>
              </w:rPr>
              <w:t>折射率、生物识别</w:t>
            </w:r>
          </w:p>
        </w:tc>
        <w:tc>
          <w:tcPr>
            <w:tcW w:w="1966" w:type="dxa"/>
            <w:tcMar>
              <w:top w:w="35" w:type="dxa"/>
              <w:left w:w="120" w:type="dxa"/>
              <w:bottom w:w="35" w:type="dxa"/>
              <w:right w:w="120" w:type="dxa"/>
            </w:tcMar>
            <w:vAlign w:val="center"/>
          </w:tcPr>
          <w:p w14:paraId="440B696C" w14:textId="77777777" w:rsidR="007B31D8" w:rsidRDefault="007B31D8" w:rsidP="008B0786">
            <w:pPr>
              <w:widowControl/>
              <w:snapToGrid w:val="0"/>
              <w:jc w:val="center"/>
              <w:rPr>
                <w:sz w:val="18"/>
              </w:rPr>
            </w:pPr>
            <w:r>
              <w:rPr>
                <w:sz w:val="15"/>
                <w:szCs w:val="15"/>
              </w:rPr>
              <w:t>界面响应灵敏</w:t>
            </w:r>
          </w:p>
        </w:tc>
        <w:tc>
          <w:tcPr>
            <w:tcW w:w="2458" w:type="dxa"/>
            <w:tcMar>
              <w:top w:w="35" w:type="dxa"/>
              <w:left w:w="120" w:type="dxa"/>
              <w:bottom w:w="35" w:type="dxa"/>
              <w:right w:w="120" w:type="dxa"/>
            </w:tcMar>
            <w:vAlign w:val="center"/>
          </w:tcPr>
          <w:p w14:paraId="04D8235D" w14:textId="77777777" w:rsidR="007B31D8" w:rsidRDefault="007B31D8" w:rsidP="008B0786">
            <w:pPr>
              <w:widowControl/>
              <w:snapToGrid w:val="0"/>
              <w:jc w:val="center"/>
              <w:rPr>
                <w:sz w:val="18"/>
              </w:rPr>
            </w:pPr>
            <w:r>
              <w:rPr>
                <w:sz w:val="15"/>
                <w:szCs w:val="15"/>
              </w:rPr>
              <w:t>非特异吸附、传质受限</w:t>
            </w:r>
          </w:p>
        </w:tc>
      </w:tr>
      <w:tr w:rsidR="007B31D8" w14:paraId="243F427F" w14:textId="77777777" w:rsidTr="008B0786">
        <w:trPr>
          <w:cantSplit/>
          <w:jc w:val="center"/>
        </w:trPr>
        <w:tc>
          <w:tcPr>
            <w:tcW w:w="1802" w:type="dxa"/>
            <w:tcMar>
              <w:top w:w="35" w:type="dxa"/>
              <w:left w:w="120" w:type="dxa"/>
              <w:bottom w:w="35" w:type="dxa"/>
              <w:right w:w="120" w:type="dxa"/>
            </w:tcMar>
            <w:vAlign w:val="center"/>
          </w:tcPr>
          <w:p w14:paraId="636C9A6D" w14:textId="77777777" w:rsidR="007B31D8" w:rsidRDefault="007B31D8" w:rsidP="008B0786">
            <w:pPr>
              <w:widowControl/>
              <w:snapToGrid w:val="0"/>
              <w:jc w:val="center"/>
              <w:rPr>
                <w:sz w:val="18"/>
              </w:rPr>
            </w:pPr>
            <w:r>
              <w:rPr>
                <w:sz w:val="15"/>
                <w:szCs w:val="15"/>
              </w:rPr>
              <w:t>水凝胶响应</w:t>
            </w:r>
          </w:p>
        </w:tc>
        <w:tc>
          <w:tcPr>
            <w:tcW w:w="1966" w:type="dxa"/>
            <w:tcMar>
              <w:top w:w="35" w:type="dxa"/>
              <w:left w:w="120" w:type="dxa"/>
              <w:bottom w:w="35" w:type="dxa"/>
              <w:right w:w="120" w:type="dxa"/>
            </w:tcMar>
            <w:vAlign w:val="center"/>
          </w:tcPr>
          <w:p w14:paraId="586D2D20" w14:textId="77777777" w:rsidR="007B31D8" w:rsidRDefault="007B31D8" w:rsidP="008B0786">
            <w:pPr>
              <w:widowControl/>
              <w:snapToGrid w:val="0"/>
              <w:jc w:val="center"/>
              <w:rPr>
                <w:sz w:val="18"/>
              </w:rPr>
            </w:pPr>
            <w:r>
              <w:rPr>
                <w:sz w:val="15"/>
                <w:szCs w:val="15"/>
              </w:rPr>
              <w:t>葡萄糖、溶胀响应</w:t>
            </w:r>
          </w:p>
        </w:tc>
        <w:tc>
          <w:tcPr>
            <w:tcW w:w="1966" w:type="dxa"/>
            <w:tcMar>
              <w:top w:w="35" w:type="dxa"/>
              <w:left w:w="120" w:type="dxa"/>
              <w:bottom w:w="35" w:type="dxa"/>
              <w:right w:w="120" w:type="dxa"/>
            </w:tcMar>
            <w:vAlign w:val="center"/>
          </w:tcPr>
          <w:p w14:paraId="6F69032F" w14:textId="77777777" w:rsidR="007B31D8" w:rsidRDefault="007B31D8" w:rsidP="008B0786">
            <w:pPr>
              <w:widowControl/>
              <w:snapToGrid w:val="0"/>
              <w:jc w:val="center"/>
              <w:rPr>
                <w:sz w:val="18"/>
              </w:rPr>
            </w:pPr>
            <w:r>
              <w:rPr>
                <w:sz w:val="15"/>
                <w:szCs w:val="15"/>
              </w:rPr>
              <w:t>力学匹配较好</w:t>
            </w:r>
          </w:p>
        </w:tc>
        <w:tc>
          <w:tcPr>
            <w:tcW w:w="2458" w:type="dxa"/>
            <w:tcMar>
              <w:top w:w="35" w:type="dxa"/>
              <w:left w:w="120" w:type="dxa"/>
              <w:bottom w:w="35" w:type="dxa"/>
              <w:right w:w="120" w:type="dxa"/>
            </w:tcMar>
            <w:vAlign w:val="center"/>
          </w:tcPr>
          <w:p w14:paraId="2AAC04C2" w14:textId="77777777" w:rsidR="007B31D8" w:rsidRDefault="007B31D8" w:rsidP="008B0786">
            <w:pPr>
              <w:widowControl/>
              <w:snapToGrid w:val="0"/>
              <w:jc w:val="center"/>
              <w:rPr>
                <w:sz w:val="18"/>
              </w:rPr>
            </w:pPr>
            <w:r>
              <w:rPr>
                <w:sz w:val="15"/>
                <w:szCs w:val="15"/>
              </w:rPr>
              <w:t>选择性和长期稳定性不足</w:t>
            </w:r>
          </w:p>
        </w:tc>
      </w:tr>
      <w:tr w:rsidR="007B31D8" w14:paraId="6FD5973A" w14:textId="77777777" w:rsidTr="008B0786">
        <w:trPr>
          <w:cantSplit/>
          <w:jc w:val="center"/>
        </w:trPr>
        <w:tc>
          <w:tcPr>
            <w:tcW w:w="1802" w:type="dxa"/>
            <w:tcMar>
              <w:top w:w="35" w:type="dxa"/>
              <w:left w:w="120" w:type="dxa"/>
              <w:bottom w:w="35" w:type="dxa"/>
              <w:right w:w="120" w:type="dxa"/>
            </w:tcMar>
            <w:vAlign w:val="center"/>
          </w:tcPr>
          <w:p w14:paraId="29E6C892" w14:textId="77777777" w:rsidR="007B31D8" w:rsidRDefault="007B31D8" w:rsidP="008B0786">
            <w:pPr>
              <w:widowControl/>
              <w:snapToGrid w:val="0"/>
              <w:jc w:val="center"/>
              <w:rPr>
                <w:sz w:val="18"/>
              </w:rPr>
            </w:pPr>
            <w:r>
              <w:rPr>
                <w:sz w:val="15"/>
                <w:szCs w:val="15"/>
              </w:rPr>
              <w:t>可吸收导光</w:t>
            </w:r>
          </w:p>
        </w:tc>
        <w:tc>
          <w:tcPr>
            <w:tcW w:w="1966" w:type="dxa"/>
            <w:tcMar>
              <w:top w:w="35" w:type="dxa"/>
              <w:left w:w="120" w:type="dxa"/>
              <w:bottom w:w="35" w:type="dxa"/>
              <w:right w:w="120" w:type="dxa"/>
            </w:tcMar>
            <w:vAlign w:val="center"/>
          </w:tcPr>
          <w:p w14:paraId="15A958FE" w14:textId="77777777" w:rsidR="007B31D8" w:rsidRDefault="007B31D8" w:rsidP="008B0786">
            <w:pPr>
              <w:widowControl/>
              <w:snapToGrid w:val="0"/>
              <w:jc w:val="center"/>
              <w:rPr>
                <w:sz w:val="18"/>
              </w:rPr>
            </w:pPr>
            <w:r>
              <w:rPr>
                <w:sz w:val="15"/>
                <w:szCs w:val="15"/>
              </w:rPr>
              <w:t>光递送、短期监测</w:t>
            </w:r>
          </w:p>
        </w:tc>
        <w:tc>
          <w:tcPr>
            <w:tcW w:w="1966" w:type="dxa"/>
            <w:tcMar>
              <w:top w:w="35" w:type="dxa"/>
              <w:left w:w="120" w:type="dxa"/>
              <w:bottom w:w="35" w:type="dxa"/>
              <w:right w:w="120" w:type="dxa"/>
            </w:tcMar>
            <w:vAlign w:val="center"/>
          </w:tcPr>
          <w:p w14:paraId="1CC7B47C" w14:textId="74645234" w:rsidR="007B31D8" w:rsidRDefault="007B31D8" w:rsidP="008B0786">
            <w:pPr>
              <w:widowControl/>
              <w:snapToGrid w:val="0"/>
              <w:jc w:val="center"/>
              <w:rPr>
                <w:sz w:val="18"/>
              </w:rPr>
            </w:pPr>
            <w:r>
              <w:rPr>
                <w:sz w:val="15"/>
                <w:szCs w:val="15"/>
              </w:rPr>
              <w:t>植入后可消</w:t>
            </w:r>
            <w:r w:rsidR="00403C3E">
              <w:rPr>
                <w:rFonts w:hint="eastAsia"/>
                <w:sz w:val="15"/>
                <w:szCs w:val="15"/>
              </w:rPr>
              <w:t>融</w:t>
            </w:r>
          </w:p>
        </w:tc>
        <w:tc>
          <w:tcPr>
            <w:tcW w:w="2458" w:type="dxa"/>
            <w:tcMar>
              <w:top w:w="35" w:type="dxa"/>
              <w:left w:w="120" w:type="dxa"/>
              <w:bottom w:w="35" w:type="dxa"/>
              <w:right w:w="120" w:type="dxa"/>
            </w:tcMar>
            <w:vAlign w:val="center"/>
          </w:tcPr>
          <w:p w14:paraId="3463B2F8" w14:textId="77777777" w:rsidR="007B31D8" w:rsidRDefault="007B31D8" w:rsidP="008B0786">
            <w:pPr>
              <w:widowControl/>
              <w:snapToGrid w:val="0"/>
              <w:jc w:val="center"/>
              <w:rPr>
                <w:sz w:val="18"/>
              </w:rPr>
            </w:pPr>
            <w:r>
              <w:rPr>
                <w:sz w:val="15"/>
                <w:szCs w:val="15"/>
              </w:rPr>
              <w:t>光通量与降解不同步</w:t>
            </w:r>
          </w:p>
        </w:tc>
      </w:tr>
    </w:tbl>
    <w:p w14:paraId="4C192A78" w14:textId="5D27B7F0" w:rsidR="006D6DEA" w:rsidRDefault="00772A90" w:rsidP="004B45E4">
      <w:pPr>
        <w:widowControl/>
        <w:spacing w:beforeLines="50" w:before="156"/>
        <w:ind w:firstLine="420"/>
        <w:rPr>
          <w:rFonts w:ascii="Segoe UI" w:hAnsi="Segoe UI" w:cs="Segoe UI"/>
          <w:color w:val="0F1115"/>
          <w:shd w:val="clear" w:color="auto" w:fill="FFFFFF"/>
        </w:rPr>
      </w:pPr>
      <w:r>
        <w:rPr>
          <w:rFonts w:hint="eastAsia"/>
        </w:rPr>
        <w:lastRenderedPageBreak/>
        <w:t>综合</w:t>
      </w:r>
      <w:r>
        <w:t>来看，现有材料</w:t>
      </w:r>
      <w:r>
        <w:rPr>
          <w:rFonts w:hint="eastAsia"/>
        </w:rPr>
        <w:t>研究</w:t>
      </w:r>
      <w:r>
        <w:t>显示出相对清晰的演</w:t>
      </w:r>
      <w:r>
        <w:rPr>
          <w:rFonts w:hint="eastAsia"/>
        </w:rPr>
        <w:t>化和发展</w:t>
      </w:r>
      <w:r>
        <w:t>方向</w:t>
      </w:r>
      <w:r>
        <w:rPr>
          <w:rFonts w:hint="eastAsia"/>
        </w:rPr>
        <w:t>：</w:t>
      </w:r>
      <w:r>
        <w:t>低成本传光材料逐步转向低损耗、低吸水和</w:t>
      </w:r>
      <w:r>
        <w:rPr>
          <w:rFonts w:hint="eastAsia"/>
        </w:rPr>
        <w:t>高稳定性</w:t>
      </w:r>
      <w:r>
        <w:t>材料；硬质热塑性光纤之外，软波导、水凝胶和可降解导光结构也被纳入医学</w:t>
      </w:r>
      <w:r>
        <w:rPr>
          <w:rFonts w:hint="eastAsia"/>
        </w:rPr>
        <w:t>诊疗应用</w:t>
      </w:r>
      <w:r>
        <w:t>；单项性能优化正在让位于使用时间内的多</w:t>
      </w:r>
      <w:r w:rsidR="004B45E4">
        <w:rPr>
          <w:rFonts w:hint="eastAsia"/>
        </w:rPr>
        <w:t>种</w:t>
      </w:r>
      <w:r>
        <w:t>性能</w:t>
      </w:r>
      <w:r w:rsidR="004B45E4">
        <w:rPr>
          <w:rFonts w:hint="eastAsia"/>
        </w:rPr>
        <w:t>的</w:t>
      </w:r>
      <w:r>
        <w:t>权衡。</w:t>
      </w:r>
      <w:r>
        <w:rPr>
          <w:rFonts w:ascii="Segoe UI" w:hAnsi="Segoe UI" w:cs="Segoe UI"/>
          <w:color w:val="0F1115"/>
          <w:shd w:val="clear" w:color="auto" w:fill="FFFFFF"/>
        </w:rPr>
        <w:t>由于损耗、模量、吸水率、降解速率和生物相容性等指标常在不同波长、湿度、封装和加载条件下测得，直接进行定量比较并不可靠。材料选择宜从医学应用出发，先确定主导干扰和可接受的稳定性范围，再选择相应的验证方式。</w:t>
      </w:r>
    </w:p>
    <w:p w14:paraId="57C869B2" w14:textId="77777777" w:rsidR="00AF5797" w:rsidRDefault="00AF5797" w:rsidP="004B45E4">
      <w:pPr>
        <w:widowControl/>
        <w:spacing w:beforeLines="50" w:before="156"/>
        <w:ind w:firstLine="420"/>
        <w:rPr>
          <w:rFonts w:cs="宋体" w:hint="eastAsia"/>
          <w:szCs w:val="21"/>
        </w:rPr>
      </w:pPr>
    </w:p>
    <w:p w14:paraId="7C7F1A34" w14:textId="77777777" w:rsidR="006D6DEA" w:rsidRDefault="00772A90">
      <w:pPr>
        <w:keepNext/>
        <w:keepLines/>
        <w:widowControl/>
        <w:spacing w:before="120" w:after="60"/>
        <w:jc w:val="left"/>
        <w:rPr>
          <w:sz w:val="24"/>
        </w:rPr>
      </w:pPr>
      <w:r>
        <w:rPr>
          <w:rFonts w:eastAsia="黑体"/>
          <w:b/>
          <w:sz w:val="24"/>
          <w:szCs w:val="24"/>
        </w:rPr>
        <w:t xml:space="preserve">2 </w:t>
      </w:r>
      <w:r>
        <w:rPr>
          <w:rFonts w:eastAsia="黑体"/>
          <w:b/>
          <w:sz w:val="24"/>
          <w:szCs w:val="24"/>
        </w:rPr>
        <w:t>研究进展与医学应用</w:t>
      </w:r>
    </w:p>
    <w:p w14:paraId="7829DDA8" w14:textId="5F176832" w:rsidR="00284743" w:rsidRDefault="00284743" w:rsidP="00284743">
      <w:pPr>
        <w:widowControl/>
        <w:ind w:firstLineChars="200" w:firstLine="420"/>
        <w:rPr>
          <w:b/>
          <w:sz w:val="22"/>
        </w:rPr>
      </w:pPr>
      <w:r>
        <w:rPr>
          <w:shd w:val="clear" w:color="auto" w:fill="FFFFFF"/>
        </w:rPr>
        <w:t>聚合物医用光纤的研究</w:t>
      </w:r>
      <w:r>
        <w:rPr>
          <w:rFonts w:hint="eastAsia"/>
          <w:shd w:val="clear" w:color="auto" w:fill="FFFFFF"/>
        </w:rPr>
        <w:t>主要集中在物理传感与器件击穿，例如，</w:t>
      </w:r>
      <w:r>
        <w:rPr>
          <w:shd w:val="clear" w:color="auto" w:fill="FFFFFF"/>
        </w:rPr>
        <w:t>传统</w:t>
      </w:r>
      <w:r>
        <w:rPr>
          <w:shd w:val="clear" w:color="auto" w:fill="FFFFFF"/>
        </w:rPr>
        <w:t>POF</w:t>
      </w:r>
      <w:r>
        <w:rPr>
          <w:shd w:val="clear" w:color="auto" w:fill="FFFFFF"/>
        </w:rPr>
        <w:t>、</w:t>
      </w:r>
      <w:r>
        <w:rPr>
          <w:shd w:val="clear" w:color="auto" w:fill="FFFFFF"/>
        </w:rPr>
        <w:t>POF-FBG</w:t>
      </w:r>
      <w:r>
        <w:rPr>
          <w:shd w:val="clear" w:color="auto" w:fill="FFFFFF"/>
        </w:rPr>
        <w:t>和柔性波导主要面向物理量监测；</w:t>
      </w:r>
      <w:r>
        <w:rPr>
          <w:shd w:val="clear" w:color="auto" w:fill="FFFFFF"/>
        </w:rPr>
        <w:t>SPR</w:t>
      </w:r>
      <w:r>
        <w:rPr>
          <w:shd w:val="clear" w:color="auto" w:fill="FFFFFF"/>
        </w:rPr>
        <w:t>、倏逝场和水凝胶光纤依赖界面化学；</w:t>
      </w:r>
      <w:r>
        <w:rPr>
          <w:rFonts w:hint="eastAsia"/>
          <w:shd w:val="clear" w:color="auto" w:fill="FFFFFF"/>
        </w:rPr>
        <w:t>而</w:t>
      </w:r>
      <w:r>
        <w:rPr>
          <w:shd w:val="clear" w:color="auto" w:fill="FFFFFF"/>
        </w:rPr>
        <w:t>可降解光纤与多功能纤维则服务于组织内光递送和短期植入。</w:t>
      </w:r>
    </w:p>
    <w:p w14:paraId="00E9340F" w14:textId="5E582FAD" w:rsidR="006D6DEA" w:rsidRDefault="00772A90" w:rsidP="007B31D8">
      <w:pPr>
        <w:widowControl/>
        <w:ind w:firstLineChars="100" w:firstLine="221"/>
        <w:rPr>
          <w:b/>
          <w:sz w:val="22"/>
        </w:rPr>
      </w:pPr>
      <w:r>
        <w:rPr>
          <w:rFonts w:hint="eastAsia"/>
          <w:b/>
          <w:sz w:val="22"/>
        </w:rPr>
        <w:t xml:space="preserve">2.1 </w:t>
      </w:r>
      <w:r>
        <w:rPr>
          <w:rFonts w:hint="eastAsia"/>
          <w:b/>
          <w:sz w:val="22"/>
        </w:rPr>
        <w:t>物理传感与器件集成</w:t>
      </w:r>
    </w:p>
    <w:p w14:paraId="0D7EE025" w14:textId="77777777" w:rsidR="006D6DEA" w:rsidRDefault="00772A90">
      <w:pPr>
        <w:widowControl/>
        <w:ind w:firstLine="420"/>
        <w:rPr>
          <w:rFonts w:ascii="Segoe UI" w:hAnsi="Segoe UI" w:cs="Segoe UI"/>
          <w:color w:val="0F1115"/>
          <w:shd w:val="clear" w:color="auto" w:fill="FFFFFF"/>
        </w:rPr>
      </w:pPr>
      <w:r>
        <w:t>强度调制型</w:t>
      </w:r>
      <w:r>
        <w:t xml:space="preserve"> POF </w:t>
      </w:r>
      <w:r>
        <w:t>的优势是大芯径、低成本、易与</w:t>
      </w:r>
      <w:r>
        <w:t xml:space="preserve"> LED </w:t>
      </w:r>
      <w:r>
        <w:t>和光电二极管耦合</w:t>
      </w:r>
      <w:r>
        <w:rPr>
          <w:vertAlign w:val="superscript"/>
        </w:rPr>
        <w:t>[9]</w:t>
      </w:r>
      <w:r>
        <w:t>，因而常用于可穿戴形变、呼吸、关节活动和康复辅具。它的局限</w:t>
      </w:r>
      <w:r>
        <w:rPr>
          <w:rFonts w:hint="eastAsia"/>
        </w:rPr>
        <w:t>性</w:t>
      </w:r>
      <w:r>
        <w:t>也很直接：光强变化同时受弯曲、耦合、光源稳定性、封装应力和佩戴方式影响，不能自然等同于某一医学量。</w:t>
      </w:r>
      <w:r>
        <w:t xml:space="preserve">Vilarinho </w:t>
      </w:r>
      <w:r>
        <w:t>等将</w:t>
      </w:r>
      <w:r>
        <w:t xml:space="preserve"> POF-FBG </w:t>
      </w:r>
      <w:r>
        <w:t>嵌入软木鞋垫获得局部载荷信息</w:t>
      </w:r>
      <w:r>
        <w:rPr>
          <w:vertAlign w:val="superscript"/>
        </w:rPr>
        <w:t>[21]</w:t>
      </w:r>
      <w:r>
        <w:t>，该工作</w:t>
      </w:r>
      <w:r>
        <w:rPr>
          <w:rFonts w:hint="eastAsia"/>
        </w:rPr>
        <w:t>表明</w:t>
      </w:r>
      <w:r>
        <w:t>，可穿戴场景仍需要压力平台、运动学系统或临床参照校准。</w:t>
      </w:r>
      <w:r>
        <w:rPr>
          <w:rFonts w:ascii="Segoe UI" w:hAnsi="Segoe UI" w:cs="Segoe UI"/>
          <w:color w:val="0F1115"/>
          <w:shd w:val="clear" w:color="auto" w:fill="FFFFFF"/>
        </w:rPr>
        <w:t>此类器件的成熟更多体现在工程集成层面，其医学解释仍取决于封装方案和参照系统的完备性</w:t>
      </w:r>
    </w:p>
    <w:p w14:paraId="5769A3DD" w14:textId="64A2F207" w:rsidR="006D6DEA" w:rsidRDefault="00772A90">
      <w:pPr>
        <w:widowControl/>
        <w:ind w:firstLine="420"/>
      </w:pPr>
      <w:r>
        <w:t>POF-FBG</w:t>
      </w:r>
      <w:r>
        <w:rPr>
          <w:rFonts w:ascii="Segoe UI" w:hAnsi="Segoe UI" w:cs="Segoe UI"/>
          <w:color w:val="0F1115"/>
          <w:shd w:val="clear" w:color="auto" w:fill="FFFFFF"/>
        </w:rPr>
        <w:t>则更适合做</w:t>
      </w:r>
      <w:r w:rsidR="00284743">
        <w:rPr>
          <w:rFonts w:ascii="Segoe UI" w:hAnsi="Segoe UI" w:cs="Segoe UI" w:hint="eastAsia"/>
          <w:color w:val="0F1115"/>
          <w:shd w:val="clear" w:color="auto" w:fill="FFFFFF"/>
        </w:rPr>
        <w:t>应变或形变的</w:t>
      </w:r>
      <w:r>
        <w:rPr>
          <w:rFonts w:ascii="Segoe UI" w:hAnsi="Segoe UI" w:cs="Segoe UI"/>
          <w:color w:val="0F1115"/>
          <w:shd w:val="clear" w:color="auto" w:fill="FFFFFF"/>
        </w:rPr>
        <w:t>定量</w:t>
      </w:r>
      <w:r w:rsidR="00284743">
        <w:rPr>
          <w:rFonts w:ascii="Segoe UI" w:hAnsi="Segoe UI" w:cs="Segoe UI" w:hint="eastAsia"/>
          <w:color w:val="0F1115"/>
          <w:shd w:val="clear" w:color="auto" w:fill="FFFFFF"/>
        </w:rPr>
        <w:t>感测，具有</w:t>
      </w:r>
      <w:r>
        <w:t>波长编码、阵列复用和较强的抗光源波动能力</w:t>
      </w:r>
      <w:r>
        <w:rPr>
          <w:rFonts w:hint="eastAsia"/>
        </w:rPr>
        <w:t>。</w:t>
      </w:r>
      <w:r>
        <w:rPr>
          <w:rFonts w:ascii="Segoe UI" w:hAnsi="Segoe UI" w:cs="Segoe UI"/>
          <w:color w:val="0F1115"/>
          <w:shd w:val="clear" w:color="auto" w:fill="FFFFFF"/>
        </w:rPr>
        <w:t>现有研究表明，</w:t>
      </w:r>
      <w:r>
        <w:t>多点测量和材料可调性是主要</w:t>
      </w:r>
      <w:r>
        <w:rPr>
          <w:rFonts w:hint="eastAsia"/>
        </w:rPr>
        <w:t>发</w:t>
      </w:r>
      <w:r>
        <w:t>展方向</w:t>
      </w:r>
      <w:r>
        <w:rPr>
          <w:vertAlign w:val="superscript"/>
        </w:rPr>
        <w:t>[22]</w:t>
      </w:r>
      <w:r>
        <w:rPr>
          <w:rFonts w:hint="eastAsia"/>
        </w:rPr>
        <w:t>；</w:t>
      </w:r>
      <w:r>
        <w:t>面向医疗器件的超快</w:t>
      </w:r>
      <w:r>
        <w:t>POF-FBG</w:t>
      </w:r>
      <w:r>
        <w:t>写入</w:t>
      </w:r>
      <w:r w:rsidR="00284743">
        <w:rPr>
          <w:rFonts w:hint="eastAsia"/>
        </w:rPr>
        <w:t>表</w:t>
      </w:r>
      <w:r>
        <w:t>明，加工效率和写入损伤已</w:t>
      </w:r>
      <w:r w:rsidR="00284743">
        <w:rPr>
          <w:rFonts w:hint="eastAsia"/>
        </w:rPr>
        <w:t>聚焦到</w:t>
      </w:r>
      <w:r>
        <w:t>器件制造层面</w:t>
      </w:r>
      <w:r>
        <w:rPr>
          <w:vertAlign w:val="superscript"/>
        </w:rPr>
        <w:t>[23]</w:t>
      </w:r>
      <w:r>
        <w:t>。</w:t>
      </w:r>
      <w:r>
        <w:rPr>
          <w:rFonts w:ascii="Segoe UI" w:hAnsi="Segoe UI" w:cs="Segoe UI"/>
          <w:color w:val="0F1115"/>
          <w:shd w:val="clear" w:color="auto" w:fill="FFFFFF"/>
        </w:rPr>
        <w:t>然而，温度、湿度和应变常共同改变布拉格波长，温湿度同步测量结果已说明聚合物光栅并非单变量传感器</w:t>
      </w:r>
      <w:r>
        <w:rPr>
          <w:vertAlign w:val="superscript"/>
        </w:rPr>
        <w:t>[24]</w:t>
      </w:r>
      <w:r>
        <w:t>。面向医学应用时，灵敏度矩阵、交叉敏感、噪声传播和湿态标定</w:t>
      </w:r>
      <w:r>
        <w:rPr>
          <w:rFonts w:hint="eastAsia"/>
        </w:rPr>
        <w:t>日益</w:t>
      </w:r>
      <w:r>
        <w:t>成为</w:t>
      </w:r>
      <w:r>
        <w:rPr>
          <w:rFonts w:hint="eastAsia"/>
        </w:rPr>
        <w:t>需要关注的</w:t>
      </w:r>
      <w:r>
        <w:t>内容。</w:t>
      </w:r>
    </w:p>
    <w:p w14:paraId="0AC03203" w14:textId="77777777" w:rsidR="006D6DEA" w:rsidRDefault="00772A90">
      <w:pPr>
        <w:widowControl/>
        <w:ind w:firstLine="420"/>
      </w:pPr>
      <w:r>
        <w:t>柔性波导主要解决软组织与器件之间的力学匹配。</w:t>
      </w:r>
      <w:r>
        <w:t>PDMS</w:t>
      </w:r>
      <w:r>
        <w:t>、</w:t>
      </w:r>
      <w:r>
        <w:t>PU</w:t>
      </w:r>
      <w:r>
        <w:t>、</w:t>
      </w:r>
      <w:r>
        <w:t xml:space="preserve">SEBS </w:t>
      </w:r>
      <w:r>
        <w:t>和热塑性弹性体等材料适合大形变、贴附式和织物集成场景</w:t>
      </w:r>
      <w:r>
        <w:rPr>
          <w:vertAlign w:val="superscript"/>
        </w:rPr>
        <w:t>[6]</w:t>
      </w:r>
      <w:r>
        <w:t>，可覆盖传统硬质光纤难以承受的形变范围</w:t>
      </w:r>
      <w:r>
        <w:rPr>
          <w:vertAlign w:val="superscript"/>
        </w:rPr>
        <w:t>[12]</w:t>
      </w:r>
      <w:r>
        <w:t>。但其信号路径依赖较强，同样的位移或压力，在不同加载速度、弯曲半径、封装方式和循环</w:t>
      </w:r>
      <w:r>
        <w:rPr>
          <w:rFonts w:hint="eastAsia"/>
        </w:rPr>
        <w:t>经历</w:t>
      </w:r>
      <w:r>
        <w:t>下可能产生不同响应。贴合性和舒适性是优势，定量标定和长期重复性仍是短板。</w:t>
      </w:r>
    </w:p>
    <w:p w14:paraId="0A4B5B49" w14:textId="77777777" w:rsidR="006D6DEA" w:rsidRDefault="00772A90" w:rsidP="007B31D8">
      <w:pPr>
        <w:widowControl/>
        <w:ind w:firstLineChars="100" w:firstLine="211"/>
        <w:rPr>
          <w:b/>
        </w:rPr>
      </w:pPr>
      <w:r>
        <w:rPr>
          <w:rFonts w:hint="eastAsia"/>
          <w:b/>
        </w:rPr>
        <w:t xml:space="preserve">2.2 </w:t>
      </w:r>
      <w:r>
        <w:rPr>
          <w:rFonts w:hint="eastAsia"/>
          <w:b/>
        </w:rPr>
        <w:t>生化传感与界面检测</w:t>
      </w:r>
    </w:p>
    <w:p w14:paraId="07F9A9DC" w14:textId="2CD23F0B" w:rsidR="006D6DEA" w:rsidRDefault="00772A90">
      <w:pPr>
        <w:widowControl/>
        <w:ind w:firstLine="420"/>
      </w:pPr>
      <w:r>
        <w:t xml:space="preserve">SPR </w:t>
      </w:r>
      <w:r>
        <w:t>和倏逝场传感</w:t>
      </w:r>
      <w:r w:rsidR="00284743">
        <w:rPr>
          <w:rFonts w:hint="eastAsia"/>
        </w:rPr>
        <w:t>适合于</w:t>
      </w:r>
      <w:r>
        <w:t>界面生化检测。塑料芯</w:t>
      </w:r>
      <w:r>
        <w:t>POF SPR</w:t>
      </w:r>
      <w:r>
        <w:t>结构已用于低成本生物传感</w:t>
      </w:r>
      <w:r>
        <w:rPr>
          <w:vertAlign w:val="superscript"/>
        </w:rPr>
        <w:t>[25]</w:t>
      </w:r>
      <w:r>
        <w:t>，聚合物导波生物医学传感研究也强调界面识别层对选择性的作用</w:t>
      </w:r>
      <w:r>
        <w:rPr>
          <w:vertAlign w:val="superscript"/>
        </w:rPr>
        <w:t>[26]</w:t>
      </w:r>
      <w:r>
        <w:t>。该</w:t>
      </w:r>
      <w:r w:rsidR="00284743">
        <w:rPr>
          <w:rFonts w:hint="eastAsia"/>
        </w:rPr>
        <w:t>技术</w:t>
      </w:r>
      <w:r>
        <w:t>路线适合折射率变化、抗原</w:t>
      </w:r>
      <w:r>
        <w:rPr>
          <w:rFonts w:hint="eastAsia"/>
        </w:rPr>
        <w:t>-</w:t>
      </w:r>
      <w:r>
        <w:t>抗体结合、代谢物或标志物检测。</w:t>
      </w:r>
      <w:r>
        <w:rPr>
          <w:rFonts w:hint="eastAsia"/>
        </w:rPr>
        <w:t>主要</w:t>
      </w:r>
      <w:r>
        <w:t>限制来自真实样品</w:t>
      </w:r>
      <w:r>
        <w:rPr>
          <w:rFonts w:hint="eastAsia"/>
        </w:rPr>
        <w:t>环境</w:t>
      </w:r>
      <w:r>
        <w:t>：非特异吸附、基质背景和检测限稳定性都会影响结</w:t>
      </w:r>
      <w:r w:rsidR="00284743">
        <w:rPr>
          <w:rFonts w:hint="eastAsia"/>
        </w:rPr>
        <w:t>果</w:t>
      </w:r>
      <w:r>
        <w:t>。其原理较成熟，医学成熟度仍取决于阴性对照、真实样品和抗污染策略</w:t>
      </w:r>
      <w:r>
        <w:rPr>
          <w:rFonts w:hint="eastAsia"/>
        </w:rPr>
        <w:t>与方法</w:t>
      </w:r>
      <w:r>
        <w:t>。</w:t>
      </w:r>
    </w:p>
    <w:p w14:paraId="0FF60217" w14:textId="59CE7F4C" w:rsidR="006D6DEA" w:rsidRDefault="00772A90">
      <w:pPr>
        <w:widowControl/>
        <w:ind w:firstLine="420"/>
      </w:pPr>
      <w:r>
        <w:rPr>
          <w:rFonts w:ascii="Segoe UI" w:hAnsi="Segoe UI" w:cs="Segoe UI"/>
          <w:color w:val="0F1115"/>
          <w:shd w:val="clear" w:color="auto" w:fill="FFFFFF"/>
        </w:rPr>
        <w:t>水凝胶光纤介于软材料器件与生化传感器之间。葡萄糖敏感水凝胶光纤利用苯硼酸与葡萄糖的可逆结合产生光学变化</w:t>
      </w:r>
      <w:r>
        <w:rPr>
          <w:vertAlign w:val="superscript"/>
        </w:rPr>
        <w:t>[14]</w:t>
      </w:r>
      <w:r>
        <w:t>，</w:t>
      </w:r>
      <w:r>
        <w:rPr>
          <w:rFonts w:ascii="Segoe UI" w:hAnsi="Segoe UI" w:cs="Segoe UI"/>
          <w:color w:val="0F1115"/>
          <w:shd w:val="clear" w:color="auto" w:fill="FFFFFF"/>
        </w:rPr>
        <w:t>水凝胶阶跃光纤则展示了高含水软材料与组织力学匹配的可能性</w:t>
      </w:r>
      <w:r>
        <w:rPr>
          <w:vertAlign w:val="superscript"/>
        </w:rPr>
        <w:t>[13]</w:t>
      </w:r>
      <w:r>
        <w:t>。与</w:t>
      </w:r>
      <w:r>
        <w:t>SPR</w:t>
      </w:r>
      <w:r>
        <w:t>相比，水凝胶光纤可</w:t>
      </w:r>
      <w:r>
        <w:rPr>
          <w:rFonts w:hint="eastAsia"/>
        </w:rPr>
        <w:t>将</w:t>
      </w:r>
      <w:r>
        <w:t>溶胀、结合反应和力学匹配放在同一结构中，适合局部化学环境或组织接触界面</w:t>
      </w:r>
      <w:r w:rsidR="00284743">
        <w:rPr>
          <w:rFonts w:hint="eastAsia"/>
        </w:rPr>
        <w:t>信息读取</w:t>
      </w:r>
      <w:r>
        <w:t>。难点在于溶胀动力学、离子强度、蛋白吸附和机械压缩</w:t>
      </w:r>
      <w:r>
        <w:rPr>
          <w:rFonts w:hint="eastAsia"/>
        </w:rPr>
        <w:t>，这些</w:t>
      </w:r>
      <w:r>
        <w:t>会同时影响信号，</w:t>
      </w:r>
      <w:r>
        <w:rPr>
          <w:rFonts w:hint="eastAsia"/>
        </w:rPr>
        <w:t>此外，</w:t>
      </w:r>
      <w:r>
        <w:t>响应时间、可逆性和长期</w:t>
      </w:r>
      <w:r>
        <w:rPr>
          <w:rFonts w:hint="eastAsia"/>
        </w:rPr>
        <w:t>稳定性</w:t>
      </w:r>
      <w:r>
        <w:t>难以分开。进入</w:t>
      </w:r>
      <w:r>
        <w:rPr>
          <w:rFonts w:hint="eastAsia"/>
        </w:rPr>
        <w:t>临床</w:t>
      </w:r>
      <w:r>
        <w:t>医学</w:t>
      </w:r>
      <w:r>
        <w:rPr>
          <w:rFonts w:hint="eastAsia"/>
        </w:rPr>
        <w:t>应用</w:t>
      </w:r>
      <w:r>
        <w:t>前，还需要更完整的真实体液干扰和材料稳定性证据。</w:t>
      </w:r>
    </w:p>
    <w:p w14:paraId="6BBAE36D" w14:textId="7CDE31A3" w:rsidR="006D6DEA" w:rsidRDefault="00772A90" w:rsidP="007B31D8">
      <w:pPr>
        <w:widowControl/>
        <w:ind w:firstLineChars="100" w:firstLine="211"/>
        <w:rPr>
          <w:b/>
        </w:rPr>
      </w:pPr>
      <w:r>
        <w:rPr>
          <w:rFonts w:hint="eastAsia"/>
          <w:b/>
        </w:rPr>
        <w:t xml:space="preserve">2.3 </w:t>
      </w:r>
      <w:r w:rsidR="00730F34">
        <w:rPr>
          <w:rFonts w:hint="eastAsia"/>
          <w:b/>
        </w:rPr>
        <w:t>可</w:t>
      </w:r>
      <w:r>
        <w:rPr>
          <w:rFonts w:hint="eastAsia"/>
          <w:b/>
        </w:rPr>
        <w:t>植入式</w:t>
      </w:r>
      <w:r w:rsidR="00730F34">
        <w:rPr>
          <w:rFonts w:hint="eastAsia"/>
          <w:b/>
        </w:rPr>
        <w:t>光纤</w:t>
      </w:r>
      <w:r>
        <w:rPr>
          <w:rFonts w:hint="eastAsia"/>
          <w:b/>
        </w:rPr>
        <w:t>与多功能器件</w:t>
      </w:r>
    </w:p>
    <w:p w14:paraId="7BB3B9D7" w14:textId="65286A0F" w:rsidR="006D6DEA" w:rsidRDefault="00772A90">
      <w:pPr>
        <w:widowControl/>
        <w:ind w:firstLine="420"/>
      </w:pPr>
      <w:r>
        <w:t>可降解光纤和多功能纤维主要面向短期植入和组织内光递送。可吸收聚合物波导已用于深部组织光医学</w:t>
      </w:r>
      <w:r>
        <w:rPr>
          <w:vertAlign w:val="superscript"/>
        </w:rPr>
        <w:t>[27]</w:t>
      </w:r>
      <w:r>
        <w:t>，</w:t>
      </w:r>
      <w:r>
        <w:t xml:space="preserve">PLLA </w:t>
      </w:r>
      <w:r>
        <w:t>可降解光纤则面向光学神经接口</w:t>
      </w:r>
      <w:r>
        <w:rPr>
          <w:vertAlign w:val="superscript"/>
        </w:rPr>
        <w:t>[28]</w:t>
      </w:r>
      <w:r>
        <w:t>。多功能纤维可集成光、电和</w:t>
      </w:r>
      <w:r>
        <w:lastRenderedPageBreak/>
        <w:t>化学探测</w:t>
      </w:r>
      <w:r>
        <w:rPr>
          <w:vertAlign w:val="superscript"/>
        </w:rPr>
        <w:t>[7]</w:t>
      </w:r>
      <w:r>
        <w:t>，柔性聚合物</w:t>
      </w:r>
      <w:r w:rsidR="00C85799">
        <w:rPr>
          <w:rFonts w:hint="eastAsia"/>
        </w:rPr>
        <w:t>光</w:t>
      </w:r>
      <w:r>
        <w:t>纤及可吸收光学传感系统也显示了系统集成的可能</w:t>
      </w:r>
      <w:r>
        <w:rPr>
          <w:vertAlign w:val="superscript"/>
        </w:rPr>
        <w:t>[29,30]</w:t>
      </w:r>
      <w:r>
        <w:t>。这类器件适合术后监测、神经调控和可吸收光递送，但多数仍处于动物实验或原型系统</w:t>
      </w:r>
      <w:r>
        <w:rPr>
          <w:rFonts w:hint="eastAsia"/>
        </w:rPr>
        <w:t>研发</w:t>
      </w:r>
      <w:r>
        <w:t>阶段。真正限制其医学</w:t>
      </w:r>
      <w:r>
        <w:rPr>
          <w:rFonts w:hint="eastAsia"/>
        </w:rPr>
        <w:t>临床</w:t>
      </w:r>
      <w:r>
        <w:t>应用的，不是集成数量，而</w:t>
      </w:r>
      <w:r w:rsidRPr="00403C3E">
        <w:t>是功能</w:t>
      </w:r>
      <w:r w:rsidR="00403C3E" w:rsidRPr="00403C3E">
        <w:rPr>
          <w:rFonts w:hint="eastAsia"/>
        </w:rPr>
        <w:t>和信息获取的准确性</w:t>
      </w:r>
      <w:r>
        <w:t>、材料降解和组织反应之间缺少同步证据。</w:t>
      </w:r>
    </w:p>
    <w:p w14:paraId="3F8889DE" w14:textId="417F6CA4" w:rsidR="007B31D8" w:rsidRDefault="00772A90" w:rsidP="007B31D8">
      <w:pPr>
        <w:widowControl/>
        <w:ind w:firstLine="420"/>
        <w:rPr>
          <w:rFonts w:ascii="Segoe UI" w:hAnsi="Segoe UI" w:cs="Segoe UI"/>
          <w:color w:val="0F1115"/>
          <w:shd w:val="clear" w:color="auto" w:fill="FFFFFF"/>
        </w:rPr>
      </w:pPr>
      <w:r>
        <w:t>传统</w:t>
      </w:r>
      <w:r>
        <w:t xml:space="preserve"> POF </w:t>
      </w:r>
      <w:r>
        <w:t>和</w:t>
      </w:r>
      <w:r>
        <w:t xml:space="preserve"> POF-FBG </w:t>
      </w:r>
      <w:r>
        <w:t>更接近工程化物理量监测；柔性波导改善贴合性，但迟滞</w:t>
      </w:r>
      <w:r>
        <w:rPr>
          <w:rFonts w:hint="eastAsia"/>
        </w:rPr>
        <w:t>性</w:t>
      </w:r>
      <w:r>
        <w:t>和封装依赖仍需控制；</w:t>
      </w:r>
      <w:r>
        <w:t>SPR</w:t>
      </w:r>
      <w:r>
        <w:t>与水凝胶光纤面向生化检测，难点</w:t>
      </w:r>
      <w:r>
        <w:rPr>
          <w:rFonts w:hint="eastAsia"/>
        </w:rPr>
        <w:t>在于</w:t>
      </w:r>
      <w:r>
        <w:t>真实样品中的选择性和抗污染能力；可降解光纤和多功能纤维适合短期植入，却必须同步验证材料</w:t>
      </w:r>
      <w:r>
        <w:rPr>
          <w:rFonts w:hint="eastAsia"/>
        </w:rPr>
        <w:t>可</w:t>
      </w:r>
      <w:r>
        <w:t>降解</w:t>
      </w:r>
      <w:r>
        <w:rPr>
          <w:rFonts w:hint="eastAsia"/>
        </w:rPr>
        <w:t>性</w:t>
      </w:r>
      <w:r>
        <w:t>、组织反应和功能</w:t>
      </w:r>
      <w:r w:rsidR="00403C3E">
        <w:rPr>
          <w:rFonts w:hint="eastAsia"/>
        </w:rPr>
        <w:t>信息</w:t>
      </w:r>
      <w:r>
        <w:t>读</w:t>
      </w:r>
      <w:r w:rsidR="00403C3E">
        <w:rPr>
          <w:rFonts w:hint="eastAsia"/>
        </w:rPr>
        <w:t>取的准确性</w:t>
      </w:r>
      <w:r>
        <w:t>。体表运动监测、生化检测和植入应用需要的证据不同，不能用同一套灵敏度指标评价</w:t>
      </w:r>
      <w:r w:rsidR="007B31D8">
        <w:rPr>
          <w:rFonts w:hint="eastAsia"/>
        </w:rPr>
        <w:t>，</w:t>
      </w:r>
      <w:r>
        <w:rPr>
          <w:rFonts w:ascii="Segoe UI" w:hAnsi="Segoe UI" w:cs="Segoe UI"/>
          <w:color w:val="0F1115"/>
          <w:shd w:val="clear" w:color="auto" w:fill="FFFFFF"/>
        </w:rPr>
        <w:t>典型应用场景与验证重点</w:t>
      </w:r>
      <w:r>
        <w:rPr>
          <w:rFonts w:ascii="Segoe UI" w:hAnsi="Segoe UI" w:cs="Segoe UI" w:hint="eastAsia"/>
          <w:color w:val="0F1115"/>
          <w:shd w:val="clear" w:color="auto" w:fill="FFFFFF"/>
        </w:rPr>
        <w:t>如</w:t>
      </w:r>
      <w:r>
        <w:rPr>
          <w:rFonts w:ascii="Segoe UI" w:hAnsi="Segoe UI" w:cs="Segoe UI"/>
          <w:color w:val="0F1115"/>
          <w:shd w:val="clear" w:color="auto" w:fill="FFFFFF"/>
        </w:rPr>
        <w:t>表</w:t>
      </w:r>
      <w:r>
        <w:rPr>
          <w:rFonts w:ascii="Segoe UI" w:hAnsi="Segoe UI" w:cs="Segoe UI"/>
          <w:color w:val="0F1115"/>
          <w:shd w:val="clear" w:color="auto" w:fill="FFFFFF"/>
        </w:rPr>
        <w:t>2</w:t>
      </w:r>
      <w:r>
        <w:rPr>
          <w:rFonts w:ascii="Segoe UI" w:hAnsi="Segoe UI" w:cs="Segoe UI" w:hint="eastAsia"/>
          <w:color w:val="0F1115"/>
          <w:shd w:val="clear" w:color="auto" w:fill="FFFFFF"/>
        </w:rPr>
        <w:t>所</w:t>
      </w:r>
      <w:r>
        <w:rPr>
          <w:rFonts w:ascii="Segoe UI" w:hAnsi="Segoe UI" w:cs="Segoe UI"/>
          <w:color w:val="0F1115"/>
          <w:shd w:val="clear" w:color="auto" w:fill="FFFFFF"/>
        </w:rPr>
        <w:t>示。</w:t>
      </w:r>
    </w:p>
    <w:p w14:paraId="631592EF" w14:textId="1898F8AB" w:rsidR="006D6DEA" w:rsidRPr="00403C3E" w:rsidRDefault="00772A90" w:rsidP="00403C3E">
      <w:pPr>
        <w:widowControl/>
        <w:spacing w:beforeLines="50" w:before="156"/>
        <w:ind w:firstLine="420"/>
        <w:jc w:val="center"/>
        <w:rPr>
          <w:b/>
          <w:sz w:val="24"/>
          <w:szCs w:val="28"/>
        </w:rPr>
      </w:pPr>
      <w:r w:rsidRPr="00403C3E">
        <w:rPr>
          <w:b/>
          <w:sz w:val="20"/>
          <w:szCs w:val="18"/>
        </w:rPr>
        <w:t>表</w:t>
      </w:r>
      <w:r w:rsidRPr="00403C3E">
        <w:rPr>
          <w:b/>
          <w:sz w:val="20"/>
          <w:szCs w:val="18"/>
        </w:rPr>
        <w:t xml:space="preserve">2 </w:t>
      </w:r>
      <w:r w:rsidRPr="00403C3E">
        <w:rPr>
          <w:b/>
          <w:sz w:val="20"/>
          <w:szCs w:val="18"/>
        </w:rPr>
        <w:t>典型应用场景与验证重点</w:t>
      </w:r>
    </w:p>
    <w:tbl>
      <w:tblPr>
        <w:tblW w:w="8192" w:type="dxa"/>
        <w:jc w:val="center"/>
        <w:tblBorders>
          <w:top w:val="single" w:sz="12" w:space="0" w:color="000000"/>
          <w:left w:val="none" w:sz="0" w:space="0" w:color="000000"/>
          <w:bottom w:val="single" w:sz="12" w:space="0" w:color="000000"/>
          <w:right w:val="none" w:sz="0" w:space="0" w:color="000000"/>
          <w:insideH w:val="none" w:sz="0" w:space="0" w:color="000000"/>
          <w:insideV w:val="none" w:sz="0" w:space="0" w:color="000000"/>
        </w:tblBorders>
        <w:tblLayout w:type="fixed"/>
        <w:tblCellMar>
          <w:top w:w="80" w:type="dxa"/>
          <w:left w:w="80" w:type="dxa"/>
          <w:bottom w:w="80" w:type="dxa"/>
          <w:right w:w="80" w:type="dxa"/>
        </w:tblCellMar>
        <w:tblLook w:val="04A0" w:firstRow="1" w:lastRow="0" w:firstColumn="1" w:lastColumn="0" w:noHBand="0" w:noVBand="1"/>
      </w:tblPr>
      <w:tblGrid>
        <w:gridCol w:w="993"/>
        <w:gridCol w:w="1806"/>
        <w:gridCol w:w="1775"/>
        <w:gridCol w:w="1638"/>
        <w:gridCol w:w="1980"/>
      </w:tblGrid>
      <w:tr w:rsidR="006D6DEA" w14:paraId="4EBC654E" w14:textId="77777777">
        <w:trPr>
          <w:cantSplit/>
          <w:tblHeader/>
          <w:jc w:val="center"/>
        </w:trPr>
        <w:tc>
          <w:tcPr>
            <w:tcW w:w="993"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4DB2C0CD" w14:textId="77777777" w:rsidR="006D6DEA" w:rsidRDefault="00772A90">
            <w:pPr>
              <w:widowControl/>
              <w:snapToGrid w:val="0"/>
              <w:jc w:val="center"/>
              <w:rPr>
                <w:b/>
                <w:sz w:val="18"/>
              </w:rPr>
            </w:pPr>
            <w:r>
              <w:rPr>
                <w:b/>
                <w:sz w:val="15"/>
                <w:szCs w:val="15"/>
              </w:rPr>
              <w:t>场景</w:t>
            </w:r>
          </w:p>
        </w:tc>
        <w:tc>
          <w:tcPr>
            <w:tcW w:w="1806"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5D9B5A7A" w14:textId="77777777" w:rsidR="006D6DEA" w:rsidRDefault="00772A90">
            <w:pPr>
              <w:widowControl/>
              <w:snapToGrid w:val="0"/>
              <w:jc w:val="center"/>
              <w:rPr>
                <w:b/>
                <w:sz w:val="18"/>
              </w:rPr>
            </w:pPr>
            <w:r>
              <w:rPr>
                <w:b/>
                <w:sz w:val="15"/>
                <w:szCs w:val="15"/>
              </w:rPr>
              <w:t>医学信息</w:t>
            </w:r>
          </w:p>
        </w:tc>
        <w:tc>
          <w:tcPr>
            <w:tcW w:w="1775"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2BEAEAA4" w14:textId="77777777" w:rsidR="006D6DEA" w:rsidRDefault="00772A90">
            <w:pPr>
              <w:widowControl/>
              <w:snapToGrid w:val="0"/>
              <w:jc w:val="center"/>
              <w:rPr>
                <w:b/>
                <w:sz w:val="18"/>
              </w:rPr>
            </w:pPr>
            <w:r>
              <w:rPr>
                <w:b/>
                <w:sz w:val="15"/>
                <w:szCs w:val="15"/>
              </w:rPr>
              <w:t>可用结构</w:t>
            </w:r>
          </w:p>
        </w:tc>
        <w:tc>
          <w:tcPr>
            <w:tcW w:w="1638"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6E3853C4" w14:textId="77777777" w:rsidR="006D6DEA" w:rsidRDefault="00772A90">
            <w:pPr>
              <w:widowControl/>
              <w:snapToGrid w:val="0"/>
              <w:jc w:val="center"/>
              <w:rPr>
                <w:b/>
                <w:sz w:val="18"/>
              </w:rPr>
            </w:pPr>
            <w:r>
              <w:rPr>
                <w:b/>
                <w:sz w:val="15"/>
                <w:szCs w:val="15"/>
              </w:rPr>
              <w:t>主要风险</w:t>
            </w:r>
          </w:p>
        </w:tc>
        <w:tc>
          <w:tcPr>
            <w:tcW w:w="1980" w:type="dxa"/>
            <w:tcBorders>
              <w:top w:val="single" w:sz="4" w:space="0" w:color="auto"/>
              <w:bottom w:val="single" w:sz="6" w:space="0" w:color="000000"/>
            </w:tcBorders>
            <w:shd w:val="clear" w:color="auto" w:fill="D9EAF7"/>
            <w:tcMar>
              <w:top w:w="35" w:type="dxa"/>
              <w:left w:w="120" w:type="dxa"/>
              <w:bottom w:w="35" w:type="dxa"/>
              <w:right w:w="120" w:type="dxa"/>
            </w:tcMar>
            <w:vAlign w:val="center"/>
          </w:tcPr>
          <w:p w14:paraId="01F27D45" w14:textId="77777777" w:rsidR="006D6DEA" w:rsidRDefault="00772A90">
            <w:pPr>
              <w:widowControl/>
              <w:snapToGrid w:val="0"/>
              <w:jc w:val="center"/>
              <w:rPr>
                <w:b/>
                <w:sz w:val="18"/>
              </w:rPr>
            </w:pPr>
            <w:r>
              <w:rPr>
                <w:b/>
                <w:sz w:val="15"/>
                <w:szCs w:val="15"/>
              </w:rPr>
              <w:t>验证重点</w:t>
            </w:r>
          </w:p>
        </w:tc>
      </w:tr>
      <w:tr w:rsidR="006D6DEA" w14:paraId="5ECDE9C1" w14:textId="77777777">
        <w:trPr>
          <w:cantSplit/>
          <w:jc w:val="center"/>
        </w:trPr>
        <w:tc>
          <w:tcPr>
            <w:tcW w:w="993" w:type="dxa"/>
            <w:tcBorders>
              <w:top w:val="single" w:sz="4" w:space="0" w:color="auto"/>
            </w:tcBorders>
            <w:tcMar>
              <w:top w:w="35" w:type="dxa"/>
              <w:left w:w="120" w:type="dxa"/>
              <w:bottom w:w="35" w:type="dxa"/>
              <w:right w:w="120" w:type="dxa"/>
            </w:tcMar>
            <w:vAlign w:val="center"/>
          </w:tcPr>
          <w:p w14:paraId="2C8745BE" w14:textId="77777777" w:rsidR="006D6DEA" w:rsidRDefault="00772A90">
            <w:pPr>
              <w:widowControl/>
              <w:snapToGrid w:val="0"/>
              <w:jc w:val="center"/>
              <w:rPr>
                <w:sz w:val="18"/>
              </w:rPr>
            </w:pPr>
            <w:r>
              <w:rPr>
                <w:sz w:val="15"/>
                <w:szCs w:val="15"/>
              </w:rPr>
              <w:t>可穿戴形变</w:t>
            </w:r>
          </w:p>
        </w:tc>
        <w:tc>
          <w:tcPr>
            <w:tcW w:w="1806" w:type="dxa"/>
            <w:tcBorders>
              <w:top w:val="single" w:sz="4" w:space="0" w:color="auto"/>
            </w:tcBorders>
            <w:tcMar>
              <w:top w:w="35" w:type="dxa"/>
              <w:left w:w="120" w:type="dxa"/>
              <w:bottom w:w="35" w:type="dxa"/>
              <w:right w:w="120" w:type="dxa"/>
            </w:tcMar>
            <w:vAlign w:val="center"/>
          </w:tcPr>
          <w:p w14:paraId="5C8B63C9" w14:textId="77777777" w:rsidR="006D6DEA" w:rsidRDefault="00772A90">
            <w:pPr>
              <w:widowControl/>
              <w:snapToGrid w:val="0"/>
              <w:jc w:val="center"/>
              <w:rPr>
                <w:sz w:val="18"/>
              </w:rPr>
            </w:pPr>
            <w:r>
              <w:rPr>
                <w:sz w:val="15"/>
                <w:szCs w:val="15"/>
              </w:rPr>
              <w:t>呼吸、关节、足底压力</w:t>
            </w:r>
          </w:p>
        </w:tc>
        <w:tc>
          <w:tcPr>
            <w:tcW w:w="1775" w:type="dxa"/>
            <w:tcBorders>
              <w:top w:val="single" w:sz="4" w:space="0" w:color="auto"/>
            </w:tcBorders>
            <w:tcMar>
              <w:top w:w="35" w:type="dxa"/>
              <w:left w:w="120" w:type="dxa"/>
              <w:bottom w:w="35" w:type="dxa"/>
              <w:right w:w="120" w:type="dxa"/>
            </w:tcMar>
            <w:vAlign w:val="center"/>
          </w:tcPr>
          <w:p w14:paraId="6A800716" w14:textId="77777777" w:rsidR="006D6DEA" w:rsidRDefault="00772A90">
            <w:pPr>
              <w:widowControl/>
              <w:snapToGrid w:val="0"/>
              <w:jc w:val="center"/>
              <w:rPr>
                <w:sz w:val="18"/>
              </w:rPr>
            </w:pPr>
            <w:r>
              <w:rPr>
                <w:sz w:val="15"/>
                <w:szCs w:val="15"/>
              </w:rPr>
              <w:t>POF</w:t>
            </w:r>
            <w:r>
              <w:rPr>
                <w:sz w:val="15"/>
                <w:szCs w:val="15"/>
              </w:rPr>
              <w:t>、软波导、</w:t>
            </w:r>
            <w:r>
              <w:rPr>
                <w:sz w:val="15"/>
                <w:szCs w:val="15"/>
              </w:rPr>
              <w:t>POF-FBG</w:t>
            </w:r>
          </w:p>
        </w:tc>
        <w:tc>
          <w:tcPr>
            <w:tcW w:w="1638" w:type="dxa"/>
            <w:tcBorders>
              <w:top w:val="single" w:sz="4" w:space="0" w:color="auto"/>
            </w:tcBorders>
            <w:tcMar>
              <w:top w:w="35" w:type="dxa"/>
              <w:left w:w="120" w:type="dxa"/>
              <w:bottom w:w="35" w:type="dxa"/>
              <w:right w:w="120" w:type="dxa"/>
            </w:tcMar>
            <w:vAlign w:val="center"/>
          </w:tcPr>
          <w:p w14:paraId="4C9CB481" w14:textId="77777777" w:rsidR="006D6DEA" w:rsidRDefault="00772A90">
            <w:pPr>
              <w:widowControl/>
              <w:snapToGrid w:val="0"/>
              <w:jc w:val="center"/>
              <w:rPr>
                <w:sz w:val="18"/>
              </w:rPr>
            </w:pPr>
            <w:r>
              <w:rPr>
                <w:sz w:val="15"/>
                <w:szCs w:val="15"/>
              </w:rPr>
              <w:t>固定方式和个体差异</w:t>
            </w:r>
          </w:p>
        </w:tc>
        <w:tc>
          <w:tcPr>
            <w:tcW w:w="1980" w:type="dxa"/>
            <w:tcBorders>
              <w:top w:val="single" w:sz="4" w:space="0" w:color="auto"/>
            </w:tcBorders>
            <w:tcMar>
              <w:top w:w="35" w:type="dxa"/>
              <w:left w:w="120" w:type="dxa"/>
              <w:bottom w:w="35" w:type="dxa"/>
              <w:right w:w="120" w:type="dxa"/>
            </w:tcMar>
            <w:vAlign w:val="center"/>
          </w:tcPr>
          <w:p w14:paraId="32C586B7" w14:textId="77777777" w:rsidR="006D6DEA" w:rsidRDefault="00772A90">
            <w:pPr>
              <w:widowControl/>
              <w:snapToGrid w:val="0"/>
              <w:jc w:val="center"/>
              <w:rPr>
                <w:sz w:val="18"/>
              </w:rPr>
            </w:pPr>
            <w:r>
              <w:rPr>
                <w:sz w:val="15"/>
                <w:szCs w:val="15"/>
              </w:rPr>
              <w:t>独立运动</w:t>
            </w:r>
            <w:r>
              <w:rPr>
                <w:sz w:val="15"/>
                <w:szCs w:val="15"/>
              </w:rPr>
              <w:t>/</w:t>
            </w:r>
            <w:r>
              <w:rPr>
                <w:sz w:val="15"/>
                <w:szCs w:val="15"/>
              </w:rPr>
              <w:t>压力参照</w:t>
            </w:r>
          </w:p>
        </w:tc>
      </w:tr>
      <w:tr w:rsidR="006D6DEA" w14:paraId="2EE7F83D" w14:textId="77777777">
        <w:trPr>
          <w:cantSplit/>
          <w:jc w:val="center"/>
        </w:trPr>
        <w:tc>
          <w:tcPr>
            <w:tcW w:w="993" w:type="dxa"/>
            <w:tcMar>
              <w:top w:w="35" w:type="dxa"/>
              <w:left w:w="120" w:type="dxa"/>
              <w:bottom w:w="35" w:type="dxa"/>
              <w:right w:w="120" w:type="dxa"/>
            </w:tcMar>
            <w:vAlign w:val="center"/>
          </w:tcPr>
          <w:p w14:paraId="1C8D71B3" w14:textId="77777777" w:rsidR="006D6DEA" w:rsidRDefault="00772A90">
            <w:pPr>
              <w:widowControl/>
              <w:snapToGrid w:val="0"/>
              <w:jc w:val="center"/>
              <w:rPr>
                <w:sz w:val="18"/>
              </w:rPr>
            </w:pPr>
            <w:r>
              <w:rPr>
                <w:sz w:val="15"/>
                <w:szCs w:val="15"/>
              </w:rPr>
              <w:t>温湿度监测</w:t>
            </w:r>
          </w:p>
        </w:tc>
        <w:tc>
          <w:tcPr>
            <w:tcW w:w="1806" w:type="dxa"/>
            <w:tcMar>
              <w:top w:w="35" w:type="dxa"/>
              <w:left w:w="120" w:type="dxa"/>
              <w:bottom w:w="35" w:type="dxa"/>
              <w:right w:w="120" w:type="dxa"/>
            </w:tcMar>
            <w:vAlign w:val="center"/>
          </w:tcPr>
          <w:p w14:paraId="794F98AC" w14:textId="77777777" w:rsidR="006D6DEA" w:rsidRDefault="00772A90">
            <w:pPr>
              <w:widowControl/>
              <w:snapToGrid w:val="0"/>
              <w:jc w:val="center"/>
              <w:rPr>
                <w:sz w:val="18"/>
              </w:rPr>
            </w:pPr>
            <w:r>
              <w:rPr>
                <w:sz w:val="15"/>
                <w:szCs w:val="15"/>
              </w:rPr>
              <w:t>皮肤或环境扰动</w:t>
            </w:r>
          </w:p>
        </w:tc>
        <w:tc>
          <w:tcPr>
            <w:tcW w:w="1775" w:type="dxa"/>
            <w:tcMar>
              <w:top w:w="35" w:type="dxa"/>
              <w:left w:w="120" w:type="dxa"/>
              <w:bottom w:w="35" w:type="dxa"/>
              <w:right w:w="120" w:type="dxa"/>
            </w:tcMar>
            <w:vAlign w:val="center"/>
          </w:tcPr>
          <w:p w14:paraId="7DA0E49C" w14:textId="77777777" w:rsidR="006D6DEA" w:rsidRDefault="00772A90">
            <w:pPr>
              <w:widowControl/>
              <w:snapToGrid w:val="0"/>
              <w:jc w:val="center"/>
              <w:rPr>
                <w:sz w:val="18"/>
              </w:rPr>
            </w:pPr>
            <w:r>
              <w:rPr>
                <w:sz w:val="15"/>
                <w:szCs w:val="15"/>
              </w:rPr>
              <w:t>POF-FBG</w:t>
            </w:r>
            <w:r>
              <w:rPr>
                <w:sz w:val="15"/>
                <w:szCs w:val="15"/>
              </w:rPr>
              <w:t>、低吸水</w:t>
            </w:r>
            <w:r>
              <w:rPr>
                <w:sz w:val="15"/>
                <w:szCs w:val="15"/>
              </w:rPr>
              <w:t xml:space="preserve"> POF</w:t>
            </w:r>
          </w:p>
        </w:tc>
        <w:tc>
          <w:tcPr>
            <w:tcW w:w="1638" w:type="dxa"/>
            <w:tcMar>
              <w:top w:w="35" w:type="dxa"/>
              <w:left w:w="120" w:type="dxa"/>
              <w:bottom w:w="35" w:type="dxa"/>
              <w:right w:w="120" w:type="dxa"/>
            </w:tcMar>
            <w:vAlign w:val="center"/>
          </w:tcPr>
          <w:p w14:paraId="206F24B1" w14:textId="77777777" w:rsidR="006D6DEA" w:rsidRDefault="00772A90">
            <w:pPr>
              <w:widowControl/>
              <w:snapToGrid w:val="0"/>
              <w:jc w:val="center"/>
              <w:rPr>
                <w:sz w:val="18"/>
              </w:rPr>
            </w:pPr>
            <w:r>
              <w:rPr>
                <w:sz w:val="15"/>
                <w:szCs w:val="15"/>
              </w:rPr>
              <w:t>温湿应变耦合</w:t>
            </w:r>
          </w:p>
        </w:tc>
        <w:tc>
          <w:tcPr>
            <w:tcW w:w="1980" w:type="dxa"/>
            <w:tcMar>
              <w:top w:w="35" w:type="dxa"/>
              <w:left w:w="120" w:type="dxa"/>
              <w:bottom w:w="35" w:type="dxa"/>
              <w:right w:w="120" w:type="dxa"/>
            </w:tcMar>
            <w:vAlign w:val="center"/>
          </w:tcPr>
          <w:p w14:paraId="62DF630E" w14:textId="77777777" w:rsidR="006D6DEA" w:rsidRDefault="00772A90">
            <w:pPr>
              <w:widowControl/>
              <w:jc w:val="center"/>
            </w:pPr>
            <w:r>
              <w:rPr>
                <w:sz w:val="15"/>
              </w:rPr>
              <w:t>湿态标定与漂移模型</w:t>
            </w:r>
          </w:p>
        </w:tc>
      </w:tr>
      <w:tr w:rsidR="006D6DEA" w14:paraId="6725CDE4" w14:textId="77777777">
        <w:trPr>
          <w:cantSplit/>
          <w:jc w:val="center"/>
        </w:trPr>
        <w:tc>
          <w:tcPr>
            <w:tcW w:w="993" w:type="dxa"/>
            <w:tcMar>
              <w:top w:w="35" w:type="dxa"/>
              <w:left w:w="120" w:type="dxa"/>
              <w:bottom w:w="35" w:type="dxa"/>
              <w:right w:w="120" w:type="dxa"/>
            </w:tcMar>
            <w:vAlign w:val="center"/>
          </w:tcPr>
          <w:p w14:paraId="142B0212" w14:textId="77777777" w:rsidR="006D6DEA" w:rsidRDefault="00772A90">
            <w:pPr>
              <w:widowControl/>
              <w:snapToGrid w:val="0"/>
              <w:jc w:val="center"/>
              <w:rPr>
                <w:sz w:val="18"/>
              </w:rPr>
            </w:pPr>
            <w:r>
              <w:rPr>
                <w:sz w:val="15"/>
                <w:szCs w:val="15"/>
              </w:rPr>
              <w:t>生化检测</w:t>
            </w:r>
          </w:p>
        </w:tc>
        <w:tc>
          <w:tcPr>
            <w:tcW w:w="1806" w:type="dxa"/>
            <w:tcMar>
              <w:top w:w="35" w:type="dxa"/>
              <w:left w:w="120" w:type="dxa"/>
              <w:bottom w:w="35" w:type="dxa"/>
              <w:right w:w="120" w:type="dxa"/>
            </w:tcMar>
            <w:vAlign w:val="center"/>
          </w:tcPr>
          <w:p w14:paraId="50FB3212" w14:textId="77777777" w:rsidR="006D6DEA" w:rsidRDefault="00772A90">
            <w:pPr>
              <w:widowControl/>
              <w:snapToGrid w:val="0"/>
              <w:jc w:val="center"/>
              <w:rPr>
                <w:sz w:val="18"/>
              </w:rPr>
            </w:pPr>
            <w:r>
              <w:rPr>
                <w:sz w:val="15"/>
                <w:szCs w:val="15"/>
              </w:rPr>
              <w:t>折射率、葡萄糖、标志物</w:t>
            </w:r>
          </w:p>
        </w:tc>
        <w:tc>
          <w:tcPr>
            <w:tcW w:w="1775" w:type="dxa"/>
            <w:tcMar>
              <w:top w:w="35" w:type="dxa"/>
              <w:left w:w="120" w:type="dxa"/>
              <w:bottom w:w="35" w:type="dxa"/>
              <w:right w:w="120" w:type="dxa"/>
            </w:tcMar>
            <w:vAlign w:val="center"/>
          </w:tcPr>
          <w:p w14:paraId="4FBCCBF5" w14:textId="77777777" w:rsidR="006D6DEA" w:rsidRDefault="00772A90">
            <w:pPr>
              <w:widowControl/>
              <w:snapToGrid w:val="0"/>
              <w:jc w:val="center"/>
              <w:rPr>
                <w:sz w:val="18"/>
              </w:rPr>
            </w:pPr>
            <w:r>
              <w:rPr>
                <w:sz w:val="15"/>
                <w:szCs w:val="15"/>
              </w:rPr>
              <w:t>SPR</w:t>
            </w:r>
            <w:r>
              <w:rPr>
                <w:sz w:val="15"/>
                <w:szCs w:val="15"/>
              </w:rPr>
              <w:t>、敏感涂层、水凝胶</w:t>
            </w:r>
          </w:p>
        </w:tc>
        <w:tc>
          <w:tcPr>
            <w:tcW w:w="1638" w:type="dxa"/>
            <w:tcMar>
              <w:top w:w="35" w:type="dxa"/>
              <w:left w:w="120" w:type="dxa"/>
              <w:bottom w:w="35" w:type="dxa"/>
              <w:right w:w="120" w:type="dxa"/>
            </w:tcMar>
            <w:vAlign w:val="center"/>
          </w:tcPr>
          <w:p w14:paraId="18E953AB" w14:textId="77777777" w:rsidR="006D6DEA" w:rsidRDefault="00772A90">
            <w:pPr>
              <w:widowControl/>
              <w:snapToGrid w:val="0"/>
              <w:jc w:val="center"/>
              <w:rPr>
                <w:sz w:val="18"/>
              </w:rPr>
            </w:pPr>
            <w:r>
              <w:rPr>
                <w:sz w:val="15"/>
                <w:szCs w:val="15"/>
              </w:rPr>
              <w:t>污染、传质、选择性</w:t>
            </w:r>
          </w:p>
        </w:tc>
        <w:tc>
          <w:tcPr>
            <w:tcW w:w="1980" w:type="dxa"/>
            <w:tcMar>
              <w:top w:w="35" w:type="dxa"/>
              <w:left w:w="120" w:type="dxa"/>
              <w:bottom w:w="35" w:type="dxa"/>
              <w:right w:w="120" w:type="dxa"/>
            </w:tcMar>
            <w:vAlign w:val="center"/>
          </w:tcPr>
          <w:p w14:paraId="4A3B7C8B" w14:textId="77777777" w:rsidR="006D6DEA" w:rsidRDefault="00772A90">
            <w:pPr>
              <w:widowControl/>
              <w:snapToGrid w:val="0"/>
              <w:jc w:val="center"/>
              <w:rPr>
                <w:sz w:val="18"/>
              </w:rPr>
            </w:pPr>
            <w:r>
              <w:rPr>
                <w:sz w:val="15"/>
                <w:szCs w:val="15"/>
              </w:rPr>
              <w:t>真实样品和阴性对照</w:t>
            </w:r>
          </w:p>
        </w:tc>
      </w:tr>
      <w:tr w:rsidR="006D6DEA" w14:paraId="38BE02F5" w14:textId="77777777">
        <w:trPr>
          <w:cantSplit/>
          <w:jc w:val="center"/>
        </w:trPr>
        <w:tc>
          <w:tcPr>
            <w:tcW w:w="993" w:type="dxa"/>
            <w:tcMar>
              <w:top w:w="35" w:type="dxa"/>
              <w:left w:w="120" w:type="dxa"/>
              <w:bottom w:w="35" w:type="dxa"/>
              <w:right w:w="120" w:type="dxa"/>
            </w:tcMar>
            <w:vAlign w:val="center"/>
          </w:tcPr>
          <w:p w14:paraId="30588529" w14:textId="77777777" w:rsidR="006D6DEA" w:rsidRDefault="00772A90">
            <w:pPr>
              <w:widowControl/>
              <w:snapToGrid w:val="0"/>
              <w:jc w:val="center"/>
              <w:rPr>
                <w:sz w:val="18"/>
              </w:rPr>
            </w:pPr>
            <w:r>
              <w:rPr>
                <w:sz w:val="15"/>
                <w:szCs w:val="15"/>
              </w:rPr>
              <w:t>深部光递送</w:t>
            </w:r>
          </w:p>
        </w:tc>
        <w:tc>
          <w:tcPr>
            <w:tcW w:w="1806" w:type="dxa"/>
            <w:tcMar>
              <w:top w:w="35" w:type="dxa"/>
              <w:left w:w="120" w:type="dxa"/>
              <w:bottom w:w="35" w:type="dxa"/>
              <w:right w:w="120" w:type="dxa"/>
            </w:tcMar>
            <w:vAlign w:val="center"/>
          </w:tcPr>
          <w:p w14:paraId="4EF94DDC" w14:textId="77777777" w:rsidR="006D6DEA" w:rsidRDefault="00772A90">
            <w:pPr>
              <w:widowControl/>
              <w:snapToGrid w:val="0"/>
              <w:jc w:val="center"/>
              <w:rPr>
                <w:sz w:val="18"/>
              </w:rPr>
            </w:pPr>
            <w:r>
              <w:rPr>
                <w:sz w:val="15"/>
                <w:szCs w:val="15"/>
              </w:rPr>
              <w:t>组织内光剂量</w:t>
            </w:r>
          </w:p>
        </w:tc>
        <w:tc>
          <w:tcPr>
            <w:tcW w:w="1775" w:type="dxa"/>
            <w:tcMar>
              <w:top w:w="35" w:type="dxa"/>
              <w:left w:w="120" w:type="dxa"/>
              <w:bottom w:w="35" w:type="dxa"/>
              <w:right w:w="120" w:type="dxa"/>
            </w:tcMar>
            <w:vAlign w:val="center"/>
          </w:tcPr>
          <w:p w14:paraId="4D2CD434" w14:textId="77777777" w:rsidR="006D6DEA" w:rsidRDefault="00772A90">
            <w:pPr>
              <w:widowControl/>
              <w:snapToGrid w:val="0"/>
              <w:jc w:val="center"/>
              <w:rPr>
                <w:sz w:val="18"/>
              </w:rPr>
            </w:pPr>
            <w:r>
              <w:rPr>
                <w:sz w:val="15"/>
                <w:szCs w:val="15"/>
              </w:rPr>
              <w:t>可吸收波导、</w:t>
            </w:r>
            <w:r>
              <w:rPr>
                <w:sz w:val="15"/>
                <w:szCs w:val="15"/>
              </w:rPr>
              <w:t xml:space="preserve">PLLA </w:t>
            </w:r>
            <w:r>
              <w:rPr>
                <w:sz w:val="15"/>
                <w:szCs w:val="15"/>
              </w:rPr>
              <w:t>光纤</w:t>
            </w:r>
          </w:p>
        </w:tc>
        <w:tc>
          <w:tcPr>
            <w:tcW w:w="1638" w:type="dxa"/>
            <w:tcMar>
              <w:top w:w="35" w:type="dxa"/>
              <w:left w:w="120" w:type="dxa"/>
              <w:bottom w:w="35" w:type="dxa"/>
              <w:right w:w="120" w:type="dxa"/>
            </w:tcMar>
            <w:vAlign w:val="center"/>
          </w:tcPr>
          <w:p w14:paraId="4BD59C37" w14:textId="77777777" w:rsidR="006D6DEA" w:rsidRDefault="00772A90">
            <w:pPr>
              <w:widowControl/>
              <w:snapToGrid w:val="0"/>
              <w:jc w:val="center"/>
              <w:rPr>
                <w:sz w:val="18"/>
              </w:rPr>
            </w:pPr>
            <w:r>
              <w:rPr>
                <w:sz w:val="15"/>
                <w:szCs w:val="15"/>
              </w:rPr>
              <w:t>光通量下降、位置改变</w:t>
            </w:r>
          </w:p>
        </w:tc>
        <w:tc>
          <w:tcPr>
            <w:tcW w:w="1980" w:type="dxa"/>
            <w:tcMar>
              <w:top w:w="35" w:type="dxa"/>
              <w:left w:w="120" w:type="dxa"/>
              <w:bottom w:w="35" w:type="dxa"/>
              <w:right w:w="120" w:type="dxa"/>
            </w:tcMar>
            <w:vAlign w:val="center"/>
          </w:tcPr>
          <w:p w14:paraId="5CD6D534" w14:textId="77777777" w:rsidR="006D6DEA" w:rsidRDefault="00772A90">
            <w:pPr>
              <w:widowControl/>
              <w:snapToGrid w:val="0"/>
              <w:jc w:val="center"/>
              <w:rPr>
                <w:sz w:val="18"/>
              </w:rPr>
            </w:pPr>
            <w:r>
              <w:rPr>
                <w:sz w:val="15"/>
                <w:szCs w:val="15"/>
              </w:rPr>
              <w:t>光剂量</w:t>
            </w:r>
            <w:r>
              <w:rPr>
                <w:sz w:val="15"/>
                <w:szCs w:val="15"/>
              </w:rPr>
              <w:t>-</w:t>
            </w:r>
            <w:r>
              <w:rPr>
                <w:sz w:val="15"/>
                <w:szCs w:val="15"/>
              </w:rPr>
              <w:t>降解同步记录</w:t>
            </w:r>
          </w:p>
        </w:tc>
      </w:tr>
      <w:tr w:rsidR="006D6DEA" w14:paraId="4F30C1CB" w14:textId="77777777">
        <w:trPr>
          <w:cantSplit/>
          <w:jc w:val="center"/>
        </w:trPr>
        <w:tc>
          <w:tcPr>
            <w:tcW w:w="993" w:type="dxa"/>
            <w:tcMar>
              <w:top w:w="35" w:type="dxa"/>
              <w:left w:w="120" w:type="dxa"/>
              <w:bottom w:w="35" w:type="dxa"/>
              <w:right w:w="120" w:type="dxa"/>
            </w:tcMar>
            <w:vAlign w:val="center"/>
          </w:tcPr>
          <w:p w14:paraId="6C844D63" w14:textId="77777777" w:rsidR="006D6DEA" w:rsidRDefault="00772A90">
            <w:pPr>
              <w:widowControl/>
              <w:snapToGrid w:val="0"/>
              <w:jc w:val="center"/>
              <w:rPr>
                <w:sz w:val="18"/>
              </w:rPr>
            </w:pPr>
            <w:r>
              <w:rPr>
                <w:sz w:val="15"/>
                <w:szCs w:val="15"/>
              </w:rPr>
              <w:t>神经接口</w:t>
            </w:r>
          </w:p>
        </w:tc>
        <w:tc>
          <w:tcPr>
            <w:tcW w:w="1806" w:type="dxa"/>
            <w:tcMar>
              <w:top w:w="35" w:type="dxa"/>
              <w:left w:w="120" w:type="dxa"/>
              <w:bottom w:w="35" w:type="dxa"/>
              <w:right w:w="120" w:type="dxa"/>
            </w:tcMar>
            <w:vAlign w:val="center"/>
          </w:tcPr>
          <w:p w14:paraId="2A99CDBF" w14:textId="77777777" w:rsidR="006D6DEA" w:rsidRDefault="00772A90">
            <w:pPr>
              <w:widowControl/>
              <w:snapToGrid w:val="0"/>
              <w:jc w:val="center"/>
              <w:rPr>
                <w:sz w:val="18"/>
              </w:rPr>
            </w:pPr>
            <w:r>
              <w:rPr>
                <w:sz w:val="15"/>
                <w:szCs w:val="15"/>
              </w:rPr>
              <w:t>光刺激与电</w:t>
            </w:r>
            <w:r>
              <w:rPr>
                <w:sz w:val="15"/>
                <w:szCs w:val="15"/>
              </w:rPr>
              <w:t>/</w:t>
            </w:r>
            <w:r>
              <w:rPr>
                <w:sz w:val="15"/>
                <w:szCs w:val="15"/>
              </w:rPr>
              <w:t>化学记录</w:t>
            </w:r>
          </w:p>
        </w:tc>
        <w:tc>
          <w:tcPr>
            <w:tcW w:w="1775" w:type="dxa"/>
            <w:tcMar>
              <w:top w:w="35" w:type="dxa"/>
              <w:left w:w="120" w:type="dxa"/>
              <w:bottom w:w="35" w:type="dxa"/>
              <w:right w:w="120" w:type="dxa"/>
            </w:tcMar>
            <w:vAlign w:val="center"/>
          </w:tcPr>
          <w:p w14:paraId="6976D8BF" w14:textId="77777777" w:rsidR="006D6DEA" w:rsidRDefault="00772A90">
            <w:pPr>
              <w:widowControl/>
              <w:snapToGrid w:val="0"/>
              <w:jc w:val="center"/>
              <w:rPr>
                <w:sz w:val="18"/>
              </w:rPr>
            </w:pPr>
            <w:r>
              <w:rPr>
                <w:sz w:val="15"/>
                <w:szCs w:val="15"/>
              </w:rPr>
              <w:t>多材料柔性纤维</w:t>
            </w:r>
          </w:p>
        </w:tc>
        <w:tc>
          <w:tcPr>
            <w:tcW w:w="1638" w:type="dxa"/>
            <w:tcMar>
              <w:top w:w="35" w:type="dxa"/>
              <w:left w:w="120" w:type="dxa"/>
              <w:bottom w:w="35" w:type="dxa"/>
              <w:right w:w="120" w:type="dxa"/>
            </w:tcMar>
            <w:vAlign w:val="center"/>
          </w:tcPr>
          <w:p w14:paraId="0F6618B7" w14:textId="77777777" w:rsidR="006D6DEA" w:rsidRDefault="00772A90">
            <w:pPr>
              <w:widowControl/>
              <w:snapToGrid w:val="0"/>
              <w:jc w:val="center"/>
              <w:rPr>
                <w:sz w:val="18"/>
              </w:rPr>
            </w:pPr>
            <w:r>
              <w:rPr>
                <w:sz w:val="15"/>
                <w:szCs w:val="15"/>
              </w:rPr>
              <w:t>组织反应和通道串扰</w:t>
            </w:r>
          </w:p>
        </w:tc>
        <w:tc>
          <w:tcPr>
            <w:tcW w:w="1980" w:type="dxa"/>
            <w:tcMar>
              <w:top w:w="35" w:type="dxa"/>
              <w:left w:w="120" w:type="dxa"/>
              <w:bottom w:w="35" w:type="dxa"/>
              <w:right w:w="120" w:type="dxa"/>
            </w:tcMar>
            <w:vAlign w:val="center"/>
          </w:tcPr>
          <w:p w14:paraId="5ACEEB96" w14:textId="77777777" w:rsidR="006D6DEA" w:rsidRDefault="00772A90">
            <w:pPr>
              <w:widowControl/>
              <w:snapToGrid w:val="0"/>
              <w:jc w:val="center"/>
              <w:rPr>
                <w:sz w:val="18"/>
              </w:rPr>
            </w:pPr>
            <w:r>
              <w:rPr>
                <w:sz w:val="15"/>
                <w:szCs w:val="15"/>
              </w:rPr>
              <w:t>体内长期对照</w:t>
            </w:r>
          </w:p>
        </w:tc>
      </w:tr>
      <w:tr w:rsidR="006D6DEA" w14:paraId="2B17796F" w14:textId="77777777">
        <w:trPr>
          <w:cantSplit/>
          <w:jc w:val="center"/>
        </w:trPr>
        <w:tc>
          <w:tcPr>
            <w:tcW w:w="993" w:type="dxa"/>
            <w:tcMar>
              <w:top w:w="35" w:type="dxa"/>
              <w:left w:w="120" w:type="dxa"/>
              <w:bottom w:w="35" w:type="dxa"/>
              <w:right w:w="120" w:type="dxa"/>
            </w:tcMar>
            <w:vAlign w:val="center"/>
          </w:tcPr>
          <w:p w14:paraId="1C875C98" w14:textId="77777777" w:rsidR="006D6DEA" w:rsidRDefault="00772A90">
            <w:pPr>
              <w:widowControl/>
              <w:snapToGrid w:val="0"/>
              <w:rPr>
                <w:sz w:val="18"/>
              </w:rPr>
            </w:pPr>
            <w:r>
              <w:rPr>
                <w:sz w:val="15"/>
                <w:szCs w:val="15"/>
              </w:rPr>
              <w:t>短期植入监测</w:t>
            </w:r>
          </w:p>
        </w:tc>
        <w:tc>
          <w:tcPr>
            <w:tcW w:w="1806" w:type="dxa"/>
            <w:tcMar>
              <w:top w:w="35" w:type="dxa"/>
              <w:left w:w="120" w:type="dxa"/>
              <w:bottom w:w="35" w:type="dxa"/>
              <w:right w:w="120" w:type="dxa"/>
            </w:tcMar>
            <w:vAlign w:val="center"/>
          </w:tcPr>
          <w:p w14:paraId="0FF7F083" w14:textId="77777777" w:rsidR="006D6DEA" w:rsidRDefault="00772A90">
            <w:pPr>
              <w:widowControl/>
              <w:snapToGrid w:val="0"/>
              <w:jc w:val="center"/>
              <w:rPr>
                <w:sz w:val="18"/>
              </w:rPr>
            </w:pPr>
            <w:r>
              <w:rPr>
                <w:sz w:val="15"/>
                <w:szCs w:val="15"/>
              </w:rPr>
              <w:t>压力、温度等</w:t>
            </w:r>
          </w:p>
        </w:tc>
        <w:tc>
          <w:tcPr>
            <w:tcW w:w="1775" w:type="dxa"/>
            <w:tcMar>
              <w:top w:w="35" w:type="dxa"/>
              <w:left w:w="120" w:type="dxa"/>
              <w:bottom w:w="35" w:type="dxa"/>
              <w:right w:w="120" w:type="dxa"/>
            </w:tcMar>
            <w:vAlign w:val="center"/>
          </w:tcPr>
          <w:p w14:paraId="35D29B65" w14:textId="77777777" w:rsidR="006D6DEA" w:rsidRDefault="00772A90">
            <w:pPr>
              <w:widowControl/>
              <w:snapToGrid w:val="0"/>
              <w:jc w:val="center"/>
              <w:rPr>
                <w:sz w:val="18"/>
              </w:rPr>
            </w:pPr>
            <w:r>
              <w:rPr>
                <w:sz w:val="15"/>
                <w:szCs w:val="15"/>
              </w:rPr>
              <w:t>可吸收光学系统</w:t>
            </w:r>
          </w:p>
        </w:tc>
        <w:tc>
          <w:tcPr>
            <w:tcW w:w="1638" w:type="dxa"/>
            <w:tcMar>
              <w:top w:w="35" w:type="dxa"/>
              <w:left w:w="120" w:type="dxa"/>
              <w:bottom w:w="35" w:type="dxa"/>
              <w:right w:w="120" w:type="dxa"/>
            </w:tcMar>
            <w:vAlign w:val="center"/>
          </w:tcPr>
          <w:p w14:paraId="6BA0484E" w14:textId="77777777" w:rsidR="006D6DEA" w:rsidRDefault="00772A90">
            <w:pPr>
              <w:widowControl/>
              <w:snapToGrid w:val="0"/>
              <w:jc w:val="center"/>
              <w:rPr>
                <w:sz w:val="18"/>
              </w:rPr>
            </w:pPr>
            <w:r>
              <w:rPr>
                <w:sz w:val="15"/>
                <w:szCs w:val="15"/>
              </w:rPr>
              <w:t>读数与吸收过程不同步</w:t>
            </w:r>
          </w:p>
        </w:tc>
        <w:tc>
          <w:tcPr>
            <w:tcW w:w="1980" w:type="dxa"/>
            <w:tcMar>
              <w:top w:w="35" w:type="dxa"/>
              <w:left w:w="120" w:type="dxa"/>
              <w:bottom w:w="35" w:type="dxa"/>
              <w:right w:w="120" w:type="dxa"/>
            </w:tcMar>
            <w:vAlign w:val="center"/>
          </w:tcPr>
          <w:p w14:paraId="7F02D7A3" w14:textId="77777777" w:rsidR="006D6DEA" w:rsidRDefault="00772A90">
            <w:pPr>
              <w:widowControl/>
              <w:snapToGrid w:val="0"/>
              <w:jc w:val="center"/>
              <w:rPr>
                <w:sz w:val="18"/>
              </w:rPr>
            </w:pPr>
            <w:r>
              <w:rPr>
                <w:sz w:val="15"/>
                <w:szCs w:val="15"/>
              </w:rPr>
              <w:t>组织学和材料残留</w:t>
            </w:r>
          </w:p>
        </w:tc>
      </w:tr>
    </w:tbl>
    <w:p w14:paraId="3E9A5C7C" w14:textId="77777777" w:rsidR="006D6DEA" w:rsidRDefault="006D6DEA">
      <w:pPr>
        <w:keepNext/>
        <w:keepLines/>
        <w:widowControl/>
        <w:spacing w:before="120" w:after="60"/>
        <w:jc w:val="left"/>
        <w:rPr>
          <w:rFonts w:eastAsia="黑体"/>
          <w:b/>
          <w:sz w:val="24"/>
          <w:szCs w:val="24"/>
        </w:rPr>
      </w:pPr>
    </w:p>
    <w:p w14:paraId="42DACDA0" w14:textId="61B4FE52" w:rsidR="006D6DEA" w:rsidRDefault="00772A90">
      <w:pPr>
        <w:keepNext/>
        <w:keepLines/>
        <w:widowControl/>
        <w:spacing w:before="120" w:after="60"/>
        <w:jc w:val="left"/>
        <w:rPr>
          <w:sz w:val="24"/>
        </w:rPr>
      </w:pPr>
      <w:r>
        <w:rPr>
          <w:rFonts w:eastAsia="黑体"/>
          <w:b/>
          <w:sz w:val="24"/>
          <w:szCs w:val="24"/>
        </w:rPr>
        <w:t xml:space="preserve">3 </w:t>
      </w:r>
      <w:r>
        <w:rPr>
          <w:rFonts w:eastAsia="黑体"/>
          <w:b/>
          <w:sz w:val="24"/>
          <w:szCs w:val="24"/>
        </w:rPr>
        <w:t>关键问题</w:t>
      </w:r>
      <w:r>
        <w:rPr>
          <w:rFonts w:eastAsia="黑体" w:hint="eastAsia"/>
          <w:b/>
          <w:sz w:val="24"/>
          <w:szCs w:val="24"/>
        </w:rPr>
        <w:t>与验证</w:t>
      </w:r>
      <w:r w:rsidR="009857D5">
        <w:rPr>
          <w:rFonts w:eastAsia="黑体" w:hint="eastAsia"/>
          <w:b/>
          <w:sz w:val="24"/>
          <w:szCs w:val="24"/>
        </w:rPr>
        <w:t>方法</w:t>
      </w:r>
    </w:p>
    <w:p w14:paraId="5F0F3F07" w14:textId="21E19BD3" w:rsidR="006D6DEA" w:rsidRDefault="00772A90">
      <w:pPr>
        <w:widowControl/>
        <w:ind w:firstLine="420"/>
        <w:rPr>
          <w:rFonts w:ascii="Segoe UI" w:hAnsi="Segoe UI" w:cs="Segoe UI"/>
          <w:color w:val="0F1115"/>
          <w:shd w:val="clear" w:color="auto" w:fill="FFFFFF"/>
        </w:rPr>
      </w:pPr>
      <w:r>
        <w:rPr>
          <w:rFonts w:ascii="Segoe UI" w:hAnsi="Segoe UI" w:cs="Segoe UI"/>
          <w:color w:val="0F1115"/>
          <w:shd w:val="clear" w:color="auto" w:fill="FFFFFF"/>
        </w:rPr>
        <w:t>聚合物医用光纤的关键问题，不在于能否获得光学响应，而在于该响应能否在生物环境中复现、校准并</w:t>
      </w:r>
      <w:r w:rsidR="007B31D8">
        <w:rPr>
          <w:rFonts w:ascii="Segoe UI" w:hAnsi="Segoe UI" w:cs="Segoe UI" w:hint="eastAsia"/>
          <w:color w:val="0F1115"/>
          <w:shd w:val="clear" w:color="auto" w:fill="FFFFFF"/>
        </w:rPr>
        <w:t>应用</w:t>
      </w:r>
      <w:r>
        <w:rPr>
          <w:rFonts w:ascii="Segoe UI" w:hAnsi="Segoe UI" w:cs="Segoe UI"/>
          <w:color w:val="0F1115"/>
          <w:shd w:val="clear" w:color="auto" w:fill="FFFFFF"/>
        </w:rPr>
        <w:t>于医学</w:t>
      </w:r>
      <w:r w:rsidR="007B31D8">
        <w:rPr>
          <w:rFonts w:ascii="Segoe UI" w:hAnsi="Segoe UI" w:cs="Segoe UI" w:hint="eastAsia"/>
          <w:color w:val="0F1115"/>
          <w:shd w:val="clear" w:color="auto" w:fill="FFFFFF"/>
        </w:rPr>
        <w:t>诊断</w:t>
      </w:r>
      <w:r>
        <w:rPr>
          <w:rFonts w:ascii="Segoe UI" w:hAnsi="Segoe UI" w:cs="Segoe UI"/>
          <w:color w:val="0F1115"/>
          <w:shd w:val="clear" w:color="auto" w:fill="FFFFFF"/>
        </w:rPr>
        <w:t>。以下从导光不确定性、湿态环境干扰、多参量交叉敏感以及界面失效与降解耦合</w:t>
      </w:r>
      <w:r w:rsidR="00403C3E">
        <w:rPr>
          <w:rFonts w:ascii="Segoe UI" w:hAnsi="Segoe UI" w:cs="Segoe UI" w:hint="eastAsia"/>
          <w:color w:val="0F1115"/>
          <w:shd w:val="clear" w:color="auto" w:fill="FFFFFF"/>
        </w:rPr>
        <w:t>等几个</w:t>
      </w:r>
      <w:r w:rsidR="00730F34">
        <w:rPr>
          <w:rFonts w:ascii="Segoe UI" w:hAnsi="Segoe UI" w:cs="Segoe UI" w:hint="eastAsia"/>
          <w:color w:val="0F1115"/>
          <w:shd w:val="clear" w:color="auto" w:fill="FFFFFF"/>
        </w:rPr>
        <w:t>方</w:t>
      </w:r>
      <w:r>
        <w:rPr>
          <w:rFonts w:ascii="Segoe UI" w:hAnsi="Segoe UI" w:cs="Segoe UI"/>
          <w:color w:val="0F1115"/>
          <w:shd w:val="clear" w:color="auto" w:fill="FFFFFF"/>
        </w:rPr>
        <w:t>面，分析当前制约聚合物医用光纤应用的主要障碍及其验证路径。</w:t>
      </w:r>
    </w:p>
    <w:p w14:paraId="66F1C974" w14:textId="77777777" w:rsidR="006D6DEA" w:rsidRDefault="00772A90">
      <w:pPr>
        <w:widowControl/>
        <w:rPr>
          <w:b/>
        </w:rPr>
      </w:pPr>
      <w:r>
        <w:rPr>
          <w:rFonts w:hint="eastAsia"/>
          <w:b/>
        </w:rPr>
        <w:t xml:space="preserve">3.1 </w:t>
      </w:r>
      <w:r>
        <w:rPr>
          <w:rFonts w:hint="eastAsia"/>
          <w:b/>
        </w:rPr>
        <w:t>柔性导光中的不确定性</w:t>
      </w:r>
    </w:p>
    <w:p w14:paraId="64CA6624" w14:textId="56A677D2" w:rsidR="006D6DEA" w:rsidRDefault="00772A90">
      <w:pPr>
        <w:widowControl/>
        <w:ind w:firstLine="420"/>
      </w:pPr>
      <w:r>
        <w:rPr>
          <w:rFonts w:ascii="Segoe UI" w:hAnsi="Segoe UI" w:cs="Segoe UI"/>
          <w:color w:val="0F1115"/>
          <w:shd w:val="clear" w:color="auto" w:fill="FFFFFF"/>
        </w:rPr>
        <w:t>柔性设计在带来力学匹配优势的同时，也引入了导光的不确定性。</w:t>
      </w:r>
      <w:r>
        <w:t>稳定导光依赖均匀折射率、平滑界面和几何尺寸保持；</w:t>
      </w:r>
      <w:r>
        <w:rPr>
          <w:rFonts w:hint="eastAsia"/>
        </w:rPr>
        <w:t>而</w:t>
      </w:r>
      <w:r>
        <w:t>低模量和大应变则往往伴随更高</w:t>
      </w:r>
      <w:r w:rsidR="00403C3E">
        <w:rPr>
          <w:rFonts w:hint="eastAsia"/>
        </w:rPr>
        <w:t>的</w:t>
      </w:r>
      <w:r>
        <w:t>活动</w:t>
      </w:r>
      <w:r w:rsidR="00403C3E">
        <w:rPr>
          <w:rFonts w:hint="eastAsia"/>
        </w:rPr>
        <w:t>灵活</w:t>
      </w:r>
      <w:r>
        <w:t>度、更弱结构约束和更大的界面形变。塑料芯</w:t>
      </w:r>
      <w:r>
        <w:t xml:space="preserve"> POF </w:t>
      </w:r>
      <w:r>
        <w:t>的损耗受材料纯度和拉制</w:t>
      </w:r>
      <w:r w:rsidR="00403C3E">
        <w:rPr>
          <w:rFonts w:hint="eastAsia"/>
        </w:rPr>
        <w:t>经历</w:t>
      </w:r>
      <w:r>
        <w:t>影响</w:t>
      </w:r>
      <w:r>
        <w:rPr>
          <w:vertAlign w:val="superscript"/>
        </w:rPr>
        <w:t>[4]</w:t>
      </w:r>
      <w:r>
        <w:rPr>
          <w:rFonts w:hint="eastAsia"/>
        </w:rPr>
        <w:t>；</w:t>
      </w:r>
      <w:r>
        <w:t>弹性体光纤研究也表明，大形变能力不能直接等同于可重复信号</w:t>
      </w:r>
      <w:r>
        <w:rPr>
          <w:vertAlign w:val="superscript"/>
        </w:rPr>
        <w:t>[12]</w:t>
      </w:r>
      <w:r>
        <w:t>。裸纤初始损耗或单次拉伸灵敏度，难以预测真实佩戴、弯折和封装后的</w:t>
      </w:r>
      <w:r w:rsidR="00403C3E">
        <w:rPr>
          <w:rFonts w:hint="eastAsia"/>
        </w:rPr>
        <w:t>信息读取</w:t>
      </w:r>
      <w:r>
        <w:t>质量。</w:t>
      </w:r>
    </w:p>
    <w:p w14:paraId="43BD6EB6" w14:textId="2ABD12D5" w:rsidR="006D6DEA" w:rsidRDefault="00772A90">
      <w:pPr>
        <w:widowControl/>
        <w:ind w:firstLine="420"/>
      </w:pPr>
      <w:r>
        <w:t>已有改进包括低损耗主体材料、拉制或固化工艺优化、柔性封装和结构限位，但不少工作仍缺少统一</w:t>
      </w:r>
      <w:r w:rsidR="00403C3E">
        <w:rPr>
          <w:rFonts w:hint="eastAsia"/>
        </w:rPr>
        <w:t>的</w:t>
      </w:r>
      <w:r>
        <w:t>损耗</w:t>
      </w:r>
      <w:r w:rsidR="00403C3E">
        <w:rPr>
          <w:rFonts w:hint="eastAsia"/>
        </w:rPr>
        <w:t>预估方法</w:t>
      </w:r>
      <w:r>
        <w:t>。</w:t>
      </w:r>
      <w:r>
        <w:rPr>
          <w:rFonts w:ascii="Segoe UI" w:hAnsi="Segoe UI" w:cs="Segoe UI"/>
          <w:color w:val="0F1115"/>
          <w:shd w:val="clear" w:color="auto" w:fill="FFFFFF"/>
        </w:rPr>
        <w:t>后续评价应将本征吸收、结构散射、弯曲损耗、连接损耗、封装应力和组织光路中的额外损耗置于同一框架内统筹考虑</w:t>
      </w:r>
      <w:r>
        <w:t>。</w:t>
      </w:r>
    </w:p>
    <w:p w14:paraId="554D0AB7" w14:textId="77777777" w:rsidR="006D6DEA" w:rsidRDefault="00772A90">
      <w:pPr>
        <w:widowControl/>
        <w:rPr>
          <w:b/>
        </w:rPr>
      </w:pPr>
      <w:r>
        <w:rPr>
          <w:rFonts w:hint="eastAsia"/>
          <w:b/>
        </w:rPr>
        <w:t xml:space="preserve">3.2 </w:t>
      </w:r>
      <w:r>
        <w:rPr>
          <w:rFonts w:hint="eastAsia"/>
          <w:b/>
        </w:rPr>
        <w:t>湿态环境的干扰与标定</w:t>
      </w:r>
    </w:p>
    <w:p w14:paraId="07A0FD14" w14:textId="40E7FCC3" w:rsidR="006D6DEA" w:rsidRDefault="00772A90">
      <w:pPr>
        <w:widowControl/>
        <w:ind w:firstLine="420"/>
      </w:pPr>
      <w:r>
        <w:rPr>
          <w:rFonts w:ascii="Segoe UI" w:hAnsi="Segoe UI" w:cs="Segoe UI"/>
          <w:color w:val="0F1115"/>
          <w:shd w:val="clear" w:color="auto" w:fill="FFFFFF"/>
        </w:rPr>
        <w:t>湿态环境是另一类常被低估的干扰来源</w:t>
      </w:r>
      <w:r>
        <w:t>。器件在空气或短时缓冲液中稳定，并不代表其可在汗液、体液、组织液或长期浸润条件下</w:t>
      </w:r>
      <w:r>
        <w:rPr>
          <w:rFonts w:hint="eastAsia"/>
        </w:rPr>
        <w:t>能够同样</w:t>
      </w:r>
      <w:r>
        <w:t>保持</w:t>
      </w:r>
      <w:r>
        <w:rPr>
          <w:rFonts w:hint="eastAsia"/>
        </w:rPr>
        <w:t>稳定</w:t>
      </w:r>
      <w:r>
        <w:t>。吸水溶胀、折射率变化、界面层重排、</w:t>
      </w:r>
      <w:r w:rsidR="00403C3E">
        <w:rPr>
          <w:rFonts w:hint="eastAsia"/>
        </w:rPr>
        <w:t>连接</w:t>
      </w:r>
      <w:r>
        <w:t>段</w:t>
      </w:r>
      <w:r w:rsidR="00403C3E">
        <w:rPr>
          <w:rFonts w:hint="eastAsia"/>
        </w:rPr>
        <w:t>光纤</w:t>
      </w:r>
      <w:r>
        <w:t>松弛和聚酯水解常发生在相近时间尺度内</w:t>
      </w:r>
      <w:r>
        <w:rPr>
          <w:rFonts w:hint="eastAsia"/>
        </w:rPr>
        <w:t>，</w:t>
      </w:r>
      <w:r>
        <w:t>相互叠加。低吸水</w:t>
      </w:r>
      <w:r>
        <w:t xml:space="preserve"> TOPAS </w:t>
      </w:r>
      <w:r>
        <w:t>光栅可降低湿度对布拉格波长的影响</w:t>
      </w:r>
      <w:r>
        <w:rPr>
          <w:vertAlign w:val="superscript"/>
        </w:rPr>
        <w:t>[11]</w:t>
      </w:r>
      <w:r>
        <w:rPr>
          <w:rFonts w:hint="eastAsia"/>
        </w:rPr>
        <w:t>；</w:t>
      </w:r>
      <w:r>
        <w:t>温湿度同步测量则说明温度、相对湿度和应力光学效应会共同改变响应</w:t>
      </w:r>
      <w:r>
        <w:rPr>
          <w:vertAlign w:val="superscript"/>
        </w:rPr>
        <w:t>[24]</w:t>
      </w:r>
      <w:r>
        <w:t>。</w:t>
      </w:r>
    </w:p>
    <w:p w14:paraId="46199FA3" w14:textId="567A5CD0" w:rsidR="006D6DEA" w:rsidRDefault="00772A90">
      <w:pPr>
        <w:widowControl/>
        <w:ind w:firstLine="420"/>
      </w:pPr>
      <w:r>
        <w:rPr>
          <w:rFonts w:ascii="Segoe UI" w:hAnsi="Segoe UI" w:cs="Segoe UI"/>
          <w:color w:val="0F1115"/>
          <w:shd w:val="clear" w:color="auto" w:fill="FFFFFF"/>
        </w:rPr>
        <w:t>因此，一次性干态标定很难支撑连续佩戴或植入应用。更合理的做法是建立覆盖干态、湿态、循环加载、真实体液和加速老化在内的标定生命周期，明确不同阶段传感器读数的</w:t>
      </w:r>
      <w:r w:rsidR="007D0947">
        <w:rPr>
          <w:rFonts w:ascii="Segoe UI" w:hAnsi="Segoe UI" w:cs="Segoe UI" w:hint="eastAsia"/>
          <w:color w:val="0F1115"/>
          <w:shd w:val="clear" w:color="auto" w:fill="FFFFFF"/>
        </w:rPr>
        <w:t>不确定</w:t>
      </w:r>
      <w:r>
        <w:rPr>
          <w:rFonts w:ascii="Segoe UI" w:hAnsi="Segoe UI" w:cs="Segoe UI"/>
          <w:color w:val="0F1115"/>
          <w:shd w:val="clear" w:color="auto" w:fill="FFFFFF"/>
        </w:rPr>
        <w:t>范围和修正方法</w:t>
      </w:r>
      <w:r>
        <w:t>。</w:t>
      </w:r>
    </w:p>
    <w:p w14:paraId="600E12F8" w14:textId="77777777" w:rsidR="006D6DEA" w:rsidRDefault="00772A90">
      <w:pPr>
        <w:widowControl/>
        <w:rPr>
          <w:b/>
        </w:rPr>
      </w:pPr>
      <w:r>
        <w:rPr>
          <w:rFonts w:hint="eastAsia"/>
          <w:b/>
        </w:rPr>
        <w:lastRenderedPageBreak/>
        <w:t xml:space="preserve">3.3 </w:t>
      </w:r>
      <w:r>
        <w:rPr>
          <w:rFonts w:hint="eastAsia"/>
          <w:b/>
        </w:rPr>
        <w:t>多参量交叉敏感与解耦</w:t>
      </w:r>
    </w:p>
    <w:p w14:paraId="16FA9D5F" w14:textId="3BD14136" w:rsidR="006D6DEA" w:rsidRDefault="00772A90">
      <w:pPr>
        <w:widowControl/>
        <w:ind w:firstLine="420"/>
      </w:pPr>
      <w:r>
        <w:t>多参量交叉敏感使反演问题变得不</w:t>
      </w:r>
      <w:r>
        <w:rPr>
          <w:rFonts w:hint="eastAsia"/>
        </w:rPr>
        <w:t>确</w:t>
      </w:r>
      <w:r>
        <w:t>定。温度、湿度、应变、压力和封装应力可共同作用于同一读数；传感器越敏感，越可能把无关扰动纳入输出。</w:t>
      </w:r>
      <w:r>
        <w:t xml:space="preserve">POF-FBG </w:t>
      </w:r>
      <w:r>
        <w:t>的波长漂移同时包含有效折射率和光栅周期变化</w:t>
      </w:r>
      <w:r>
        <w:rPr>
          <w:vertAlign w:val="superscript"/>
        </w:rPr>
        <w:t>[17]</w:t>
      </w:r>
      <w:r>
        <w:t>，材料、写入方式和封装也会改变响应</w:t>
      </w:r>
      <w:r>
        <w:rPr>
          <w:vertAlign w:val="superscript"/>
        </w:rPr>
        <w:t>[22]</w:t>
      </w:r>
      <w:r>
        <w:t>。单一灵敏度系数不足以描述这种耦合。多材料光栅、参考光栅、差异化封装和多通道阵列有助于建立灵敏度矩阵或差分</w:t>
      </w:r>
      <w:r w:rsidR="007D0947">
        <w:rPr>
          <w:rFonts w:hint="eastAsia"/>
        </w:rPr>
        <w:t>信号输出</w:t>
      </w:r>
      <w:r>
        <w:t>，但前提是响应向量线性独立、噪声传播可控且时间常数可区分。多参量解耦应</w:t>
      </w:r>
      <w:r>
        <w:rPr>
          <w:rFonts w:hint="eastAsia"/>
        </w:rPr>
        <w:t>提供</w:t>
      </w:r>
      <w:r>
        <w:t>条件</w:t>
      </w:r>
      <w:r>
        <w:rPr>
          <w:rFonts w:hint="eastAsia"/>
        </w:rPr>
        <w:t>参</w:t>
      </w:r>
      <w:r>
        <w:t>数、噪声放大</w:t>
      </w:r>
      <w:r>
        <w:rPr>
          <w:rFonts w:hint="eastAsia"/>
        </w:rPr>
        <w:t>数据</w:t>
      </w:r>
      <w:r>
        <w:t>、动态响应时间和验证集误差。</w:t>
      </w:r>
    </w:p>
    <w:p w14:paraId="277400DB" w14:textId="7EEE07B2" w:rsidR="006D6DEA" w:rsidRDefault="00772A90">
      <w:pPr>
        <w:widowControl/>
        <w:rPr>
          <w:b/>
        </w:rPr>
      </w:pPr>
      <w:r>
        <w:rPr>
          <w:rFonts w:hint="eastAsia"/>
          <w:b/>
        </w:rPr>
        <w:t xml:space="preserve">3.4 </w:t>
      </w:r>
      <w:r>
        <w:rPr>
          <w:rFonts w:hint="eastAsia"/>
          <w:b/>
        </w:rPr>
        <w:t>界面失效与降解</w:t>
      </w:r>
    </w:p>
    <w:p w14:paraId="2851A601" w14:textId="7FBAAAE6" w:rsidR="006D6DEA" w:rsidRDefault="00772A90">
      <w:pPr>
        <w:widowControl/>
        <w:ind w:firstLine="420"/>
        <w:rPr>
          <w:rFonts w:cs="宋体"/>
          <w:szCs w:val="21"/>
        </w:rPr>
      </w:pPr>
      <w:r>
        <w:t>功能化界面和材料降解还会改变传感对象本身。生化检测或植入监测中，</w:t>
      </w:r>
      <w:r w:rsidR="007D0947">
        <w:rPr>
          <w:rFonts w:hint="eastAsia"/>
        </w:rPr>
        <w:t>信号输出</w:t>
      </w:r>
      <w:r>
        <w:t>变化可能来自目标分子，也可能来自非特异吸附、涂层溶胀、蛋白污染、细胞包裹、材料降解和组织反应。聚合物敏感涂层的厚度、交联和附着方式会同时改变结合容量与传质路径</w:t>
      </w:r>
      <w:r>
        <w:rPr>
          <w:vertAlign w:val="superscript"/>
        </w:rPr>
        <w:t>[20]</w:t>
      </w:r>
      <w:r>
        <w:t>，</w:t>
      </w:r>
      <w:r>
        <w:t xml:space="preserve">POF-SPR </w:t>
      </w:r>
      <w:r>
        <w:t>的折射率响应也需要识别层赋予分子选择性</w:t>
      </w:r>
      <w:r>
        <w:rPr>
          <w:vertAlign w:val="superscript"/>
        </w:rPr>
        <w:t>[25]</w:t>
      </w:r>
      <w:r>
        <w:t>。可降解器件则要同时处理生物相容性、降解和导光性能</w:t>
      </w:r>
      <w:r>
        <w:rPr>
          <w:vertAlign w:val="superscript"/>
        </w:rPr>
        <w:t>[15,16]</w:t>
      </w:r>
      <w:r>
        <w:t>。若不能区分目标量误差、光剂量变化、界面污染、组织学反应和器件残留，单独的光学读数很难支持医学判断。</w:t>
      </w:r>
      <w:r>
        <w:rPr>
          <w:rFonts w:hint="eastAsia"/>
        </w:rPr>
        <w:t>不稳定性</w:t>
      </w:r>
      <w:r>
        <w:t>来源及验证路径如图</w:t>
      </w:r>
      <w:r w:rsidR="007B31D8">
        <w:rPr>
          <w:rFonts w:hint="eastAsia"/>
        </w:rPr>
        <w:t>1</w:t>
      </w:r>
      <w:r>
        <w:t>所示。</w:t>
      </w:r>
    </w:p>
    <w:p w14:paraId="5F5A4309" w14:textId="77777777" w:rsidR="006D6DEA" w:rsidRDefault="00772A90">
      <w:pPr>
        <w:keepLines/>
        <w:widowControl/>
        <w:spacing w:after="40"/>
        <w:jc w:val="center"/>
        <w:rPr>
          <w:rFonts w:cs="宋体"/>
          <w:szCs w:val="21"/>
        </w:rPr>
      </w:pPr>
      <w:r>
        <w:rPr>
          <w:rFonts w:cs="宋体" w:hint="eastAsia"/>
          <w:szCs w:val="21"/>
        </w:rPr>
        <w:object w:dxaOrig="7890" w:dyaOrig="4245" w14:anchorId="384B7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4pt;height:212.25pt" o:ole="">
            <v:imagedata r:id="rId7" o:title=""/>
          </v:shape>
          <o:OLEObject Type="Embed" ProgID="Visio.Drawing.15" ShapeID="_x0000_i1025" DrawAspect="Content" ObjectID="_1846390514" r:id="rId8"/>
        </w:object>
      </w:r>
    </w:p>
    <w:p w14:paraId="24CAA5D6" w14:textId="77777777" w:rsidR="006D6DEA" w:rsidRPr="007D0947" w:rsidRDefault="00772A90">
      <w:pPr>
        <w:keepLines/>
        <w:widowControl/>
        <w:spacing w:after="40"/>
        <w:jc w:val="center"/>
        <w:rPr>
          <w:b/>
          <w:sz w:val="20"/>
          <w:szCs w:val="28"/>
        </w:rPr>
      </w:pPr>
      <w:r w:rsidRPr="007D0947">
        <w:rPr>
          <w:b/>
          <w:sz w:val="20"/>
          <w:szCs w:val="28"/>
        </w:rPr>
        <w:t>图</w:t>
      </w:r>
      <w:r w:rsidRPr="007D0947">
        <w:rPr>
          <w:b/>
          <w:sz w:val="20"/>
          <w:szCs w:val="28"/>
        </w:rPr>
        <w:t xml:space="preserve">1 </w:t>
      </w:r>
      <w:r w:rsidRPr="007D0947">
        <w:rPr>
          <w:b/>
          <w:sz w:val="20"/>
          <w:szCs w:val="28"/>
        </w:rPr>
        <w:t>生物界面中的</w:t>
      </w:r>
      <w:r w:rsidRPr="007D0947">
        <w:rPr>
          <w:rFonts w:hint="eastAsia"/>
          <w:b/>
          <w:sz w:val="20"/>
          <w:szCs w:val="28"/>
        </w:rPr>
        <w:t>不稳定性</w:t>
      </w:r>
      <w:r w:rsidRPr="007D0947">
        <w:rPr>
          <w:b/>
          <w:sz w:val="20"/>
          <w:szCs w:val="28"/>
        </w:rPr>
        <w:t>来源与验证路径</w:t>
      </w:r>
    </w:p>
    <w:p w14:paraId="0D48B5FF" w14:textId="4DE4CA38" w:rsidR="006D6DEA" w:rsidRDefault="00772A90">
      <w:pPr>
        <w:widowControl/>
        <w:rPr>
          <w:b/>
        </w:rPr>
      </w:pPr>
      <w:r>
        <w:rPr>
          <w:rFonts w:hint="eastAsia"/>
          <w:b/>
        </w:rPr>
        <w:t xml:space="preserve">3.5 </w:t>
      </w:r>
      <w:r>
        <w:rPr>
          <w:rFonts w:hint="eastAsia"/>
          <w:b/>
        </w:rPr>
        <w:t>场景导向验证</w:t>
      </w:r>
    </w:p>
    <w:p w14:paraId="397AB467" w14:textId="77777777" w:rsidR="006D6DEA" w:rsidRDefault="00772A90">
      <w:pPr>
        <w:widowControl/>
        <w:ind w:firstLine="420"/>
        <w:rPr>
          <w:rFonts w:cs="宋体"/>
          <w:szCs w:val="21"/>
        </w:rPr>
      </w:pPr>
      <w:r>
        <w:t>评价标准需要从器件性能表转到医学场景验证链。</w:t>
      </w:r>
      <w:r>
        <w:rPr>
          <w:rFonts w:ascii="Segoe UI" w:hAnsi="Segoe UI" w:cs="Segoe UI"/>
          <w:color w:val="0F1115"/>
          <w:shd w:val="clear" w:color="auto" w:fill="FFFFFF"/>
        </w:rPr>
        <w:t>不同应用场景关注的风险不同，验证重点也应有明确区分：</w:t>
      </w:r>
      <w:r>
        <w:t>可穿戴器件至少应</w:t>
      </w:r>
      <w:r>
        <w:rPr>
          <w:rFonts w:hint="eastAsia"/>
        </w:rPr>
        <w:t>提供</w:t>
      </w:r>
      <w:r>
        <w:t>固定方式、运动参照、循环加载和湿态</w:t>
      </w:r>
      <w:r>
        <w:rPr>
          <w:rFonts w:hint="eastAsia"/>
        </w:rPr>
        <w:t>不稳定性</w:t>
      </w:r>
      <w:r>
        <w:t>；生化检测应报告真实样品、阴性对照、非特异吸附和传质限制；短期植入及可降解器件应</w:t>
      </w:r>
      <w:r>
        <w:rPr>
          <w:rFonts w:hint="eastAsia"/>
        </w:rPr>
        <w:t>提供</w:t>
      </w:r>
      <w:r>
        <w:t>光通量、材料降解、组织反应和读数有效期。</w:t>
      </w:r>
      <w:r>
        <w:rPr>
          <w:rFonts w:ascii="Segoe UI" w:hAnsi="Segoe UI" w:cs="Segoe UI"/>
          <w:color w:val="0F1115"/>
          <w:shd w:val="clear" w:color="auto" w:fill="FFFFFF"/>
        </w:rPr>
        <w:t>柔性、灵敏度、可功能化和可降解性只有经过上述场景导向的验证，才可能从实验室性能参数转化为真正的医学可用性。</w:t>
      </w:r>
    </w:p>
    <w:p w14:paraId="3367B92C" w14:textId="77777777" w:rsidR="006D6DEA" w:rsidRDefault="00772A90">
      <w:pPr>
        <w:keepNext/>
        <w:keepLines/>
        <w:widowControl/>
        <w:spacing w:before="120" w:after="60"/>
        <w:jc w:val="left"/>
        <w:rPr>
          <w:sz w:val="24"/>
        </w:rPr>
      </w:pPr>
      <w:r>
        <w:rPr>
          <w:rFonts w:eastAsia="黑体"/>
          <w:b/>
          <w:sz w:val="24"/>
        </w:rPr>
        <w:t xml:space="preserve">4 </w:t>
      </w:r>
      <w:r>
        <w:rPr>
          <w:rFonts w:eastAsia="黑体"/>
          <w:b/>
          <w:sz w:val="24"/>
        </w:rPr>
        <w:t>发展趋势</w:t>
      </w:r>
    </w:p>
    <w:p w14:paraId="2D379A16" w14:textId="75D5FCA3" w:rsidR="006D6DEA" w:rsidRDefault="00772A90">
      <w:pPr>
        <w:widowControl/>
        <w:ind w:firstLine="420"/>
      </w:pPr>
      <w:r>
        <w:rPr>
          <w:rFonts w:ascii="Segoe UI" w:hAnsi="Segoe UI" w:cs="Segoe UI"/>
          <w:color w:val="0F1115"/>
          <w:shd w:val="clear" w:color="auto" w:fill="FFFFFF"/>
        </w:rPr>
        <w:t>聚合物医用光纤的发展正在从</w:t>
      </w:r>
      <w:r>
        <w:rPr>
          <w:rFonts w:ascii="Segoe UI" w:hAnsi="Segoe UI" w:cs="Segoe UI"/>
          <w:color w:val="0F1115"/>
          <w:shd w:val="clear" w:color="auto" w:fill="FFFFFF"/>
        </w:rPr>
        <w:t>“</w:t>
      </w:r>
      <w:r>
        <w:rPr>
          <w:rFonts w:ascii="Segoe UI" w:hAnsi="Segoe UI" w:cs="Segoe UI"/>
          <w:color w:val="0F1115"/>
          <w:shd w:val="clear" w:color="auto" w:fill="FFFFFF"/>
        </w:rPr>
        <w:t>材料与器件的多样性</w:t>
      </w:r>
      <w:r>
        <w:rPr>
          <w:rFonts w:ascii="Segoe UI" w:hAnsi="Segoe UI" w:cs="Segoe UI"/>
          <w:color w:val="0F1115"/>
          <w:shd w:val="clear" w:color="auto" w:fill="FFFFFF"/>
        </w:rPr>
        <w:t>”</w:t>
      </w:r>
      <w:r>
        <w:rPr>
          <w:rFonts w:ascii="Segoe UI" w:hAnsi="Segoe UI" w:cs="Segoe UI"/>
          <w:color w:val="0F1115"/>
          <w:shd w:val="clear" w:color="auto" w:fill="FFFFFF"/>
        </w:rPr>
        <w:t>转向</w:t>
      </w:r>
      <w:r>
        <w:rPr>
          <w:rFonts w:ascii="Segoe UI" w:hAnsi="Segoe UI" w:cs="Segoe UI"/>
          <w:color w:val="0F1115"/>
          <w:shd w:val="clear" w:color="auto" w:fill="FFFFFF"/>
        </w:rPr>
        <w:t>“</w:t>
      </w:r>
      <w:r>
        <w:rPr>
          <w:rFonts w:ascii="Segoe UI" w:hAnsi="Segoe UI" w:cs="Segoe UI"/>
          <w:color w:val="0F1115"/>
          <w:shd w:val="clear" w:color="auto" w:fill="FFFFFF"/>
        </w:rPr>
        <w:t>系统验证与临床适配</w:t>
      </w:r>
      <w:r>
        <w:rPr>
          <w:rFonts w:ascii="Segoe UI" w:hAnsi="Segoe UI" w:cs="Segoe UI"/>
          <w:color w:val="0F1115"/>
          <w:shd w:val="clear" w:color="auto" w:fill="FFFFFF"/>
        </w:rPr>
        <w:t>”</w:t>
      </w:r>
      <w:r>
        <w:rPr>
          <w:rFonts w:ascii="Segoe UI" w:hAnsi="Segoe UI" w:cs="Segoe UI"/>
          <w:color w:val="0F1115"/>
          <w:shd w:val="clear" w:color="auto" w:fill="FFFFFF"/>
        </w:rPr>
        <w:t>。以下从数据处理、制造能力、集成策略和临床转化</w:t>
      </w:r>
      <w:r w:rsidR="007B31D8">
        <w:rPr>
          <w:rFonts w:ascii="Segoe UI" w:hAnsi="Segoe UI" w:cs="Segoe UI" w:hint="eastAsia"/>
          <w:color w:val="0F1115"/>
          <w:shd w:val="clear" w:color="auto" w:fill="FFFFFF"/>
        </w:rPr>
        <w:t>多个视角</w:t>
      </w:r>
      <w:r>
        <w:rPr>
          <w:rFonts w:ascii="Segoe UI" w:hAnsi="Segoe UI" w:cs="Segoe UI"/>
          <w:color w:val="0F1115"/>
          <w:shd w:val="clear" w:color="auto" w:fill="FFFFFF"/>
        </w:rPr>
        <w:t>，讨论该领域值得关注的发展方向。</w:t>
      </w:r>
    </w:p>
    <w:p w14:paraId="491F144F" w14:textId="2F16026C" w:rsidR="006D6DEA" w:rsidRDefault="00772A90">
      <w:pPr>
        <w:widowControl/>
        <w:rPr>
          <w:b/>
        </w:rPr>
      </w:pPr>
      <w:r>
        <w:rPr>
          <w:rFonts w:hint="eastAsia"/>
          <w:b/>
        </w:rPr>
        <w:t xml:space="preserve">4.1 </w:t>
      </w:r>
      <w:r>
        <w:rPr>
          <w:rFonts w:hint="eastAsia"/>
          <w:b/>
        </w:rPr>
        <w:t>数据处理</w:t>
      </w:r>
      <w:r w:rsidR="007B31D8">
        <w:rPr>
          <w:rFonts w:hint="eastAsia"/>
          <w:b/>
        </w:rPr>
        <w:t>方面</w:t>
      </w:r>
      <w:r>
        <w:rPr>
          <w:rFonts w:hint="eastAsia"/>
          <w:b/>
        </w:rPr>
        <w:t>：人工智能与数字孪生</w:t>
      </w:r>
    </w:p>
    <w:p w14:paraId="485AFE21" w14:textId="012B483C" w:rsidR="006D6DEA" w:rsidRDefault="00772A90">
      <w:pPr>
        <w:widowControl/>
        <w:ind w:firstLine="420"/>
      </w:pPr>
      <w:r>
        <w:t>人工智能（</w:t>
      </w:r>
      <w:r>
        <w:t>AI</w:t>
      </w:r>
      <w:r>
        <w:t>）在该领域的作用，主要是处理混合信号。聚合物医用光纤的</w:t>
      </w:r>
      <w:r w:rsidR="007D0947">
        <w:rPr>
          <w:rFonts w:hint="eastAsia"/>
        </w:rPr>
        <w:t>信息输出</w:t>
      </w:r>
      <w:r>
        <w:t>常同时包含温度、湿度、应变、封装应力和界面状态，单变量标定很难覆盖真实佩戴和植入环境。多点光栅、多模态通道和连续采集为机器学习提供了数据基础，但多数工作仍停留在灵</w:t>
      </w:r>
      <w:r>
        <w:lastRenderedPageBreak/>
        <w:t>敏度矩阵或经验补偿</w:t>
      </w:r>
      <w:r>
        <w:rPr>
          <w:rFonts w:hint="eastAsia"/>
        </w:rPr>
        <w:t>方面</w:t>
      </w:r>
      <w:r>
        <w:t>。模型用于漂移识别、伪影剔除和多变量反演时，</w:t>
      </w:r>
      <w:r>
        <w:rPr>
          <w:rFonts w:hint="eastAsia"/>
        </w:rPr>
        <w:t>可</w:t>
      </w:r>
      <w:r>
        <w:t>同时给出独立测试集、噪声传播分析和失效边界。</w:t>
      </w:r>
    </w:p>
    <w:p w14:paraId="65D41340" w14:textId="424AF9A1" w:rsidR="006D6DEA" w:rsidRDefault="00772A90">
      <w:pPr>
        <w:widowControl/>
        <w:ind w:firstLine="420"/>
      </w:pPr>
      <w:r>
        <w:t>数字孪生适合用于器件全生命周期评价。聚合物医用光纤的响应受吸水、应力松弛、弯曲损耗、界面污染和组织运动共同影响，单次实验无法覆盖全部状态。数字孪生可把材料参数、结构几何、封装方式、人体运动和光学读数放入同一模型。现有基础主要来自光栅阵列、多功能纤维和可吸收传感系统</w:t>
      </w:r>
      <w:r>
        <w:rPr>
          <w:vertAlign w:val="superscript"/>
        </w:rPr>
        <w:t>[22,7,30]</w:t>
      </w:r>
      <w:r>
        <w:t>，但跨材料、跨人群和跨时间尺度数据仍不足。模型若不能更新和验证，很难真正指导材料选择或临床使用。</w:t>
      </w:r>
    </w:p>
    <w:p w14:paraId="13F3613C" w14:textId="4808B841" w:rsidR="006D6DEA" w:rsidRDefault="00772A90">
      <w:pPr>
        <w:widowControl/>
        <w:rPr>
          <w:b/>
        </w:rPr>
      </w:pPr>
      <w:r>
        <w:rPr>
          <w:rFonts w:hint="eastAsia"/>
          <w:b/>
        </w:rPr>
        <w:t xml:space="preserve">4.2 </w:t>
      </w:r>
      <w:r>
        <w:rPr>
          <w:rFonts w:hint="eastAsia"/>
          <w:b/>
        </w:rPr>
        <w:t>制造技术</w:t>
      </w:r>
      <w:r w:rsidR="007B31D8">
        <w:rPr>
          <w:rFonts w:hint="eastAsia"/>
          <w:b/>
        </w:rPr>
        <w:t>方面</w:t>
      </w:r>
      <w:r>
        <w:rPr>
          <w:rFonts w:hint="eastAsia"/>
          <w:b/>
        </w:rPr>
        <w:t>：从拉制到</w:t>
      </w:r>
      <w:r>
        <w:rPr>
          <w:rFonts w:hint="eastAsia"/>
          <w:b/>
        </w:rPr>
        <w:t>3D</w:t>
      </w:r>
      <w:r>
        <w:rPr>
          <w:rFonts w:hint="eastAsia"/>
          <w:b/>
        </w:rPr>
        <w:t>打印</w:t>
      </w:r>
    </w:p>
    <w:p w14:paraId="7AE5EC3F" w14:textId="77777777" w:rsidR="006D6DEA" w:rsidRDefault="00772A90">
      <w:pPr>
        <w:widowControl/>
        <w:ind w:firstLine="420"/>
      </w:pPr>
      <w:r>
        <w:rPr>
          <w:rFonts w:hint="eastAsia"/>
        </w:rPr>
        <w:t>聚合物光纤</w:t>
      </w:r>
      <w:r>
        <w:t>制造方式会从拉制、浇注扩展到</w:t>
      </w:r>
      <w:r>
        <w:t xml:space="preserve"> 3D </w:t>
      </w:r>
      <w:r>
        <w:t>打印</w:t>
      </w:r>
      <w:r>
        <w:t xml:space="preserve"> POF </w:t>
      </w:r>
      <w:r>
        <w:t>与直接成形波导。个体化贴片、微创导管和组织贴合植入器件常需要非标准截面、梯度模量和局部功能区，传统拉制工艺难以完全覆盖。</w:t>
      </w:r>
      <w:r>
        <w:t xml:space="preserve">3D </w:t>
      </w:r>
      <w:r>
        <w:t>打印便于形成软波导、支架化光路和定制外形，但光学级透明度、界面粗糙度、芯包层同轴性和长期湿态稳定性仍弱于成熟拉制工艺。该方向不能只展示</w:t>
      </w:r>
      <w:r>
        <w:t>“</w:t>
      </w:r>
      <w:r>
        <w:t>可导光形状</w:t>
      </w:r>
      <w:r>
        <w:t>”</w:t>
      </w:r>
      <w:r>
        <w:t>，还要证明低损耗导光、敏感层控制和制造质量可重复。</w:t>
      </w:r>
    </w:p>
    <w:p w14:paraId="61A52897" w14:textId="34790196" w:rsidR="006D6DEA" w:rsidRDefault="00772A90">
      <w:pPr>
        <w:widowControl/>
        <w:rPr>
          <w:b/>
        </w:rPr>
      </w:pPr>
      <w:r>
        <w:rPr>
          <w:rFonts w:hint="eastAsia"/>
          <w:b/>
        </w:rPr>
        <w:t xml:space="preserve">4.3 </w:t>
      </w:r>
      <w:r>
        <w:rPr>
          <w:rFonts w:hint="eastAsia"/>
          <w:b/>
        </w:rPr>
        <w:t>系统集成</w:t>
      </w:r>
      <w:r w:rsidR="007B31D8">
        <w:rPr>
          <w:rFonts w:hint="eastAsia"/>
          <w:b/>
        </w:rPr>
        <w:t>方面</w:t>
      </w:r>
      <w:r>
        <w:rPr>
          <w:rFonts w:hint="eastAsia"/>
          <w:b/>
        </w:rPr>
        <w:t>：多材料、多模态与可降解设计</w:t>
      </w:r>
    </w:p>
    <w:p w14:paraId="181324DD" w14:textId="5FB698A5" w:rsidR="006D6DEA" w:rsidRDefault="00772A90">
      <w:pPr>
        <w:widowControl/>
        <w:ind w:firstLine="420"/>
        <w:rPr>
          <w:rFonts w:ascii="Segoe UI" w:hAnsi="Segoe UI" w:cs="Segoe UI"/>
          <w:color w:val="0F1115"/>
          <w:shd w:val="clear" w:color="auto" w:fill="FFFFFF"/>
        </w:rPr>
      </w:pPr>
      <w:r>
        <w:rPr>
          <w:rFonts w:ascii="Segoe UI" w:hAnsi="Segoe UI" w:cs="Segoe UI"/>
          <w:color w:val="0F1115"/>
          <w:shd w:val="clear" w:color="auto" w:fill="FFFFFF"/>
        </w:rPr>
        <w:t>多材料集成的价值在于分担单一材料难以同时满足的多重要求。</w:t>
      </w:r>
      <w:r>
        <w:t>低损耗、低模量、高选择性、可灭菌和可降解通常难以由一种聚合物同时实现，</w:t>
      </w:r>
      <w:r>
        <w:rPr>
          <w:rFonts w:hint="eastAsia"/>
        </w:rPr>
        <w:t>因</w:t>
      </w:r>
      <w:r>
        <w:t>此器件设计</w:t>
      </w:r>
      <w:r>
        <w:rPr>
          <w:rFonts w:hint="eastAsia"/>
        </w:rPr>
        <w:t>逐渐</w:t>
      </w:r>
      <w:r>
        <w:t>采用导光主体、柔性缓冲层、功能化敏感区、电</w:t>
      </w:r>
      <w:r>
        <w:t>/</w:t>
      </w:r>
      <w:r>
        <w:t>微流控通道和生物界面</w:t>
      </w:r>
      <w:r>
        <w:rPr>
          <w:rFonts w:hint="eastAsia"/>
        </w:rPr>
        <w:t>层</w:t>
      </w:r>
      <w:r>
        <w:t>的组合</w:t>
      </w:r>
      <w:r>
        <w:rPr>
          <w:rFonts w:hint="eastAsia"/>
        </w:rPr>
        <w:t>方案</w:t>
      </w:r>
      <w:r>
        <w:t>。多功能</w:t>
      </w:r>
      <w:r w:rsidR="00C75B3D">
        <w:rPr>
          <w:rFonts w:hint="eastAsia"/>
        </w:rPr>
        <w:t>光</w:t>
      </w:r>
      <w:r>
        <w:t>纤和柔性聚合物纤维已展示</w:t>
      </w:r>
      <w:r w:rsidR="00C75B3D">
        <w:rPr>
          <w:rFonts w:hint="eastAsia"/>
        </w:rPr>
        <w:t>了</w:t>
      </w:r>
      <w:r>
        <w:t>光、电、化学接口并置的可能</w:t>
      </w:r>
      <w:r>
        <w:rPr>
          <w:rFonts w:hint="eastAsia"/>
        </w:rPr>
        <w:t>性</w:t>
      </w:r>
      <w:r>
        <w:rPr>
          <w:vertAlign w:val="superscript"/>
        </w:rPr>
        <w:t>[7,29]</w:t>
      </w:r>
      <w:r>
        <w:t>。</w:t>
      </w:r>
      <w:r>
        <w:rPr>
          <w:rFonts w:ascii="Segoe UI" w:hAnsi="Segoe UI" w:cs="Segoe UI"/>
          <w:color w:val="0F1115"/>
          <w:shd w:val="clear" w:color="auto" w:fill="FFFFFF"/>
        </w:rPr>
        <w:t>然而，热加工窗口的匹配、界面粘附的长期可靠性、机械疲劳行为和通道间串扰仍是主要瓶颈。多材料集成的评价重点应放在各通道信息是否可辨识、可校准和可独立验证，而非仅关注集成的通道数量。</w:t>
      </w:r>
    </w:p>
    <w:p w14:paraId="3179FD5D" w14:textId="050B4BFB" w:rsidR="006D6DEA" w:rsidRDefault="00772A90">
      <w:pPr>
        <w:widowControl/>
        <w:ind w:firstLine="420"/>
      </w:pPr>
      <w:r>
        <w:t>可降解医学器件需要从概念验证转向使用时间设计。短期植入、术后监测和深部光递送希望减少二次取出</w:t>
      </w:r>
      <w:r w:rsidR="00C75B3D">
        <w:rPr>
          <w:rFonts w:hint="eastAsia"/>
        </w:rPr>
        <w:t>的</w:t>
      </w:r>
      <w:r>
        <w:t>风险，可吸收波导和可吸收光学传感系统已证明此类器件能够承担体内光递送和短期</w:t>
      </w:r>
      <w:r w:rsidR="00C75B3D">
        <w:rPr>
          <w:rFonts w:hint="eastAsia"/>
        </w:rPr>
        <w:t>获取信息的</w:t>
      </w:r>
      <w:r>
        <w:t>任务</w:t>
      </w:r>
      <w:r>
        <w:rPr>
          <w:vertAlign w:val="superscript"/>
        </w:rPr>
        <w:t>[27,30]</w:t>
      </w:r>
      <w:r>
        <w:t>。问题并不是降解越快越好，而是降解速率、光通量衰减、力学保持和组织反应能否匹配。标定方法、残留评价和安全边界应覆盖器件吸收全过程。</w:t>
      </w:r>
    </w:p>
    <w:p w14:paraId="2FF9B2C6" w14:textId="77777777" w:rsidR="006D6DEA" w:rsidRDefault="00772A90">
      <w:pPr>
        <w:widowControl/>
        <w:ind w:firstLine="420"/>
      </w:pPr>
      <w:r>
        <w:t>多模态传感仍会扩展，但通道数量不是主要指标。系统是否有价值，取决于不同通道对目标量和干扰量是否互补。</w:t>
      </w:r>
      <w:r>
        <w:t xml:space="preserve">POF-FBG </w:t>
      </w:r>
      <w:r>
        <w:t>阵列可提供空间分布信息</w:t>
      </w:r>
      <w:r>
        <w:rPr>
          <w:vertAlign w:val="superscript"/>
        </w:rPr>
        <w:t>[22]</w:t>
      </w:r>
      <w:r>
        <w:t>，多功能纤维可并置光、电和化学探测</w:t>
      </w:r>
      <w:r>
        <w:rPr>
          <w:vertAlign w:val="superscript"/>
        </w:rPr>
        <w:t>[7]</w:t>
      </w:r>
      <w:r>
        <w:t>，为呼吸、压力、温湿度、生化标志物和神经活动联合监测提供基础。多通道也可能共享同一机械扰动或界面污染，从而产生共同伪影。</w:t>
      </w:r>
      <w:r>
        <w:rPr>
          <w:rFonts w:ascii="Segoe UI" w:hAnsi="Segoe UI" w:cs="Segoe UI"/>
          <w:color w:val="0F1115"/>
          <w:shd w:val="clear" w:color="auto" w:fill="FFFFFF"/>
        </w:rPr>
        <w:t>多模态融合需要明确哪些通道用于目标识别、哪些用于干扰校正、哪些用于失效报警，而非简单叠加传感通道数量</w:t>
      </w:r>
      <w:r>
        <w:t>。</w:t>
      </w:r>
    </w:p>
    <w:p w14:paraId="194C358A" w14:textId="425C39F1" w:rsidR="006D6DEA" w:rsidRDefault="00772A90">
      <w:pPr>
        <w:widowControl/>
        <w:rPr>
          <w:b/>
        </w:rPr>
      </w:pPr>
      <w:r>
        <w:rPr>
          <w:rFonts w:hint="eastAsia"/>
          <w:b/>
        </w:rPr>
        <w:t>4.</w:t>
      </w:r>
      <w:r w:rsidR="00D54AD6">
        <w:rPr>
          <w:rFonts w:hint="eastAsia"/>
          <w:b/>
        </w:rPr>
        <w:t>4</w:t>
      </w:r>
      <w:r>
        <w:rPr>
          <w:rFonts w:hint="eastAsia"/>
          <w:b/>
        </w:rPr>
        <w:t xml:space="preserve"> </w:t>
      </w:r>
      <w:r>
        <w:rPr>
          <w:rFonts w:hint="eastAsia"/>
          <w:b/>
        </w:rPr>
        <w:t>临床转化</w:t>
      </w:r>
      <w:r w:rsidR="007B31D8">
        <w:rPr>
          <w:rFonts w:hint="eastAsia"/>
          <w:b/>
        </w:rPr>
        <w:t>方面</w:t>
      </w:r>
      <w:r>
        <w:rPr>
          <w:rFonts w:hint="eastAsia"/>
          <w:b/>
        </w:rPr>
        <w:t>：从实验室到医学工作流</w:t>
      </w:r>
      <w:r w:rsidR="00C75B3D">
        <w:rPr>
          <w:rFonts w:hint="eastAsia"/>
          <w:b/>
        </w:rPr>
        <w:t>程</w:t>
      </w:r>
    </w:p>
    <w:p w14:paraId="1BAEC048" w14:textId="6742BC66" w:rsidR="006D6DEA" w:rsidRDefault="00772A90">
      <w:pPr>
        <w:widowControl/>
        <w:ind w:firstLine="420"/>
      </w:pPr>
      <w:r>
        <w:t>临床转化最终取决于器件能否进入医学工作流</w:t>
      </w:r>
      <w:r w:rsidR="00C75B3D">
        <w:rPr>
          <w:rFonts w:hint="eastAsia"/>
        </w:rPr>
        <w:t>程</w:t>
      </w:r>
      <w:r>
        <w:t>。柔软、低成本、可功能化和可嵌入有利于可穿戴和短期植入，但临床使用还要考虑灭菌、批间一致性、舒适性、长期佩戴、数据解释责任和设备兼容性。许多研究</w:t>
      </w:r>
      <w:r>
        <w:rPr>
          <w:rFonts w:hint="eastAsia"/>
        </w:rPr>
        <w:t>目前</w:t>
      </w:r>
      <w:r>
        <w:t>仍停留在实验室样品、模型液或动物原型阶段。与金标准设备同步对照、界定适应证和禁忌证、处理个体差异，是把光谱或电压变化转化为医学信息的必要步骤。</w:t>
      </w:r>
    </w:p>
    <w:p w14:paraId="1A135922" w14:textId="06427378" w:rsidR="006D6DEA" w:rsidRDefault="00772A90">
      <w:pPr>
        <w:widowControl/>
        <w:ind w:firstLine="420"/>
      </w:pPr>
      <w:r>
        <w:t>标准化评价体系是</w:t>
      </w:r>
      <w:r>
        <w:rPr>
          <w:rFonts w:hint="eastAsia"/>
        </w:rPr>
        <w:t>该</w:t>
      </w:r>
      <w:r>
        <w:t>领域走向成熟的基础。</w:t>
      </w:r>
      <w:r>
        <w:rPr>
          <w:rFonts w:hint="eastAsia"/>
        </w:rPr>
        <w:t>若缺乏</w:t>
      </w:r>
      <w:r>
        <w:t>统一</w:t>
      </w:r>
      <w:r>
        <w:rPr>
          <w:rFonts w:hint="eastAsia"/>
        </w:rPr>
        <w:t>的</w:t>
      </w:r>
      <w:r>
        <w:t>测试条件，</w:t>
      </w:r>
      <w:r>
        <w:rPr>
          <w:rFonts w:hint="eastAsia"/>
        </w:rPr>
        <w:t>则</w:t>
      </w:r>
      <w:r>
        <w:t>损耗、灵敏度、模量、吸水率、</w:t>
      </w:r>
      <w:r>
        <w:rPr>
          <w:rFonts w:hint="eastAsia"/>
        </w:rPr>
        <w:t>不稳定性</w:t>
      </w:r>
      <w:r>
        <w:t>和降解时间</w:t>
      </w:r>
      <w:r>
        <w:rPr>
          <w:rFonts w:ascii="Segoe UI" w:hAnsi="Segoe UI" w:cs="Segoe UI"/>
          <w:color w:val="0F1115"/>
          <w:shd w:val="clear" w:color="auto" w:fill="FFFFFF"/>
        </w:rPr>
        <w:t>就难以在不同研究之间进行有意义的比较。</w:t>
      </w:r>
      <w:r>
        <w:rPr>
          <w:rFonts w:hint="eastAsia"/>
        </w:rPr>
        <w:t>因此，</w:t>
      </w:r>
      <w:r>
        <w:t>评价</w:t>
      </w:r>
      <w:r>
        <w:rPr>
          <w:rFonts w:hint="eastAsia"/>
        </w:rPr>
        <w:t>指标应涵盖：</w:t>
      </w:r>
      <w:r>
        <w:t>干态和湿态标定、循环加载、真实体液或组织相关干扰、长期漂移、失效分析、灭菌影响和生物安全指标。对聚合物医用光纤而言，单一性能数值的说服力有限，可复现、可审查、可转化的验证链更重要。</w:t>
      </w:r>
    </w:p>
    <w:p w14:paraId="734F320F" w14:textId="77777777" w:rsidR="006D6DEA" w:rsidRDefault="006D6DEA">
      <w:pPr>
        <w:widowControl/>
        <w:ind w:firstLine="420"/>
      </w:pPr>
    </w:p>
    <w:p w14:paraId="404058F1" w14:textId="6F8BDB5D" w:rsidR="006D6DEA" w:rsidRDefault="00772A90">
      <w:pPr>
        <w:keepNext/>
        <w:keepLines/>
        <w:widowControl/>
        <w:spacing w:before="120" w:after="60"/>
        <w:jc w:val="left"/>
        <w:rPr>
          <w:sz w:val="24"/>
        </w:rPr>
      </w:pPr>
      <w:r>
        <w:rPr>
          <w:rFonts w:eastAsia="黑体"/>
          <w:b/>
          <w:sz w:val="24"/>
          <w:szCs w:val="24"/>
        </w:rPr>
        <w:t xml:space="preserve">5 </w:t>
      </w:r>
      <w:r>
        <w:rPr>
          <w:rFonts w:eastAsia="黑体" w:hint="eastAsia"/>
          <w:b/>
          <w:sz w:val="24"/>
          <w:szCs w:val="24"/>
        </w:rPr>
        <w:t>结语</w:t>
      </w:r>
    </w:p>
    <w:p w14:paraId="7FA0FA2D" w14:textId="2C5250D6" w:rsidR="006D6DEA" w:rsidRDefault="00772A90">
      <w:pPr>
        <w:widowControl/>
        <w:ind w:firstLine="420"/>
        <w:rPr>
          <w:rFonts w:ascii="Segoe UI" w:hAnsi="Segoe UI" w:cs="Segoe UI"/>
          <w:color w:val="0F1115"/>
          <w:shd w:val="clear" w:color="auto" w:fill="FFFFFF"/>
        </w:rPr>
      </w:pPr>
      <w:r>
        <w:rPr>
          <w:rFonts w:ascii="Segoe UI" w:hAnsi="Segoe UI" w:cs="Segoe UI"/>
          <w:color w:val="0F1115"/>
          <w:shd w:val="clear" w:color="auto" w:fill="FFFFFF"/>
        </w:rPr>
        <w:t>聚合物医用光纤并非将现有光纤</w:t>
      </w:r>
      <w:r>
        <w:rPr>
          <w:rFonts w:ascii="Segoe UI" w:hAnsi="Segoe UI" w:cs="Segoe UI"/>
          <w:color w:val="0F1115"/>
          <w:shd w:val="clear" w:color="auto" w:fill="FFFFFF"/>
        </w:rPr>
        <w:t>“</w:t>
      </w:r>
      <w:r>
        <w:rPr>
          <w:rFonts w:ascii="Segoe UI" w:hAnsi="Segoe UI" w:cs="Segoe UI"/>
          <w:color w:val="0F1115"/>
          <w:shd w:val="clear" w:color="auto" w:fill="FFFFFF"/>
        </w:rPr>
        <w:t>做软</w:t>
      </w:r>
      <w:r>
        <w:rPr>
          <w:rFonts w:ascii="Segoe UI" w:hAnsi="Segoe UI" w:cs="Segoe UI"/>
          <w:color w:val="0F1115"/>
          <w:shd w:val="clear" w:color="auto" w:fill="FFFFFF"/>
        </w:rPr>
        <w:t>”</w:t>
      </w:r>
      <w:r>
        <w:rPr>
          <w:rFonts w:ascii="Segoe UI" w:hAnsi="Segoe UI" w:cs="Segoe UI"/>
          <w:color w:val="0F1115"/>
          <w:shd w:val="clear" w:color="auto" w:fill="FFFFFF"/>
        </w:rPr>
        <w:t>那么简单。它需要在电磁噪声、空间受限和组织状态持续变化的生物环境中，提供可放置、可校准、可消融的光学接口。该领域真正的困难</w:t>
      </w:r>
      <w:r>
        <w:rPr>
          <w:rFonts w:ascii="Segoe UI" w:hAnsi="Segoe UI" w:cs="Segoe UI"/>
          <w:color w:val="0F1115"/>
          <w:shd w:val="clear" w:color="auto" w:fill="FFFFFF"/>
        </w:rPr>
        <w:lastRenderedPageBreak/>
        <w:t>在于：如何把吸水、黏弹、污染、降解和组织反应等时变因素纳入信号模型，使其成为读数适用范围的可描述部分，而非无法解释的不确定性来源。本文从材料体系、波导结构、信号机制和医学验证四个</w:t>
      </w:r>
      <w:r w:rsidR="00C75B3D">
        <w:rPr>
          <w:rFonts w:ascii="Segoe UI" w:hAnsi="Segoe UI" w:cs="Segoe UI" w:hint="eastAsia"/>
          <w:color w:val="0F1115"/>
          <w:shd w:val="clear" w:color="auto" w:fill="FFFFFF"/>
        </w:rPr>
        <w:t>方</w:t>
      </w:r>
      <w:r>
        <w:rPr>
          <w:rFonts w:ascii="Segoe UI" w:hAnsi="Segoe UI" w:cs="Segoe UI"/>
          <w:color w:val="0F1115"/>
          <w:shd w:val="clear" w:color="auto" w:fill="FFFFFF"/>
        </w:rPr>
        <w:t>面</w:t>
      </w:r>
      <w:r w:rsidR="00C75B3D">
        <w:rPr>
          <w:rFonts w:ascii="Segoe UI" w:hAnsi="Segoe UI" w:cs="Segoe UI" w:hint="eastAsia"/>
          <w:color w:val="0F1115"/>
          <w:shd w:val="clear" w:color="auto" w:fill="FFFFFF"/>
        </w:rPr>
        <w:t>进行了讨论</w:t>
      </w:r>
      <w:r>
        <w:rPr>
          <w:rFonts w:ascii="Segoe UI" w:hAnsi="Segoe UI" w:cs="Segoe UI"/>
          <w:color w:val="0F1115"/>
          <w:shd w:val="clear" w:color="auto" w:fill="FFFFFF"/>
        </w:rPr>
        <w:t>，旨在厘清制约聚合物光纤临床转化的关键问题及其验证路径。材料选择需在损耗、模量、吸水率、降解速率和生物相容性之间进行面向应用场景的权衡，而非追求单项性能最优；物理传感、生化检测和植入式器件三类技术路线的成熟度和验证要求各不相同，宜以场景为导向确定评价重心；柔性导光不确定性、湿态干扰、多参量交叉敏感及界面失效是当前制约临床适用的共性瓶颈，其解决有赖于从器件参数表转向场景导向的验证框架。</w:t>
      </w:r>
    </w:p>
    <w:p w14:paraId="5DAA8E60" w14:textId="6573D182" w:rsidR="006D6DEA" w:rsidRDefault="00772A90">
      <w:pPr>
        <w:widowControl/>
        <w:ind w:firstLine="420"/>
        <w:rPr>
          <w:rFonts w:ascii="Segoe UI" w:hAnsi="Segoe UI" w:cs="Segoe UI"/>
          <w:color w:val="0F1115"/>
          <w:shd w:val="clear" w:color="auto" w:fill="FFFFFF"/>
        </w:rPr>
      </w:pPr>
      <w:r>
        <w:t>未来十年，</w:t>
      </w:r>
      <w:r>
        <w:rPr>
          <w:rFonts w:ascii="Segoe UI" w:hAnsi="Segoe UI" w:cs="Segoe UI"/>
          <w:color w:val="0F1115"/>
          <w:shd w:val="clear" w:color="auto" w:fill="FFFFFF"/>
        </w:rPr>
        <w:t>数据驱动的方法有望为复杂信号的处理提供新工具，制造技术的多元化和多材料集成将进一步拓展器件的功能边界，而标准化评价体系的建立则是</w:t>
      </w:r>
      <w:r w:rsidR="00C75B3D">
        <w:rPr>
          <w:rFonts w:ascii="Segoe UI" w:hAnsi="Segoe UI" w:cs="Segoe UI" w:hint="eastAsia"/>
          <w:color w:val="0F1115"/>
          <w:shd w:val="clear" w:color="auto" w:fill="FFFFFF"/>
        </w:rPr>
        <w:t>该</w:t>
      </w:r>
      <w:r>
        <w:rPr>
          <w:rFonts w:ascii="Segoe UI" w:hAnsi="Segoe UI" w:cs="Segoe UI"/>
          <w:color w:val="0F1115"/>
          <w:shd w:val="clear" w:color="auto" w:fill="FFFFFF"/>
        </w:rPr>
        <w:t>领域走向成熟的基础。</w:t>
      </w:r>
      <w:r w:rsidR="00C75B3D">
        <w:rPr>
          <w:rFonts w:ascii="Segoe UI" w:hAnsi="Segoe UI" w:cs="Segoe UI" w:hint="eastAsia"/>
          <w:color w:val="0F1115"/>
          <w:shd w:val="clear" w:color="auto" w:fill="FFFFFF"/>
        </w:rPr>
        <w:t>在</w:t>
      </w:r>
      <w:r>
        <w:rPr>
          <w:rFonts w:ascii="Segoe UI" w:hAnsi="Segoe UI" w:cs="Segoe UI"/>
          <w:color w:val="0F1115"/>
          <w:shd w:val="clear" w:color="auto" w:fill="FFFFFF"/>
        </w:rPr>
        <w:t>技术</w:t>
      </w:r>
      <w:r w:rsidR="00C75B3D">
        <w:rPr>
          <w:rFonts w:ascii="Segoe UI" w:hAnsi="Segoe UI" w:cs="Segoe UI" w:hint="eastAsia"/>
          <w:color w:val="0F1115"/>
          <w:shd w:val="clear" w:color="auto" w:fill="FFFFFF"/>
        </w:rPr>
        <w:t>不断</w:t>
      </w:r>
      <w:r>
        <w:rPr>
          <w:rFonts w:ascii="Segoe UI" w:hAnsi="Segoe UI" w:cs="Segoe UI"/>
          <w:color w:val="0F1115"/>
          <w:shd w:val="clear" w:color="auto" w:fill="FFFFFF"/>
        </w:rPr>
        <w:t>演进</w:t>
      </w:r>
      <w:r w:rsidR="00C75B3D">
        <w:rPr>
          <w:rFonts w:ascii="Segoe UI" w:hAnsi="Segoe UI" w:cs="Segoe UI" w:hint="eastAsia"/>
          <w:color w:val="0F1115"/>
          <w:shd w:val="clear" w:color="auto" w:fill="FFFFFF"/>
        </w:rPr>
        <w:t>的过程中</w:t>
      </w:r>
      <w:r>
        <w:rPr>
          <w:rFonts w:ascii="Segoe UI" w:hAnsi="Segoe UI" w:cs="Segoe UI"/>
          <w:color w:val="0F1115"/>
          <w:shd w:val="clear" w:color="auto" w:fill="FFFFFF"/>
        </w:rPr>
        <w:t>，多材料集成和可降解器件所决定的使用时间，智能解耦与数字孪生所服务的复杂</w:t>
      </w:r>
      <w:r w:rsidR="00C75B3D">
        <w:rPr>
          <w:rFonts w:ascii="Segoe UI" w:hAnsi="Segoe UI" w:cs="Segoe UI" w:hint="eastAsia"/>
          <w:color w:val="0F1115"/>
          <w:shd w:val="clear" w:color="auto" w:fill="FFFFFF"/>
        </w:rPr>
        <w:t>信号获取</w:t>
      </w:r>
      <w:r>
        <w:rPr>
          <w:rFonts w:ascii="Segoe UI" w:hAnsi="Segoe UI" w:cs="Segoe UI"/>
          <w:color w:val="0F1115"/>
          <w:shd w:val="clear" w:color="auto" w:fill="FFFFFF"/>
        </w:rPr>
        <w:t>，标准化评价和临床对照所支撑的转化路径</w:t>
      </w:r>
      <w:r>
        <w:rPr>
          <w:rFonts w:ascii="Segoe UI" w:hAnsi="Segoe UI" w:cs="Segoe UI"/>
          <w:color w:val="0F1115"/>
          <w:shd w:val="clear" w:color="auto" w:fill="FFFFFF"/>
        </w:rPr>
        <w:t>——</w:t>
      </w:r>
      <w:r>
        <w:rPr>
          <w:rFonts w:ascii="Segoe UI" w:hAnsi="Segoe UI" w:cs="Segoe UI"/>
          <w:color w:val="0F1115"/>
          <w:shd w:val="clear" w:color="auto" w:fill="FFFFFF"/>
        </w:rPr>
        <w:t>所有这些</w:t>
      </w:r>
      <w:r w:rsidR="00C75B3D">
        <w:rPr>
          <w:rFonts w:ascii="Segoe UI" w:hAnsi="Segoe UI" w:cs="Segoe UI" w:hint="eastAsia"/>
          <w:color w:val="0F1115"/>
          <w:shd w:val="clear" w:color="auto" w:fill="FFFFFF"/>
        </w:rPr>
        <w:t>都表明</w:t>
      </w:r>
      <w:r>
        <w:rPr>
          <w:rFonts w:ascii="Segoe UI" w:hAnsi="Segoe UI" w:cs="Segoe UI"/>
          <w:color w:val="0F1115"/>
          <w:shd w:val="clear" w:color="auto" w:fill="FFFFFF"/>
        </w:rPr>
        <w:t>：聚合物医用光纤正从柔性传感的多样性探索，逐步发展为精准医学中具有系统级意义的光学接口。</w:t>
      </w:r>
    </w:p>
    <w:p w14:paraId="7324E6CB" w14:textId="77777777" w:rsidR="006D6DEA" w:rsidRDefault="006D6DEA">
      <w:pPr>
        <w:widowControl/>
        <w:ind w:firstLine="420"/>
      </w:pPr>
    </w:p>
    <w:p w14:paraId="69B6E57E" w14:textId="77777777" w:rsidR="006D6DEA" w:rsidRDefault="00772A90">
      <w:pPr>
        <w:keepNext/>
        <w:widowControl/>
        <w:spacing w:before="120" w:after="60"/>
        <w:jc w:val="left"/>
        <w:rPr>
          <w:sz w:val="24"/>
        </w:rPr>
      </w:pPr>
      <w:r>
        <w:rPr>
          <w:rFonts w:eastAsia="黑体"/>
          <w:b/>
          <w:sz w:val="24"/>
          <w:szCs w:val="24"/>
        </w:rPr>
        <w:t>参考文献</w:t>
      </w:r>
    </w:p>
    <w:p w14:paraId="288EF468" w14:textId="77777777" w:rsidR="006D6DEA" w:rsidRDefault="00772A90">
      <w:pPr>
        <w:widowControl/>
        <w:spacing w:line="204" w:lineRule="auto"/>
        <w:ind w:left="420" w:hanging="420"/>
        <w:rPr>
          <w:sz w:val="24"/>
          <w:szCs w:val="28"/>
        </w:rPr>
      </w:pPr>
      <w:r>
        <w:rPr>
          <w:sz w:val="18"/>
          <w:szCs w:val="21"/>
        </w:rPr>
        <w:t xml:space="preserve">[1] </w:t>
      </w:r>
      <w:r>
        <w:rPr>
          <w:sz w:val="18"/>
          <w:szCs w:val="21"/>
        </w:rPr>
        <w:t>苑婷婷，张晓彤，刘银，等</w:t>
      </w:r>
      <w:r>
        <w:rPr>
          <w:sz w:val="18"/>
          <w:szCs w:val="21"/>
        </w:rPr>
        <w:t xml:space="preserve">. </w:t>
      </w:r>
      <w:r>
        <w:rPr>
          <w:sz w:val="18"/>
          <w:szCs w:val="21"/>
        </w:rPr>
        <w:t>光纤传感技术发展的新趋势</w:t>
      </w:r>
      <w:r>
        <w:rPr>
          <w:sz w:val="18"/>
          <w:szCs w:val="21"/>
        </w:rPr>
        <w:t>——</w:t>
      </w:r>
      <w:r>
        <w:rPr>
          <w:sz w:val="18"/>
          <w:szCs w:val="21"/>
        </w:rPr>
        <w:t>生物医学领域的需求与应用（特邀）</w:t>
      </w:r>
      <w:r>
        <w:rPr>
          <w:sz w:val="18"/>
          <w:szCs w:val="21"/>
        </w:rPr>
        <w:t xml:space="preserve">[J]. </w:t>
      </w:r>
      <w:r>
        <w:rPr>
          <w:sz w:val="18"/>
          <w:szCs w:val="21"/>
        </w:rPr>
        <w:t>光学学报，</w:t>
      </w:r>
      <w:r>
        <w:rPr>
          <w:sz w:val="18"/>
          <w:szCs w:val="21"/>
        </w:rPr>
        <w:t>2025</w:t>
      </w:r>
      <w:r>
        <w:rPr>
          <w:sz w:val="18"/>
          <w:szCs w:val="21"/>
        </w:rPr>
        <w:t>，</w:t>
      </w:r>
      <w:r>
        <w:rPr>
          <w:sz w:val="18"/>
          <w:szCs w:val="21"/>
        </w:rPr>
        <w:t>45</w:t>
      </w:r>
      <w:r>
        <w:rPr>
          <w:sz w:val="18"/>
          <w:szCs w:val="21"/>
        </w:rPr>
        <w:t>（</w:t>
      </w:r>
      <w:r>
        <w:rPr>
          <w:sz w:val="18"/>
          <w:szCs w:val="21"/>
        </w:rPr>
        <w:t>9</w:t>
      </w:r>
      <w:r>
        <w:rPr>
          <w:sz w:val="18"/>
          <w:szCs w:val="21"/>
        </w:rPr>
        <w:t>）：</w:t>
      </w:r>
      <w:r>
        <w:rPr>
          <w:sz w:val="18"/>
          <w:szCs w:val="21"/>
        </w:rPr>
        <w:t>0900001.</w:t>
      </w:r>
    </w:p>
    <w:p w14:paraId="0F430743" w14:textId="77777777" w:rsidR="006D6DEA" w:rsidRDefault="00772A90">
      <w:pPr>
        <w:widowControl/>
        <w:spacing w:line="204" w:lineRule="auto"/>
        <w:ind w:left="420" w:hanging="420"/>
        <w:rPr>
          <w:sz w:val="24"/>
          <w:szCs w:val="28"/>
        </w:rPr>
      </w:pPr>
      <w:r>
        <w:rPr>
          <w:sz w:val="18"/>
          <w:szCs w:val="21"/>
        </w:rPr>
        <w:t>[2] Ochoa M, Algorri J F, Roldán-Varona P, Rodríguez-Cobo L, et al. Recent Advances in Biomedical Photonic Sensors: A Focus on Optical-Fibre-Based Sensing[J]. Sensors, 2021, 21</w:t>
      </w:r>
      <w:r>
        <w:rPr>
          <w:sz w:val="18"/>
          <w:szCs w:val="21"/>
        </w:rPr>
        <w:t>（</w:t>
      </w:r>
      <w:r>
        <w:rPr>
          <w:sz w:val="18"/>
          <w:szCs w:val="21"/>
        </w:rPr>
        <w:t>19</w:t>
      </w:r>
      <w:r>
        <w:rPr>
          <w:sz w:val="18"/>
          <w:szCs w:val="21"/>
        </w:rPr>
        <w:t>）</w:t>
      </w:r>
      <w:r>
        <w:rPr>
          <w:sz w:val="18"/>
          <w:szCs w:val="21"/>
        </w:rPr>
        <w:t>: 6469.</w:t>
      </w:r>
    </w:p>
    <w:p w14:paraId="197A41C6" w14:textId="77777777" w:rsidR="006D6DEA" w:rsidRDefault="00772A90">
      <w:pPr>
        <w:widowControl/>
        <w:spacing w:line="204" w:lineRule="auto"/>
        <w:ind w:left="420" w:hanging="420"/>
        <w:rPr>
          <w:sz w:val="24"/>
          <w:szCs w:val="28"/>
        </w:rPr>
      </w:pPr>
      <w:r>
        <w:rPr>
          <w:sz w:val="18"/>
          <w:szCs w:val="21"/>
        </w:rPr>
        <w:t>[3] Leal-Junior A G, Diaz C A, Avellar L M, et al. Polymer Optical Fiber Sensors in Healthcare Applications: A Comprehensive Review[J]. Sensors, 2019, 19</w:t>
      </w:r>
      <w:r>
        <w:rPr>
          <w:sz w:val="18"/>
          <w:szCs w:val="21"/>
        </w:rPr>
        <w:t>（</w:t>
      </w:r>
      <w:r>
        <w:rPr>
          <w:sz w:val="18"/>
          <w:szCs w:val="21"/>
        </w:rPr>
        <w:t>14</w:t>
      </w:r>
      <w:r>
        <w:rPr>
          <w:sz w:val="18"/>
          <w:szCs w:val="21"/>
        </w:rPr>
        <w:t>）</w:t>
      </w:r>
      <w:r>
        <w:rPr>
          <w:sz w:val="18"/>
          <w:szCs w:val="21"/>
        </w:rPr>
        <w:t>: 3156.</w:t>
      </w:r>
    </w:p>
    <w:p w14:paraId="023A17C2" w14:textId="77777777" w:rsidR="006D6DEA" w:rsidRDefault="00772A90">
      <w:pPr>
        <w:widowControl/>
        <w:spacing w:line="204" w:lineRule="auto"/>
        <w:ind w:left="420" w:hanging="420"/>
        <w:rPr>
          <w:sz w:val="24"/>
          <w:szCs w:val="28"/>
        </w:rPr>
      </w:pPr>
      <w:r>
        <w:rPr>
          <w:sz w:val="18"/>
          <w:szCs w:val="21"/>
        </w:rPr>
        <w:t>[4] Zubia J, Arrue J. Plastic Optical Fibers: An Introduction to Their Technological Processes and Applications[J]. Optical Fiber Technology, 2001, 7</w:t>
      </w:r>
      <w:r>
        <w:rPr>
          <w:sz w:val="18"/>
          <w:szCs w:val="21"/>
        </w:rPr>
        <w:t>（</w:t>
      </w:r>
      <w:r>
        <w:rPr>
          <w:sz w:val="18"/>
          <w:szCs w:val="21"/>
        </w:rPr>
        <w:t>2</w:t>
      </w:r>
      <w:r>
        <w:rPr>
          <w:sz w:val="18"/>
          <w:szCs w:val="21"/>
        </w:rPr>
        <w:t>）</w:t>
      </w:r>
      <w:r>
        <w:rPr>
          <w:sz w:val="18"/>
          <w:szCs w:val="21"/>
        </w:rPr>
        <w:t>: 101-140.</w:t>
      </w:r>
    </w:p>
    <w:p w14:paraId="09AE2441" w14:textId="77777777" w:rsidR="006D6DEA" w:rsidRDefault="00772A90">
      <w:pPr>
        <w:widowControl/>
        <w:spacing w:line="204" w:lineRule="auto"/>
        <w:ind w:left="420" w:hanging="420"/>
        <w:rPr>
          <w:sz w:val="24"/>
          <w:szCs w:val="28"/>
        </w:rPr>
      </w:pPr>
      <w:r>
        <w:rPr>
          <w:sz w:val="18"/>
          <w:szCs w:val="21"/>
        </w:rPr>
        <w:t>[5] Peters K. Polymer optical fiber sensors—a review[J]. Smart Materials and Structures, 2011, 20</w:t>
      </w:r>
      <w:r>
        <w:rPr>
          <w:sz w:val="18"/>
          <w:szCs w:val="21"/>
        </w:rPr>
        <w:t>（</w:t>
      </w:r>
      <w:r>
        <w:rPr>
          <w:sz w:val="18"/>
          <w:szCs w:val="21"/>
        </w:rPr>
        <w:t>1</w:t>
      </w:r>
      <w:r>
        <w:rPr>
          <w:sz w:val="18"/>
          <w:szCs w:val="21"/>
        </w:rPr>
        <w:t>）</w:t>
      </w:r>
      <w:r>
        <w:rPr>
          <w:sz w:val="18"/>
          <w:szCs w:val="21"/>
        </w:rPr>
        <w:t>: 013002.</w:t>
      </w:r>
    </w:p>
    <w:p w14:paraId="78B17C9F" w14:textId="77777777" w:rsidR="006D6DEA" w:rsidRDefault="00772A90">
      <w:pPr>
        <w:widowControl/>
        <w:spacing w:line="204" w:lineRule="auto"/>
        <w:ind w:left="420" w:hanging="420"/>
        <w:rPr>
          <w:sz w:val="24"/>
          <w:szCs w:val="28"/>
        </w:rPr>
      </w:pPr>
      <w:r>
        <w:rPr>
          <w:sz w:val="18"/>
          <w:szCs w:val="21"/>
        </w:rPr>
        <w:t>[6] GUO J, YANG C, DAI Q, KONG L. Soft and Stretchable Polymeric Optical Waveguide-Based Sensors for Wearable and Biomedical Applications[J]. Sensors, 2019, 19</w:t>
      </w:r>
      <w:r>
        <w:rPr>
          <w:sz w:val="18"/>
          <w:szCs w:val="21"/>
        </w:rPr>
        <w:t>（</w:t>
      </w:r>
      <w:r>
        <w:rPr>
          <w:sz w:val="18"/>
          <w:szCs w:val="21"/>
        </w:rPr>
        <w:t>17</w:t>
      </w:r>
      <w:r>
        <w:rPr>
          <w:sz w:val="18"/>
          <w:szCs w:val="21"/>
        </w:rPr>
        <w:t>）</w:t>
      </w:r>
      <w:r>
        <w:rPr>
          <w:sz w:val="18"/>
          <w:szCs w:val="21"/>
        </w:rPr>
        <w:t>: 3771.</w:t>
      </w:r>
    </w:p>
    <w:p w14:paraId="4C06DAA2" w14:textId="77777777" w:rsidR="006D6DEA" w:rsidRDefault="00772A90">
      <w:pPr>
        <w:widowControl/>
        <w:spacing w:line="204" w:lineRule="auto"/>
        <w:ind w:left="420" w:hanging="420"/>
        <w:rPr>
          <w:sz w:val="24"/>
          <w:szCs w:val="28"/>
        </w:rPr>
      </w:pPr>
      <w:r>
        <w:rPr>
          <w:sz w:val="18"/>
          <w:szCs w:val="21"/>
        </w:rPr>
        <w:t>[7] Canales A, Jia X, Froriep U P, et al. Multifunctional fibers for simultaneous optical, electrical and chemical interrogation of neural circuits in vivo[J]. Nature Biotechnology, 2015, 33</w:t>
      </w:r>
      <w:r>
        <w:rPr>
          <w:sz w:val="18"/>
          <w:szCs w:val="21"/>
        </w:rPr>
        <w:t>（</w:t>
      </w:r>
      <w:r>
        <w:rPr>
          <w:sz w:val="18"/>
          <w:szCs w:val="21"/>
        </w:rPr>
        <w:t>3</w:t>
      </w:r>
      <w:r>
        <w:rPr>
          <w:sz w:val="18"/>
          <w:szCs w:val="21"/>
        </w:rPr>
        <w:t>）</w:t>
      </w:r>
      <w:r>
        <w:rPr>
          <w:sz w:val="18"/>
          <w:szCs w:val="21"/>
        </w:rPr>
        <w:t>: 277-284.</w:t>
      </w:r>
    </w:p>
    <w:p w14:paraId="3DFE65B9" w14:textId="77777777" w:rsidR="006D6DEA" w:rsidRDefault="00772A90">
      <w:pPr>
        <w:widowControl/>
        <w:spacing w:line="204" w:lineRule="auto"/>
        <w:ind w:left="420" w:hanging="420"/>
        <w:rPr>
          <w:sz w:val="24"/>
          <w:szCs w:val="28"/>
        </w:rPr>
      </w:pPr>
      <w:r>
        <w:rPr>
          <w:sz w:val="18"/>
          <w:szCs w:val="21"/>
        </w:rPr>
        <w:t xml:space="preserve">[8] </w:t>
      </w:r>
      <w:r>
        <w:rPr>
          <w:sz w:val="18"/>
          <w:szCs w:val="21"/>
        </w:rPr>
        <w:t>杨佳蕾，周文琪，张泽琪，等</w:t>
      </w:r>
      <w:r>
        <w:rPr>
          <w:sz w:val="18"/>
          <w:szCs w:val="21"/>
        </w:rPr>
        <w:t xml:space="preserve">. </w:t>
      </w:r>
      <w:r>
        <w:rPr>
          <w:sz w:val="18"/>
          <w:szCs w:val="21"/>
        </w:rPr>
        <w:t>弹性聚合物光纤制备及传感应用研究进展</w:t>
      </w:r>
      <w:r>
        <w:rPr>
          <w:sz w:val="18"/>
          <w:szCs w:val="21"/>
        </w:rPr>
        <w:t xml:space="preserve">[J]. </w:t>
      </w:r>
      <w:r>
        <w:rPr>
          <w:sz w:val="18"/>
          <w:szCs w:val="21"/>
        </w:rPr>
        <w:t>科学通报，</w:t>
      </w:r>
      <w:r>
        <w:rPr>
          <w:sz w:val="18"/>
          <w:szCs w:val="21"/>
        </w:rPr>
        <w:t>2026</w:t>
      </w:r>
      <w:r>
        <w:rPr>
          <w:sz w:val="18"/>
          <w:szCs w:val="21"/>
        </w:rPr>
        <w:t>，</w:t>
      </w:r>
      <w:r>
        <w:rPr>
          <w:sz w:val="18"/>
          <w:szCs w:val="21"/>
        </w:rPr>
        <w:t>71</w:t>
      </w:r>
      <w:r>
        <w:rPr>
          <w:sz w:val="18"/>
          <w:szCs w:val="21"/>
        </w:rPr>
        <w:t>（</w:t>
      </w:r>
      <w:r>
        <w:rPr>
          <w:sz w:val="18"/>
          <w:szCs w:val="21"/>
        </w:rPr>
        <w:t>3</w:t>
      </w:r>
      <w:r>
        <w:rPr>
          <w:sz w:val="18"/>
          <w:szCs w:val="21"/>
        </w:rPr>
        <w:t>）：</w:t>
      </w:r>
      <w:r>
        <w:rPr>
          <w:sz w:val="18"/>
          <w:szCs w:val="21"/>
        </w:rPr>
        <w:t>799-815.</w:t>
      </w:r>
    </w:p>
    <w:p w14:paraId="6391411F" w14:textId="77777777" w:rsidR="006D6DEA" w:rsidRDefault="00772A90">
      <w:pPr>
        <w:widowControl/>
        <w:spacing w:line="204" w:lineRule="auto"/>
        <w:ind w:left="420" w:hanging="420"/>
        <w:rPr>
          <w:sz w:val="24"/>
          <w:szCs w:val="28"/>
        </w:rPr>
      </w:pPr>
      <w:r>
        <w:rPr>
          <w:sz w:val="18"/>
          <w:szCs w:val="21"/>
        </w:rPr>
        <w:t>[9] Bilro L, Alberto N, Pinto J L, et al. Optical Sensors Based on Plastic Fibers[J]. Sensors, 2012, 12</w:t>
      </w:r>
      <w:r>
        <w:rPr>
          <w:sz w:val="18"/>
          <w:szCs w:val="21"/>
        </w:rPr>
        <w:t>（</w:t>
      </w:r>
      <w:r>
        <w:rPr>
          <w:sz w:val="18"/>
          <w:szCs w:val="21"/>
        </w:rPr>
        <w:t>9</w:t>
      </w:r>
      <w:r>
        <w:rPr>
          <w:sz w:val="18"/>
          <w:szCs w:val="21"/>
        </w:rPr>
        <w:t>）</w:t>
      </w:r>
      <w:r>
        <w:rPr>
          <w:sz w:val="18"/>
          <w:szCs w:val="21"/>
        </w:rPr>
        <w:t>: 12184-12207.</w:t>
      </w:r>
    </w:p>
    <w:p w14:paraId="567C3713" w14:textId="77777777" w:rsidR="006D6DEA" w:rsidRDefault="00772A90">
      <w:pPr>
        <w:widowControl/>
        <w:spacing w:line="204" w:lineRule="auto"/>
        <w:ind w:left="420" w:hanging="420"/>
        <w:rPr>
          <w:sz w:val="24"/>
          <w:szCs w:val="28"/>
        </w:rPr>
      </w:pPr>
      <w:r>
        <w:rPr>
          <w:sz w:val="18"/>
          <w:szCs w:val="21"/>
        </w:rPr>
        <w:t>[10] Theodosiou A, Lacraz A, Stassis A, et al. Plane-by-Plane Femtosecond Laser Inscription Method for Single-Peak Bragg Gratings in Multimode CYTOP Polymer Optical Fiber[J]. Journal of Lightwave Technology, 2017, 35</w:t>
      </w:r>
      <w:r>
        <w:rPr>
          <w:sz w:val="18"/>
          <w:szCs w:val="21"/>
        </w:rPr>
        <w:t>（</w:t>
      </w:r>
      <w:r>
        <w:rPr>
          <w:sz w:val="18"/>
          <w:szCs w:val="21"/>
        </w:rPr>
        <w:t>24</w:t>
      </w:r>
      <w:r>
        <w:rPr>
          <w:sz w:val="18"/>
          <w:szCs w:val="21"/>
        </w:rPr>
        <w:t>）</w:t>
      </w:r>
      <w:r>
        <w:rPr>
          <w:sz w:val="18"/>
          <w:szCs w:val="21"/>
        </w:rPr>
        <w:t>: 5404-5410.</w:t>
      </w:r>
    </w:p>
    <w:p w14:paraId="7659B48F" w14:textId="77777777" w:rsidR="006D6DEA" w:rsidRDefault="00772A90">
      <w:pPr>
        <w:widowControl/>
        <w:spacing w:line="204" w:lineRule="auto"/>
        <w:ind w:left="420" w:hanging="420"/>
        <w:rPr>
          <w:sz w:val="24"/>
          <w:szCs w:val="28"/>
        </w:rPr>
      </w:pPr>
      <w:r>
        <w:rPr>
          <w:sz w:val="18"/>
          <w:szCs w:val="21"/>
        </w:rPr>
        <w:t>[11] Yuan W, Khan L, Webb D J, et al. Humidity insensitive TOPAS polymer fiber Bragg grating sensor[J]. Optics Express, 2011, 19</w:t>
      </w:r>
      <w:r>
        <w:rPr>
          <w:sz w:val="18"/>
          <w:szCs w:val="21"/>
        </w:rPr>
        <w:t>（</w:t>
      </w:r>
      <w:r>
        <w:rPr>
          <w:sz w:val="18"/>
          <w:szCs w:val="21"/>
        </w:rPr>
        <w:t>20</w:t>
      </w:r>
      <w:r>
        <w:rPr>
          <w:sz w:val="18"/>
          <w:szCs w:val="21"/>
        </w:rPr>
        <w:t>）</w:t>
      </w:r>
      <w:r>
        <w:rPr>
          <w:sz w:val="18"/>
          <w:szCs w:val="21"/>
        </w:rPr>
        <w:t>: 19731.</w:t>
      </w:r>
    </w:p>
    <w:p w14:paraId="6A70B7ED" w14:textId="77777777" w:rsidR="006D6DEA" w:rsidRDefault="00772A90">
      <w:pPr>
        <w:widowControl/>
        <w:spacing w:line="204" w:lineRule="auto"/>
        <w:ind w:left="420" w:hanging="420"/>
        <w:rPr>
          <w:sz w:val="24"/>
          <w:szCs w:val="28"/>
        </w:rPr>
      </w:pPr>
      <w:r>
        <w:rPr>
          <w:sz w:val="18"/>
          <w:szCs w:val="21"/>
        </w:rPr>
        <w:t>[12] Leber A, Cholst B, Sandt J, et al. Stretchable Thermoplastic Elastomer Optical Fibers for Sensing of Extreme Deformations[J]. Advanced Functional Materials, 2019, 29</w:t>
      </w:r>
      <w:r>
        <w:rPr>
          <w:sz w:val="18"/>
          <w:szCs w:val="21"/>
        </w:rPr>
        <w:t>（</w:t>
      </w:r>
      <w:r>
        <w:rPr>
          <w:sz w:val="18"/>
          <w:szCs w:val="21"/>
        </w:rPr>
        <w:t>5</w:t>
      </w:r>
      <w:r>
        <w:rPr>
          <w:sz w:val="18"/>
          <w:szCs w:val="21"/>
        </w:rPr>
        <w:t>）</w:t>
      </w:r>
      <w:r>
        <w:rPr>
          <w:sz w:val="18"/>
          <w:szCs w:val="21"/>
        </w:rPr>
        <w:t>: 1802629.</w:t>
      </w:r>
    </w:p>
    <w:p w14:paraId="014CE12F" w14:textId="77777777" w:rsidR="006D6DEA" w:rsidRDefault="00772A90">
      <w:pPr>
        <w:widowControl/>
        <w:spacing w:line="204" w:lineRule="auto"/>
        <w:ind w:left="420" w:hanging="420"/>
        <w:rPr>
          <w:sz w:val="24"/>
          <w:szCs w:val="28"/>
        </w:rPr>
      </w:pPr>
      <w:r>
        <w:rPr>
          <w:sz w:val="18"/>
          <w:szCs w:val="21"/>
        </w:rPr>
        <w:t>[13] Choi M, Humar M, Kim S, et al. Step‐Index Optical Fiber Made of Biocompatible Hydrogels[J]. Advanced Materials, 2015, 27</w:t>
      </w:r>
      <w:r>
        <w:rPr>
          <w:sz w:val="18"/>
          <w:szCs w:val="21"/>
        </w:rPr>
        <w:t>（</w:t>
      </w:r>
      <w:r>
        <w:rPr>
          <w:sz w:val="18"/>
          <w:szCs w:val="21"/>
        </w:rPr>
        <w:t>27</w:t>
      </w:r>
      <w:r>
        <w:rPr>
          <w:sz w:val="18"/>
          <w:szCs w:val="21"/>
        </w:rPr>
        <w:t>）</w:t>
      </w:r>
      <w:r>
        <w:rPr>
          <w:sz w:val="18"/>
          <w:szCs w:val="21"/>
        </w:rPr>
        <w:t>: 4081-4086.</w:t>
      </w:r>
    </w:p>
    <w:p w14:paraId="7D6772A1" w14:textId="77777777" w:rsidR="006D6DEA" w:rsidRDefault="00772A90">
      <w:pPr>
        <w:widowControl/>
        <w:spacing w:line="204" w:lineRule="auto"/>
        <w:ind w:left="420" w:hanging="420"/>
        <w:rPr>
          <w:sz w:val="24"/>
          <w:szCs w:val="28"/>
        </w:rPr>
      </w:pPr>
      <w:r>
        <w:rPr>
          <w:sz w:val="18"/>
          <w:szCs w:val="21"/>
        </w:rPr>
        <w:t>[14] Yetisen A K, Jiang N, Fallahi A, et al. Glucose‐Sensitive Hydrogel Optical Fibers Functionalized with Phenylboronic Acid[J]. Advanced Materials, 2017, 29</w:t>
      </w:r>
      <w:r>
        <w:rPr>
          <w:sz w:val="18"/>
          <w:szCs w:val="21"/>
        </w:rPr>
        <w:t>（</w:t>
      </w:r>
      <w:r>
        <w:rPr>
          <w:sz w:val="18"/>
          <w:szCs w:val="21"/>
        </w:rPr>
        <w:t>15</w:t>
      </w:r>
      <w:r>
        <w:rPr>
          <w:sz w:val="18"/>
          <w:szCs w:val="21"/>
        </w:rPr>
        <w:t>）</w:t>
      </w:r>
      <w:r>
        <w:rPr>
          <w:sz w:val="18"/>
          <w:szCs w:val="21"/>
        </w:rPr>
        <w:t>: 1606380.</w:t>
      </w:r>
    </w:p>
    <w:p w14:paraId="04A5914A" w14:textId="77777777" w:rsidR="006D6DEA" w:rsidRDefault="00772A90">
      <w:pPr>
        <w:widowControl/>
        <w:spacing w:line="204" w:lineRule="auto"/>
        <w:ind w:left="420" w:hanging="420"/>
        <w:rPr>
          <w:sz w:val="24"/>
          <w:szCs w:val="28"/>
        </w:rPr>
      </w:pPr>
      <w:r>
        <w:rPr>
          <w:sz w:val="18"/>
          <w:szCs w:val="21"/>
        </w:rPr>
        <w:lastRenderedPageBreak/>
        <w:t>[15] Wang Y, Huang Y, Bai H, et al. Biocompatible and Biodegradable Polymer Optical Fiber for Biomedical Application: A Review[J]. Biosensors, 2021, 11</w:t>
      </w:r>
      <w:r>
        <w:rPr>
          <w:sz w:val="18"/>
          <w:szCs w:val="21"/>
        </w:rPr>
        <w:t>（</w:t>
      </w:r>
      <w:r>
        <w:rPr>
          <w:sz w:val="18"/>
          <w:szCs w:val="21"/>
        </w:rPr>
        <w:t>12</w:t>
      </w:r>
      <w:r>
        <w:rPr>
          <w:sz w:val="18"/>
          <w:szCs w:val="21"/>
        </w:rPr>
        <w:t>）</w:t>
      </w:r>
      <w:r>
        <w:rPr>
          <w:sz w:val="18"/>
          <w:szCs w:val="21"/>
        </w:rPr>
        <w:t>: 472.</w:t>
      </w:r>
    </w:p>
    <w:p w14:paraId="5EC37A34" w14:textId="77777777" w:rsidR="006D6DEA" w:rsidRDefault="00772A90">
      <w:pPr>
        <w:widowControl/>
        <w:spacing w:line="204" w:lineRule="auto"/>
        <w:ind w:left="420" w:hanging="420"/>
        <w:rPr>
          <w:sz w:val="24"/>
          <w:szCs w:val="28"/>
        </w:rPr>
      </w:pPr>
      <w:r>
        <w:rPr>
          <w:sz w:val="18"/>
          <w:szCs w:val="21"/>
        </w:rPr>
        <w:t>[16] Gierej A, Geernaert T, Vlierberghe S V, et al. Challenges in the Fabrication of Biodegradable and Implantable Optical Fibers for Biomedical Applications[J]. Materials, 2021, 14</w:t>
      </w:r>
      <w:r>
        <w:rPr>
          <w:sz w:val="18"/>
          <w:szCs w:val="21"/>
        </w:rPr>
        <w:t>（</w:t>
      </w:r>
      <w:r>
        <w:rPr>
          <w:sz w:val="18"/>
          <w:szCs w:val="21"/>
        </w:rPr>
        <w:t>8</w:t>
      </w:r>
      <w:r>
        <w:rPr>
          <w:sz w:val="18"/>
          <w:szCs w:val="21"/>
        </w:rPr>
        <w:t>）</w:t>
      </w:r>
      <w:r>
        <w:rPr>
          <w:sz w:val="18"/>
          <w:szCs w:val="21"/>
        </w:rPr>
        <w:t>: 1972.</w:t>
      </w:r>
    </w:p>
    <w:p w14:paraId="0C34112F" w14:textId="77777777" w:rsidR="006D6DEA" w:rsidRDefault="00772A90">
      <w:pPr>
        <w:widowControl/>
        <w:spacing w:line="204" w:lineRule="auto"/>
        <w:ind w:left="420" w:hanging="420"/>
        <w:rPr>
          <w:sz w:val="24"/>
          <w:szCs w:val="28"/>
        </w:rPr>
      </w:pPr>
      <w:r>
        <w:rPr>
          <w:sz w:val="18"/>
          <w:szCs w:val="21"/>
        </w:rPr>
        <w:t>[17] Webb D J. Fibre Bragg grating sensors in polymer optical fibres[J]. Measurement Science and Technology, 2015, 26</w:t>
      </w:r>
      <w:r>
        <w:rPr>
          <w:sz w:val="18"/>
          <w:szCs w:val="21"/>
        </w:rPr>
        <w:t>（</w:t>
      </w:r>
      <w:r>
        <w:rPr>
          <w:sz w:val="18"/>
          <w:szCs w:val="21"/>
        </w:rPr>
        <w:t>9</w:t>
      </w:r>
      <w:r>
        <w:rPr>
          <w:sz w:val="18"/>
          <w:szCs w:val="21"/>
        </w:rPr>
        <w:t>）</w:t>
      </w:r>
      <w:r>
        <w:rPr>
          <w:sz w:val="18"/>
          <w:szCs w:val="21"/>
        </w:rPr>
        <w:t>: 092004.</w:t>
      </w:r>
    </w:p>
    <w:p w14:paraId="4483E7F4" w14:textId="77777777" w:rsidR="006D6DEA" w:rsidRDefault="00772A90">
      <w:pPr>
        <w:widowControl/>
        <w:spacing w:line="204" w:lineRule="auto"/>
        <w:ind w:left="420" w:hanging="420"/>
        <w:rPr>
          <w:sz w:val="24"/>
          <w:szCs w:val="28"/>
        </w:rPr>
      </w:pPr>
      <w:r>
        <w:rPr>
          <w:sz w:val="18"/>
          <w:szCs w:val="21"/>
        </w:rPr>
        <w:t>[18] Luo Y, Yan B, Zhang Q, Peng G, et al. Fabrication of Polymer Optical Fibre (POF) Gratings[J]. Sensors, 2017, 17</w:t>
      </w:r>
      <w:r>
        <w:rPr>
          <w:sz w:val="18"/>
          <w:szCs w:val="21"/>
        </w:rPr>
        <w:t>（</w:t>
      </w:r>
      <w:r>
        <w:rPr>
          <w:sz w:val="18"/>
          <w:szCs w:val="21"/>
        </w:rPr>
        <w:t>3</w:t>
      </w:r>
      <w:r>
        <w:rPr>
          <w:sz w:val="18"/>
          <w:szCs w:val="21"/>
        </w:rPr>
        <w:t>）</w:t>
      </w:r>
      <w:r>
        <w:rPr>
          <w:sz w:val="18"/>
          <w:szCs w:val="21"/>
        </w:rPr>
        <w:t>: 511.</w:t>
      </w:r>
    </w:p>
    <w:p w14:paraId="1366581B" w14:textId="77777777" w:rsidR="006D6DEA" w:rsidRDefault="00772A90">
      <w:pPr>
        <w:widowControl/>
        <w:spacing w:line="204" w:lineRule="auto"/>
        <w:ind w:left="420" w:hanging="420"/>
        <w:rPr>
          <w:sz w:val="24"/>
          <w:szCs w:val="28"/>
        </w:rPr>
      </w:pPr>
      <w:r>
        <w:rPr>
          <w:sz w:val="18"/>
          <w:szCs w:val="21"/>
        </w:rPr>
        <w:t>[19] Teng C, Min R, Zheng J, et al. Intensity-Modulated Polymer Optical Fiber-Based Refractive Index Sensor: A Review[J]. Sensors, 2021, 22</w:t>
      </w:r>
      <w:r>
        <w:rPr>
          <w:sz w:val="18"/>
          <w:szCs w:val="21"/>
        </w:rPr>
        <w:t>（</w:t>
      </w:r>
      <w:r>
        <w:rPr>
          <w:sz w:val="18"/>
          <w:szCs w:val="21"/>
        </w:rPr>
        <w:t>1</w:t>
      </w:r>
      <w:r>
        <w:rPr>
          <w:sz w:val="18"/>
          <w:szCs w:val="21"/>
        </w:rPr>
        <w:t>）</w:t>
      </w:r>
      <w:r>
        <w:rPr>
          <w:sz w:val="18"/>
          <w:szCs w:val="21"/>
        </w:rPr>
        <w:t>: 81.</w:t>
      </w:r>
    </w:p>
    <w:p w14:paraId="584EBCD4" w14:textId="77777777" w:rsidR="006D6DEA" w:rsidRDefault="00772A90">
      <w:pPr>
        <w:widowControl/>
        <w:spacing w:line="204" w:lineRule="auto"/>
        <w:ind w:left="420" w:hanging="420"/>
        <w:rPr>
          <w:sz w:val="24"/>
          <w:szCs w:val="28"/>
        </w:rPr>
      </w:pPr>
      <w:r>
        <w:rPr>
          <w:sz w:val="18"/>
          <w:szCs w:val="21"/>
        </w:rPr>
        <w:t>[20] Rivero P, Goicoechea J, Arregui F. Optical Fiber Sensors Based on Polymeric Sensitive Coatings[J]. Polymers, 2018, 10</w:t>
      </w:r>
      <w:r>
        <w:rPr>
          <w:sz w:val="18"/>
          <w:szCs w:val="21"/>
        </w:rPr>
        <w:t>（</w:t>
      </w:r>
      <w:r>
        <w:rPr>
          <w:sz w:val="18"/>
          <w:szCs w:val="21"/>
        </w:rPr>
        <w:t>3</w:t>
      </w:r>
      <w:r>
        <w:rPr>
          <w:sz w:val="18"/>
          <w:szCs w:val="21"/>
        </w:rPr>
        <w:t>）</w:t>
      </w:r>
      <w:r>
        <w:rPr>
          <w:sz w:val="18"/>
          <w:szCs w:val="21"/>
        </w:rPr>
        <w:t>: 280.</w:t>
      </w:r>
    </w:p>
    <w:p w14:paraId="5FAEF39F" w14:textId="77777777" w:rsidR="006D6DEA" w:rsidRDefault="00772A90">
      <w:pPr>
        <w:widowControl/>
        <w:spacing w:line="204" w:lineRule="auto"/>
        <w:ind w:left="420" w:hanging="420"/>
        <w:rPr>
          <w:sz w:val="24"/>
          <w:szCs w:val="28"/>
        </w:rPr>
      </w:pPr>
      <w:r>
        <w:rPr>
          <w:sz w:val="18"/>
          <w:szCs w:val="21"/>
        </w:rPr>
        <w:t>[21] Vilarinho D, Theodosiou A, Leitão C, et al. POFBG-Embedded Cork Insole for Plantar Pressure Monitoring[J]. Sensors, 2017, 17</w:t>
      </w:r>
      <w:r>
        <w:rPr>
          <w:sz w:val="18"/>
          <w:szCs w:val="21"/>
        </w:rPr>
        <w:t>（</w:t>
      </w:r>
      <w:r>
        <w:rPr>
          <w:sz w:val="18"/>
          <w:szCs w:val="21"/>
        </w:rPr>
        <w:t>12</w:t>
      </w:r>
      <w:r>
        <w:rPr>
          <w:sz w:val="18"/>
          <w:szCs w:val="21"/>
        </w:rPr>
        <w:t>）</w:t>
      </w:r>
      <w:r>
        <w:rPr>
          <w:sz w:val="18"/>
          <w:szCs w:val="21"/>
        </w:rPr>
        <w:t>: 2924.</w:t>
      </w:r>
    </w:p>
    <w:p w14:paraId="55C4F619" w14:textId="77777777" w:rsidR="006D6DEA" w:rsidRDefault="00772A90">
      <w:pPr>
        <w:widowControl/>
        <w:spacing w:line="204" w:lineRule="auto"/>
        <w:ind w:left="420" w:hanging="420"/>
        <w:rPr>
          <w:sz w:val="24"/>
          <w:szCs w:val="28"/>
        </w:rPr>
      </w:pPr>
      <w:r>
        <w:rPr>
          <w:sz w:val="18"/>
          <w:szCs w:val="21"/>
        </w:rPr>
        <w:t>[22] Min R, Ortega B, Marques C. Latest Achievements in Polymer Optical Fiber Gratings: Fabrication and Applications[J]. Photonics, 2019, 6</w:t>
      </w:r>
      <w:r>
        <w:rPr>
          <w:sz w:val="18"/>
          <w:szCs w:val="21"/>
        </w:rPr>
        <w:t>（</w:t>
      </w:r>
      <w:r>
        <w:rPr>
          <w:sz w:val="18"/>
          <w:szCs w:val="21"/>
        </w:rPr>
        <w:t>2</w:t>
      </w:r>
      <w:r>
        <w:rPr>
          <w:sz w:val="18"/>
          <w:szCs w:val="21"/>
        </w:rPr>
        <w:t>）</w:t>
      </w:r>
      <w:r>
        <w:rPr>
          <w:sz w:val="18"/>
          <w:szCs w:val="21"/>
        </w:rPr>
        <w:t>: 36.</w:t>
      </w:r>
    </w:p>
    <w:p w14:paraId="00220709" w14:textId="77777777" w:rsidR="006D6DEA" w:rsidRDefault="00772A90">
      <w:pPr>
        <w:widowControl/>
        <w:spacing w:line="204" w:lineRule="auto"/>
        <w:ind w:left="420" w:hanging="420"/>
        <w:rPr>
          <w:sz w:val="24"/>
          <w:szCs w:val="28"/>
        </w:rPr>
      </w:pPr>
      <w:r>
        <w:rPr>
          <w:sz w:val="18"/>
          <w:szCs w:val="21"/>
        </w:rPr>
        <w:t>[23] Bonefacino J, Tam H, Glen T S, et al. Ultra-fast polymer optical fibre Bragg grating inscription for medical devices[J]. Light: Science &amp; Applications, 2017, 7</w:t>
      </w:r>
      <w:r>
        <w:rPr>
          <w:sz w:val="18"/>
          <w:szCs w:val="21"/>
        </w:rPr>
        <w:t>（</w:t>
      </w:r>
      <w:r>
        <w:rPr>
          <w:sz w:val="18"/>
          <w:szCs w:val="21"/>
        </w:rPr>
        <w:t>3</w:t>
      </w:r>
      <w:r>
        <w:rPr>
          <w:sz w:val="18"/>
          <w:szCs w:val="21"/>
        </w:rPr>
        <w:t>）</w:t>
      </w:r>
      <w:r>
        <w:rPr>
          <w:sz w:val="18"/>
          <w:szCs w:val="21"/>
        </w:rPr>
        <w:t>: 17161-17161.</w:t>
      </w:r>
    </w:p>
    <w:p w14:paraId="3474919A" w14:textId="77777777" w:rsidR="006D6DEA" w:rsidRDefault="00772A90">
      <w:pPr>
        <w:widowControl/>
        <w:spacing w:line="204" w:lineRule="auto"/>
        <w:ind w:left="420" w:hanging="420"/>
        <w:rPr>
          <w:sz w:val="24"/>
          <w:szCs w:val="28"/>
        </w:rPr>
      </w:pPr>
      <w:r>
        <w:rPr>
          <w:sz w:val="18"/>
          <w:szCs w:val="21"/>
        </w:rPr>
        <w:t>[24] Leal-Junior A, Frizera-Neto A, Marques C, et al. Measurement of Temperature and Relative Humidity with Polymer Optical Fiber Sensors Based on the Induced Stress-Optic Effect[J]. Sensors, 2018, 18</w:t>
      </w:r>
      <w:r>
        <w:rPr>
          <w:sz w:val="18"/>
          <w:szCs w:val="21"/>
        </w:rPr>
        <w:t>（</w:t>
      </w:r>
      <w:r>
        <w:rPr>
          <w:sz w:val="18"/>
          <w:szCs w:val="21"/>
        </w:rPr>
        <w:t>3</w:t>
      </w:r>
      <w:r>
        <w:rPr>
          <w:sz w:val="18"/>
          <w:szCs w:val="21"/>
        </w:rPr>
        <w:t>）</w:t>
      </w:r>
      <w:r>
        <w:rPr>
          <w:sz w:val="18"/>
          <w:szCs w:val="21"/>
        </w:rPr>
        <w:t>: 916.</w:t>
      </w:r>
    </w:p>
    <w:p w14:paraId="770296A9" w14:textId="77777777" w:rsidR="006D6DEA" w:rsidRDefault="00772A90">
      <w:pPr>
        <w:widowControl/>
        <w:spacing w:line="204" w:lineRule="auto"/>
        <w:ind w:left="420" w:hanging="420"/>
        <w:rPr>
          <w:sz w:val="24"/>
          <w:szCs w:val="28"/>
        </w:rPr>
      </w:pPr>
      <w:r>
        <w:rPr>
          <w:sz w:val="18"/>
          <w:szCs w:val="21"/>
        </w:rPr>
        <w:t>[25] Cennamo N, Massarotti D, Conte L, ZENI L. Low Cost Sensors Based on SPR in a Plastic Optical Fiber for Biosensor Implementation[J]. Sensors, 2011, 11</w:t>
      </w:r>
      <w:r>
        <w:rPr>
          <w:sz w:val="18"/>
          <w:szCs w:val="21"/>
        </w:rPr>
        <w:t>（</w:t>
      </w:r>
      <w:r>
        <w:rPr>
          <w:sz w:val="18"/>
          <w:szCs w:val="21"/>
        </w:rPr>
        <w:t>12</w:t>
      </w:r>
      <w:r>
        <w:rPr>
          <w:sz w:val="18"/>
          <w:szCs w:val="21"/>
        </w:rPr>
        <w:t>）</w:t>
      </w:r>
      <w:r>
        <w:rPr>
          <w:sz w:val="18"/>
          <w:szCs w:val="21"/>
        </w:rPr>
        <w:t>: 11752-11760.</w:t>
      </w:r>
    </w:p>
    <w:p w14:paraId="395AD831" w14:textId="77777777" w:rsidR="006D6DEA" w:rsidRDefault="00772A90">
      <w:pPr>
        <w:widowControl/>
        <w:spacing w:line="204" w:lineRule="auto"/>
        <w:ind w:left="420" w:hanging="420"/>
        <w:rPr>
          <w:sz w:val="24"/>
          <w:szCs w:val="28"/>
        </w:rPr>
      </w:pPr>
      <w:r>
        <w:rPr>
          <w:sz w:val="18"/>
          <w:szCs w:val="21"/>
        </w:rPr>
        <w:t>[26] Nagar M A, Janner D. Polymer-Based Optical Guided-Wave Biomedical Sensing: From Principles to Applications[J]. Photonics, 2024, 11</w:t>
      </w:r>
      <w:r>
        <w:rPr>
          <w:sz w:val="18"/>
          <w:szCs w:val="21"/>
        </w:rPr>
        <w:t>（</w:t>
      </w:r>
      <w:r>
        <w:rPr>
          <w:sz w:val="18"/>
          <w:szCs w:val="21"/>
        </w:rPr>
        <w:t>10</w:t>
      </w:r>
      <w:r>
        <w:rPr>
          <w:sz w:val="18"/>
          <w:szCs w:val="21"/>
        </w:rPr>
        <w:t>）</w:t>
      </w:r>
      <w:r>
        <w:rPr>
          <w:sz w:val="18"/>
          <w:szCs w:val="21"/>
        </w:rPr>
        <w:t>: 972.</w:t>
      </w:r>
    </w:p>
    <w:p w14:paraId="6D24A0F2" w14:textId="77777777" w:rsidR="006D6DEA" w:rsidRDefault="00772A90">
      <w:pPr>
        <w:widowControl/>
        <w:spacing w:line="204" w:lineRule="auto"/>
        <w:ind w:left="420" w:hanging="420"/>
        <w:rPr>
          <w:sz w:val="24"/>
          <w:szCs w:val="28"/>
        </w:rPr>
      </w:pPr>
      <w:r>
        <w:rPr>
          <w:sz w:val="18"/>
          <w:szCs w:val="21"/>
        </w:rPr>
        <w:t>[27] Nizamoglu S, Gather M C, Humar M, et al. Bioabsorbable polymer optical waveguides for deep-tissue photomedicine[J]. Nature Communications, 2016, 7</w:t>
      </w:r>
      <w:r>
        <w:rPr>
          <w:sz w:val="18"/>
          <w:szCs w:val="21"/>
        </w:rPr>
        <w:t>（</w:t>
      </w:r>
      <w:r>
        <w:rPr>
          <w:sz w:val="18"/>
          <w:szCs w:val="21"/>
        </w:rPr>
        <w:t>1</w:t>
      </w:r>
      <w:r>
        <w:rPr>
          <w:sz w:val="18"/>
          <w:szCs w:val="21"/>
        </w:rPr>
        <w:t>）</w:t>
      </w:r>
      <w:r>
        <w:rPr>
          <w:sz w:val="18"/>
          <w:szCs w:val="21"/>
        </w:rPr>
        <w:t>: 10374.</w:t>
      </w:r>
    </w:p>
    <w:p w14:paraId="313F5941" w14:textId="77777777" w:rsidR="006D6DEA" w:rsidRDefault="00772A90">
      <w:pPr>
        <w:widowControl/>
        <w:spacing w:line="204" w:lineRule="auto"/>
        <w:ind w:left="420" w:hanging="420"/>
        <w:rPr>
          <w:sz w:val="24"/>
          <w:szCs w:val="28"/>
        </w:rPr>
      </w:pPr>
      <w:r>
        <w:rPr>
          <w:sz w:val="18"/>
          <w:szCs w:val="21"/>
        </w:rPr>
        <w:t>[28] Fu R, Luo W, Nazempour R, et al. Implantable and Biodegradable Poly(l‐lactic acid) Fibers for Optical Neural Interfaces[J]. Advanced Optical Materials, 2018, 6</w:t>
      </w:r>
      <w:r>
        <w:rPr>
          <w:sz w:val="18"/>
          <w:szCs w:val="21"/>
        </w:rPr>
        <w:t>（</w:t>
      </w:r>
      <w:r>
        <w:rPr>
          <w:sz w:val="18"/>
          <w:szCs w:val="21"/>
        </w:rPr>
        <w:t>3</w:t>
      </w:r>
      <w:r>
        <w:rPr>
          <w:sz w:val="18"/>
          <w:szCs w:val="21"/>
        </w:rPr>
        <w:t>）</w:t>
      </w:r>
      <w:r>
        <w:rPr>
          <w:sz w:val="18"/>
          <w:szCs w:val="21"/>
        </w:rPr>
        <w:t>: 1700941.</w:t>
      </w:r>
    </w:p>
    <w:p w14:paraId="664FD778" w14:textId="77777777" w:rsidR="006D6DEA" w:rsidRDefault="00772A90">
      <w:pPr>
        <w:widowControl/>
        <w:spacing w:line="204" w:lineRule="auto"/>
        <w:ind w:left="420" w:hanging="420"/>
        <w:rPr>
          <w:sz w:val="24"/>
          <w:szCs w:val="28"/>
        </w:rPr>
      </w:pPr>
      <w:r>
        <w:rPr>
          <w:sz w:val="18"/>
          <w:szCs w:val="21"/>
        </w:rPr>
        <w:t>[29] Park S, Guo Y, Jia X, et al. One-step optogenetics with multifunctional flexible polymer fibers[J]. Nature Neuroscience, 2017, 20</w:t>
      </w:r>
      <w:r>
        <w:rPr>
          <w:sz w:val="18"/>
          <w:szCs w:val="21"/>
        </w:rPr>
        <w:t>（</w:t>
      </w:r>
      <w:r>
        <w:rPr>
          <w:sz w:val="18"/>
          <w:szCs w:val="21"/>
        </w:rPr>
        <w:t>4</w:t>
      </w:r>
      <w:r>
        <w:rPr>
          <w:sz w:val="18"/>
          <w:szCs w:val="21"/>
        </w:rPr>
        <w:t>）</w:t>
      </w:r>
      <w:r>
        <w:rPr>
          <w:sz w:val="18"/>
          <w:szCs w:val="21"/>
        </w:rPr>
        <w:t>: 612-619.</w:t>
      </w:r>
    </w:p>
    <w:p w14:paraId="200A1407" w14:textId="77777777" w:rsidR="006D6DEA" w:rsidRDefault="00772A90">
      <w:pPr>
        <w:widowControl/>
        <w:spacing w:line="204" w:lineRule="auto"/>
        <w:ind w:left="420" w:hanging="420"/>
        <w:rPr>
          <w:sz w:val="18"/>
          <w:szCs w:val="21"/>
        </w:rPr>
      </w:pPr>
      <w:r>
        <w:rPr>
          <w:sz w:val="18"/>
          <w:szCs w:val="21"/>
        </w:rPr>
        <w:t>[30] Shin J, Liu Z, Bai W, et al. Bioresorbable optical sensor systems for monitoring of intracranial pressure and temperature[J]. Science Advances, 2019, 5</w:t>
      </w:r>
      <w:r>
        <w:rPr>
          <w:sz w:val="18"/>
          <w:szCs w:val="21"/>
        </w:rPr>
        <w:t>（</w:t>
      </w:r>
      <w:r>
        <w:rPr>
          <w:sz w:val="18"/>
          <w:szCs w:val="21"/>
        </w:rPr>
        <w:t>7</w:t>
      </w:r>
      <w:r>
        <w:rPr>
          <w:sz w:val="18"/>
          <w:szCs w:val="21"/>
        </w:rPr>
        <w:t>）</w:t>
      </w:r>
      <w:r>
        <w:rPr>
          <w:sz w:val="18"/>
          <w:szCs w:val="21"/>
        </w:rPr>
        <w:t>: eaaw1899.</w:t>
      </w:r>
    </w:p>
    <w:p w14:paraId="7E9BC116" w14:textId="77777777" w:rsidR="006D6DEA" w:rsidRDefault="006D6DEA">
      <w:pPr>
        <w:widowControl/>
        <w:spacing w:line="204" w:lineRule="auto"/>
        <w:ind w:left="420" w:hanging="420"/>
        <w:rPr>
          <w:sz w:val="24"/>
          <w:szCs w:val="28"/>
        </w:rPr>
      </w:pPr>
    </w:p>
    <w:p w14:paraId="63C69C06" w14:textId="1D133A66" w:rsidR="0088791F" w:rsidRPr="00AF5797" w:rsidRDefault="00AF5797">
      <w:pPr>
        <w:widowControl/>
        <w:spacing w:line="204" w:lineRule="auto"/>
        <w:ind w:left="420" w:hanging="420"/>
        <w:rPr>
          <w:rFonts w:ascii="宋体" w:hAnsi="宋体"/>
          <w:sz w:val="24"/>
          <w:szCs w:val="24"/>
        </w:rPr>
      </w:pPr>
      <w:r w:rsidRPr="00AF5797">
        <w:rPr>
          <w:rFonts w:ascii="宋体" w:hAnsi="宋体" w:hint="eastAsia"/>
          <w:sz w:val="24"/>
          <w:szCs w:val="24"/>
        </w:rPr>
        <w:t>基金项目</w:t>
      </w:r>
      <w:r w:rsidRPr="00AF5797">
        <w:rPr>
          <w:rFonts w:ascii="宋体" w:hAnsi="宋体"/>
          <w:sz w:val="24"/>
          <w:szCs w:val="24"/>
        </w:rPr>
        <w:t>：</w:t>
      </w:r>
      <w:r w:rsidRPr="00AF5797">
        <w:rPr>
          <w:rFonts w:ascii="宋体" w:hAnsi="宋体" w:hint="eastAsia"/>
          <w:sz w:val="24"/>
          <w:szCs w:val="24"/>
        </w:rPr>
        <w:t>国家自然基金联合基金重点项目的资助（No.U</w:t>
      </w:r>
      <w:r w:rsidRPr="00AF5797">
        <w:rPr>
          <w:rFonts w:ascii="宋体" w:hAnsi="宋体"/>
          <w:sz w:val="24"/>
          <w:szCs w:val="24"/>
        </w:rPr>
        <w:t>23A20373</w:t>
      </w:r>
      <w:r w:rsidRPr="00AF5797">
        <w:rPr>
          <w:rFonts w:ascii="宋体" w:hAnsi="宋体" w:hint="eastAsia"/>
          <w:sz w:val="24"/>
          <w:szCs w:val="24"/>
        </w:rPr>
        <w:t>）</w:t>
      </w:r>
    </w:p>
    <w:p w14:paraId="56B1A86C" w14:textId="77777777" w:rsidR="0088791F" w:rsidRDefault="0088791F">
      <w:pPr>
        <w:widowControl/>
        <w:spacing w:line="204" w:lineRule="auto"/>
        <w:ind w:left="420" w:hanging="420"/>
        <w:rPr>
          <w:sz w:val="24"/>
          <w:szCs w:val="28"/>
        </w:rPr>
      </w:pPr>
    </w:p>
    <w:p w14:paraId="1F0D7463" w14:textId="77777777" w:rsidR="00073A49" w:rsidRPr="0088791F" w:rsidRDefault="00073A49" w:rsidP="00AF5797">
      <w:pPr>
        <w:jc w:val="left"/>
        <w:rPr>
          <w:b/>
          <w:sz w:val="24"/>
          <w:szCs w:val="24"/>
        </w:rPr>
      </w:pPr>
      <w:r w:rsidRPr="0088791F">
        <w:rPr>
          <w:b/>
          <w:sz w:val="24"/>
          <w:szCs w:val="24"/>
        </w:rPr>
        <w:t>作者简介：</w:t>
      </w:r>
    </w:p>
    <w:p w14:paraId="01D05161" w14:textId="049A713E" w:rsidR="00073A49" w:rsidRDefault="00073A49" w:rsidP="00073A49">
      <w:pPr>
        <w:rPr>
          <w:szCs w:val="21"/>
        </w:rPr>
      </w:pPr>
      <w:r>
        <w:rPr>
          <w:noProof/>
        </w:rPr>
        <w:drawing>
          <wp:inline distT="0" distB="0" distL="0" distR="0" wp14:anchorId="33F7157D" wp14:editId="50B8FFE0">
            <wp:extent cx="869950" cy="1119689"/>
            <wp:effectExtent l="0" t="0" r="6350" b="4445"/>
            <wp:docPr id="6262907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90789" name="图片 1"/>
                    <pic:cNvPicPr>
                      <a:picLocks noChangeAspect="1"/>
                    </pic:cNvPicPr>
                  </pic:nvPicPr>
                  <pic:blipFill rotWithShape="1">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l="1790" t="3101" r="5021" b="4360"/>
                    <a:stretch>
                      <a:fillRect/>
                    </a:stretch>
                  </pic:blipFill>
                  <pic:spPr bwMode="auto">
                    <a:xfrm>
                      <a:off x="0" y="0"/>
                      <a:ext cx="869950" cy="1119689"/>
                    </a:xfrm>
                    <a:prstGeom prst="rect">
                      <a:avLst/>
                    </a:prstGeom>
                    <a:noFill/>
                    <a:ln>
                      <a:noFill/>
                    </a:ln>
                    <a:extLst>
                      <a:ext uri="{53640926-AAD7-44D8-BBD7-CCE9431645EC}">
                        <a14:shadowObscured xmlns:a14="http://schemas.microsoft.com/office/drawing/2010/main"/>
                      </a:ext>
                    </a:extLst>
                  </pic:spPr>
                </pic:pic>
              </a:graphicData>
            </a:graphic>
          </wp:inline>
        </w:drawing>
      </w:r>
    </w:p>
    <w:p w14:paraId="6236B7EE" w14:textId="08667F94" w:rsidR="00073A49" w:rsidRDefault="00073A49" w:rsidP="00073A49">
      <w:pPr>
        <w:rPr>
          <w:szCs w:val="21"/>
        </w:rPr>
      </w:pPr>
      <w:r>
        <w:rPr>
          <w:rFonts w:hint="eastAsia"/>
          <w:szCs w:val="21"/>
        </w:rPr>
        <w:t>苑立波（</w:t>
      </w:r>
      <w:r>
        <w:rPr>
          <w:rFonts w:hint="eastAsia"/>
          <w:szCs w:val="21"/>
        </w:rPr>
        <w:t>1962-</w:t>
      </w:r>
      <w:r>
        <w:rPr>
          <w:rFonts w:hint="eastAsia"/>
          <w:szCs w:val="21"/>
        </w:rPr>
        <w:t>），男，博士，</w:t>
      </w:r>
      <w:r w:rsidRPr="00073A49">
        <w:rPr>
          <w:szCs w:val="21"/>
        </w:rPr>
        <w:t>桂林电子科技大学教授（二级），广西光电创意概念验证中心主任。国家重点研发计划</w:t>
      </w:r>
      <w:r w:rsidRPr="00073A49">
        <w:rPr>
          <w:rFonts w:hint="eastAsia"/>
          <w:szCs w:val="21"/>
        </w:rPr>
        <w:t>项目</w:t>
      </w:r>
      <w:r w:rsidRPr="00073A49">
        <w:rPr>
          <w:szCs w:val="21"/>
        </w:rPr>
        <w:t>首席科学家。主要研究特种光纤及器件技术、光操控技术、光纤</w:t>
      </w:r>
      <w:r w:rsidRPr="00073A49">
        <w:rPr>
          <w:szCs w:val="21"/>
        </w:rPr>
        <w:lastRenderedPageBreak/>
        <w:t>传感技术及应用。主持承担科技部国家重点研发计划项目、科技部国家重大仪器设备开发项目、科技部国际合作重大项目；国家自然科学基金重大科研仪器研制项目、重点、重大（课题）项目；国防重点项目、国防</w:t>
      </w:r>
      <w:r w:rsidRPr="00073A49">
        <w:rPr>
          <w:szCs w:val="21"/>
        </w:rPr>
        <w:t>863</w:t>
      </w:r>
      <w:r w:rsidRPr="00073A49">
        <w:rPr>
          <w:szCs w:val="21"/>
        </w:rPr>
        <w:t>项目、</w:t>
      </w:r>
      <w:r w:rsidRPr="00073A49">
        <w:rPr>
          <w:szCs w:val="21"/>
        </w:rPr>
        <w:t>973</w:t>
      </w:r>
      <w:r w:rsidRPr="00073A49">
        <w:rPr>
          <w:szCs w:val="21"/>
        </w:rPr>
        <w:t>前期等项目</w:t>
      </w:r>
      <w:r w:rsidRPr="00073A49">
        <w:rPr>
          <w:rFonts w:hint="eastAsia"/>
          <w:szCs w:val="21"/>
        </w:rPr>
        <w:t>等</w:t>
      </w:r>
      <w:r w:rsidRPr="00073A49">
        <w:rPr>
          <w:szCs w:val="21"/>
        </w:rPr>
        <w:t>30</w:t>
      </w:r>
      <w:r w:rsidRPr="00073A49">
        <w:rPr>
          <w:szCs w:val="21"/>
        </w:rPr>
        <w:t>余项，发表</w:t>
      </w:r>
      <w:r w:rsidRPr="00073A49">
        <w:rPr>
          <w:rFonts w:hint="eastAsia"/>
          <w:szCs w:val="21"/>
        </w:rPr>
        <w:t>被</w:t>
      </w:r>
      <w:r w:rsidRPr="00073A49">
        <w:rPr>
          <w:szCs w:val="21"/>
        </w:rPr>
        <w:t>SCI</w:t>
      </w:r>
      <w:r w:rsidRPr="00073A49">
        <w:rPr>
          <w:rFonts w:hint="eastAsia"/>
          <w:szCs w:val="21"/>
        </w:rPr>
        <w:t>收录的</w:t>
      </w:r>
      <w:r w:rsidRPr="00073A49">
        <w:rPr>
          <w:szCs w:val="21"/>
        </w:rPr>
        <w:t>学术论文</w:t>
      </w:r>
      <w:r w:rsidRPr="00073A49">
        <w:rPr>
          <w:szCs w:val="21"/>
        </w:rPr>
        <w:t>400</w:t>
      </w:r>
      <w:r w:rsidRPr="00073A49">
        <w:rPr>
          <w:szCs w:val="21"/>
        </w:rPr>
        <w:t>余篇，获国家发明专利授权</w:t>
      </w:r>
      <w:r w:rsidRPr="00073A49">
        <w:rPr>
          <w:szCs w:val="21"/>
        </w:rPr>
        <w:t>150</w:t>
      </w:r>
      <w:r w:rsidRPr="00073A49">
        <w:rPr>
          <w:szCs w:val="21"/>
        </w:rPr>
        <w:t>余件。科技成果获省部级一等奖</w:t>
      </w:r>
      <w:r w:rsidRPr="00073A49">
        <w:rPr>
          <w:szCs w:val="21"/>
        </w:rPr>
        <w:t>2 </w:t>
      </w:r>
      <w:r w:rsidRPr="00073A49">
        <w:rPr>
          <w:szCs w:val="21"/>
        </w:rPr>
        <w:t>次，二等奖</w:t>
      </w:r>
      <w:r w:rsidRPr="00073A49">
        <w:rPr>
          <w:szCs w:val="21"/>
        </w:rPr>
        <w:t>3 </w:t>
      </w:r>
      <w:r w:rsidRPr="00073A49">
        <w:rPr>
          <w:szCs w:val="21"/>
        </w:rPr>
        <w:t>次。</w:t>
      </w:r>
    </w:p>
    <w:p w14:paraId="683B079D" w14:textId="23323392" w:rsidR="00073A49" w:rsidRDefault="00451262" w:rsidP="00073A49">
      <w:pPr>
        <w:rPr>
          <w:szCs w:val="21"/>
        </w:rPr>
      </w:pPr>
      <w:r>
        <w:rPr>
          <w:noProof/>
          <w:szCs w:val="21"/>
        </w:rPr>
        <w:drawing>
          <wp:inline distT="0" distB="0" distL="114300" distR="114300" wp14:anchorId="57F13D4E" wp14:editId="5CC9CE4C">
            <wp:extent cx="825500" cy="1099820"/>
            <wp:effectExtent l="0" t="0" r="0" b="5080"/>
            <wp:docPr id="2" name="图片 3" descr="mmexport169846404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mmexport1698464040555"/>
                    <pic:cNvPicPr>
                      <a:picLocks noChangeAspect="1"/>
                    </pic:cNvPicPr>
                  </pic:nvPicPr>
                  <pic:blipFill>
                    <a:blip r:embed="rId11"/>
                    <a:stretch>
                      <a:fillRect/>
                    </a:stretch>
                  </pic:blipFill>
                  <pic:spPr>
                    <a:xfrm>
                      <a:off x="0" y="0"/>
                      <a:ext cx="825500" cy="1099820"/>
                    </a:xfrm>
                    <a:prstGeom prst="rect">
                      <a:avLst/>
                    </a:prstGeom>
                    <a:noFill/>
                    <a:ln>
                      <a:noFill/>
                    </a:ln>
                  </pic:spPr>
                </pic:pic>
              </a:graphicData>
            </a:graphic>
          </wp:inline>
        </w:drawing>
      </w:r>
    </w:p>
    <w:p w14:paraId="3BA0104A" w14:textId="12055225" w:rsidR="00073A49" w:rsidRDefault="00073A49" w:rsidP="00073A49">
      <w:pPr>
        <w:rPr>
          <w:szCs w:val="21"/>
        </w:rPr>
      </w:pPr>
      <w:r>
        <w:rPr>
          <w:rFonts w:hint="eastAsia"/>
          <w:szCs w:val="21"/>
        </w:rPr>
        <w:t>任侯柏（</w:t>
      </w:r>
      <w:r>
        <w:rPr>
          <w:rFonts w:hint="eastAsia"/>
          <w:szCs w:val="21"/>
        </w:rPr>
        <w:t>2001-</w:t>
      </w:r>
      <w:r>
        <w:rPr>
          <w:rFonts w:hint="eastAsia"/>
          <w:szCs w:val="21"/>
        </w:rPr>
        <w:t>），男，硕士研究生，现就读于桂林电子科技大学光电工程学院新一代电子信息技术（含量子技术等）专业，主要从事生物医疗光纤、聚合物光纤、光纤微结构加工研究。</w:t>
      </w:r>
    </w:p>
    <w:p w14:paraId="10232EA9" w14:textId="77777777" w:rsidR="00073A49" w:rsidRDefault="00073A49" w:rsidP="00073A49">
      <w:pPr>
        <w:widowControl/>
        <w:rPr>
          <w:szCs w:val="21"/>
        </w:rPr>
      </w:pPr>
    </w:p>
    <w:p w14:paraId="72F43E78" w14:textId="77777777" w:rsidR="00073A49" w:rsidRPr="00073A49" w:rsidRDefault="00073A49">
      <w:pPr>
        <w:widowControl/>
        <w:spacing w:line="204" w:lineRule="auto"/>
        <w:ind w:left="420" w:hanging="420"/>
        <w:rPr>
          <w:sz w:val="24"/>
          <w:szCs w:val="28"/>
        </w:rPr>
      </w:pPr>
    </w:p>
    <w:sectPr w:rsidR="00073A49" w:rsidRPr="00073A49">
      <w:pgSz w:w="11906" w:h="16838"/>
      <w:pgMar w:top="1440" w:right="1797" w:bottom="1440" w:left="1797" w:header="850"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A885A" w14:textId="77777777" w:rsidR="00EF0FE2" w:rsidRDefault="00EF0FE2" w:rsidP="00B94E83">
      <w:r>
        <w:separator/>
      </w:r>
    </w:p>
  </w:endnote>
  <w:endnote w:type="continuationSeparator" w:id="0">
    <w:p w14:paraId="1C9CBBD3" w14:textId="77777777" w:rsidR="00EF0FE2" w:rsidRDefault="00EF0FE2" w:rsidP="00B9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9CF1C" w14:textId="77777777" w:rsidR="00EF0FE2" w:rsidRDefault="00EF0FE2" w:rsidP="00B94E83">
      <w:r>
        <w:separator/>
      </w:r>
    </w:p>
  </w:footnote>
  <w:footnote w:type="continuationSeparator" w:id="0">
    <w:p w14:paraId="2FB77EBA" w14:textId="77777777" w:rsidR="00EF0FE2" w:rsidRDefault="00EF0FE2" w:rsidP="00B94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E0F7C"/>
    <w:multiLevelType w:val="hybridMultilevel"/>
    <w:tmpl w:val="8BF80A44"/>
    <w:lvl w:ilvl="0" w:tplc="065A0A54">
      <w:numFmt w:val="bullet"/>
      <w:lvlText w:val=""/>
      <w:lvlJc w:val="left"/>
      <w:pPr>
        <w:ind w:left="420" w:hanging="420"/>
      </w:pPr>
      <w:rPr>
        <w:rFonts w:ascii="Wingdings" w:eastAsia="宋体" w:hAnsi="Wingdings" w:cs="Times New Roman" w:hint="default"/>
        <w:color w:val="auto"/>
        <w:u w:val="single"/>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243AA"/>
    <w:rsid w:val="00030833"/>
    <w:rsid w:val="00037DF2"/>
    <w:rsid w:val="00045035"/>
    <w:rsid w:val="000458A9"/>
    <w:rsid w:val="00052D74"/>
    <w:rsid w:val="000625F9"/>
    <w:rsid w:val="00071AE7"/>
    <w:rsid w:val="00072CCB"/>
    <w:rsid w:val="00073A49"/>
    <w:rsid w:val="00074992"/>
    <w:rsid w:val="00080DF1"/>
    <w:rsid w:val="0009082B"/>
    <w:rsid w:val="000C62DE"/>
    <w:rsid w:val="000D462F"/>
    <w:rsid w:val="000E6AF8"/>
    <w:rsid w:val="000F114B"/>
    <w:rsid w:val="000F2F22"/>
    <w:rsid w:val="000F7C33"/>
    <w:rsid w:val="000F7C7C"/>
    <w:rsid w:val="001015D9"/>
    <w:rsid w:val="00106E5C"/>
    <w:rsid w:val="00123F33"/>
    <w:rsid w:val="001343E9"/>
    <w:rsid w:val="00135BD7"/>
    <w:rsid w:val="00135F8D"/>
    <w:rsid w:val="00140B68"/>
    <w:rsid w:val="00141CCE"/>
    <w:rsid w:val="00146C8E"/>
    <w:rsid w:val="0014790E"/>
    <w:rsid w:val="001562A4"/>
    <w:rsid w:val="001664A3"/>
    <w:rsid w:val="001775AF"/>
    <w:rsid w:val="00182C48"/>
    <w:rsid w:val="001864E1"/>
    <w:rsid w:val="00186E1C"/>
    <w:rsid w:val="001875FC"/>
    <w:rsid w:val="00197193"/>
    <w:rsid w:val="00197BD7"/>
    <w:rsid w:val="001A2626"/>
    <w:rsid w:val="001B174F"/>
    <w:rsid w:val="001B7CC8"/>
    <w:rsid w:val="001D37C4"/>
    <w:rsid w:val="001D429A"/>
    <w:rsid w:val="001F5092"/>
    <w:rsid w:val="001F5A3F"/>
    <w:rsid w:val="00202D03"/>
    <w:rsid w:val="00205EC4"/>
    <w:rsid w:val="0021250A"/>
    <w:rsid w:val="00232F6E"/>
    <w:rsid w:val="0024088C"/>
    <w:rsid w:val="002504C4"/>
    <w:rsid w:val="00251E18"/>
    <w:rsid w:val="00255698"/>
    <w:rsid w:val="00274529"/>
    <w:rsid w:val="00276481"/>
    <w:rsid w:val="00284743"/>
    <w:rsid w:val="00297639"/>
    <w:rsid w:val="002B3526"/>
    <w:rsid w:val="002B675B"/>
    <w:rsid w:val="002C02CE"/>
    <w:rsid w:val="002C40AC"/>
    <w:rsid w:val="002C5CC3"/>
    <w:rsid w:val="002D15C7"/>
    <w:rsid w:val="002D6068"/>
    <w:rsid w:val="002E73D7"/>
    <w:rsid w:val="002F0DA5"/>
    <w:rsid w:val="002F5D7D"/>
    <w:rsid w:val="003027A9"/>
    <w:rsid w:val="00306EF5"/>
    <w:rsid w:val="00312337"/>
    <w:rsid w:val="003278C4"/>
    <w:rsid w:val="003540A2"/>
    <w:rsid w:val="003710D3"/>
    <w:rsid w:val="00375BC6"/>
    <w:rsid w:val="00375C88"/>
    <w:rsid w:val="003772EB"/>
    <w:rsid w:val="00385940"/>
    <w:rsid w:val="00386928"/>
    <w:rsid w:val="003B4E2D"/>
    <w:rsid w:val="003B61A3"/>
    <w:rsid w:val="003C3C56"/>
    <w:rsid w:val="003C7469"/>
    <w:rsid w:val="003D2DC7"/>
    <w:rsid w:val="003E12B2"/>
    <w:rsid w:val="003E6DB0"/>
    <w:rsid w:val="003F6019"/>
    <w:rsid w:val="00401201"/>
    <w:rsid w:val="00401F62"/>
    <w:rsid w:val="00403C3E"/>
    <w:rsid w:val="00412931"/>
    <w:rsid w:val="00414FF6"/>
    <w:rsid w:val="0041561E"/>
    <w:rsid w:val="00421FE7"/>
    <w:rsid w:val="004333AB"/>
    <w:rsid w:val="00445FA1"/>
    <w:rsid w:val="00447727"/>
    <w:rsid w:val="0045082D"/>
    <w:rsid w:val="00451262"/>
    <w:rsid w:val="00465F3B"/>
    <w:rsid w:val="00476E03"/>
    <w:rsid w:val="0048355A"/>
    <w:rsid w:val="0049525D"/>
    <w:rsid w:val="004A01BD"/>
    <w:rsid w:val="004A18FA"/>
    <w:rsid w:val="004A2353"/>
    <w:rsid w:val="004A2423"/>
    <w:rsid w:val="004A2781"/>
    <w:rsid w:val="004B2503"/>
    <w:rsid w:val="004B45E4"/>
    <w:rsid w:val="004B77DD"/>
    <w:rsid w:val="004C44F7"/>
    <w:rsid w:val="004D40DB"/>
    <w:rsid w:val="004E1905"/>
    <w:rsid w:val="004E478B"/>
    <w:rsid w:val="004E6D37"/>
    <w:rsid w:val="004F06E4"/>
    <w:rsid w:val="004F0771"/>
    <w:rsid w:val="00507BB7"/>
    <w:rsid w:val="00514B57"/>
    <w:rsid w:val="00520F93"/>
    <w:rsid w:val="00532DFA"/>
    <w:rsid w:val="00540410"/>
    <w:rsid w:val="0055586C"/>
    <w:rsid w:val="0055734B"/>
    <w:rsid w:val="005618DC"/>
    <w:rsid w:val="005664DB"/>
    <w:rsid w:val="00591C95"/>
    <w:rsid w:val="00594B22"/>
    <w:rsid w:val="00596717"/>
    <w:rsid w:val="005A5E82"/>
    <w:rsid w:val="005A6024"/>
    <w:rsid w:val="005B348C"/>
    <w:rsid w:val="005C2EF1"/>
    <w:rsid w:val="005D0C3A"/>
    <w:rsid w:val="005D2DF1"/>
    <w:rsid w:val="005E0C77"/>
    <w:rsid w:val="005E21D2"/>
    <w:rsid w:val="0060431E"/>
    <w:rsid w:val="00610C96"/>
    <w:rsid w:val="00621E91"/>
    <w:rsid w:val="006254B9"/>
    <w:rsid w:val="00625537"/>
    <w:rsid w:val="00627825"/>
    <w:rsid w:val="00641132"/>
    <w:rsid w:val="00646E5E"/>
    <w:rsid w:val="00651F1F"/>
    <w:rsid w:val="00652297"/>
    <w:rsid w:val="006654A6"/>
    <w:rsid w:val="00673242"/>
    <w:rsid w:val="00675A12"/>
    <w:rsid w:val="00676190"/>
    <w:rsid w:val="00677BB8"/>
    <w:rsid w:val="00693891"/>
    <w:rsid w:val="006A36F3"/>
    <w:rsid w:val="006B2A38"/>
    <w:rsid w:val="006D1577"/>
    <w:rsid w:val="006D2875"/>
    <w:rsid w:val="006D4B9D"/>
    <w:rsid w:val="006D5002"/>
    <w:rsid w:val="006D6908"/>
    <w:rsid w:val="006D6DEA"/>
    <w:rsid w:val="006D7A7D"/>
    <w:rsid w:val="006E309F"/>
    <w:rsid w:val="006F17F8"/>
    <w:rsid w:val="006F1D65"/>
    <w:rsid w:val="006F4ABD"/>
    <w:rsid w:val="006F7841"/>
    <w:rsid w:val="00705288"/>
    <w:rsid w:val="00713949"/>
    <w:rsid w:val="007269F1"/>
    <w:rsid w:val="00727A14"/>
    <w:rsid w:val="00730F34"/>
    <w:rsid w:val="007453EB"/>
    <w:rsid w:val="007504B4"/>
    <w:rsid w:val="00757DFE"/>
    <w:rsid w:val="00760E04"/>
    <w:rsid w:val="0076385C"/>
    <w:rsid w:val="007674C4"/>
    <w:rsid w:val="00772A90"/>
    <w:rsid w:val="00776A49"/>
    <w:rsid w:val="0077758E"/>
    <w:rsid w:val="00783E71"/>
    <w:rsid w:val="00786324"/>
    <w:rsid w:val="00786714"/>
    <w:rsid w:val="007867CF"/>
    <w:rsid w:val="00795F58"/>
    <w:rsid w:val="007A1703"/>
    <w:rsid w:val="007A66D7"/>
    <w:rsid w:val="007A690A"/>
    <w:rsid w:val="007B0BB3"/>
    <w:rsid w:val="007B31D8"/>
    <w:rsid w:val="007B6CB6"/>
    <w:rsid w:val="007C6170"/>
    <w:rsid w:val="007D0947"/>
    <w:rsid w:val="007D2685"/>
    <w:rsid w:val="007D77E9"/>
    <w:rsid w:val="007E1963"/>
    <w:rsid w:val="007F0053"/>
    <w:rsid w:val="007F08C7"/>
    <w:rsid w:val="00802A60"/>
    <w:rsid w:val="00805B84"/>
    <w:rsid w:val="00826675"/>
    <w:rsid w:val="00830CB8"/>
    <w:rsid w:val="008457F7"/>
    <w:rsid w:val="0084769A"/>
    <w:rsid w:val="00852435"/>
    <w:rsid w:val="00854038"/>
    <w:rsid w:val="00861D84"/>
    <w:rsid w:val="0086689F"/>
    <w:rsid w:val="0087215A"/>
    <w:rsid w:val="00873566"/>
    <w:rsid w:val="0087479C"/>
    <w:rsid w:val="008872ED"/>
    <w:rsid w:val="0088791F"/>
    <w:rsid w:val="008902FC"/>
    <w:rsid w:val="00895637"/>
    <w:rsid w:val="008B5626"/>
    <w:rsid w:val="008D010D"/>
    <w:rsid w:val="008D5C3B"/>
    <w:rsid w:val="008E3B35"/>
    <w:rsid w:val="008F329A"/>
    <w:rsid w:val="00907ABE"/>
    <w:rsid w:val="00914328"/>
    <w:rsid w:val="00917577"/>
    <w:rsid w:val="009232CF"/>
    <w:rsid w:val="00924B37"/>
    <w:rsid w:val="00925464"/>
    <w:rsid w:val="00930860"/>
    <w:rsid w:val="00932B08"/>
    <w:rsid w:val="00933375"/>
    <w:rsid w:val="00935FCA"/>
    <w:rsid w:val="00936DAA"/>
    <w:rsid w:val="009445B9"/>
    <w:rsid w:val="009450D0"/>
    <w:rsid w:val="009558D8"/>
    <w:rsid w:val="0096363A"/>
    <w:rsid w:val="009723DD"/>
    <w:rsid w:val="009857D5"/>
    <w:rsid w:val="009A2FA2"/>
    <w:rsid w:val="009A39B9"/>
    <w:rsid w:val="009B172C"/>
    <w:rsid w:val="009B33F2"/>
    <w:rsid w:val="009B7EA7"/>
    <w:rsid w:val="009E05B4"/>
    <w:rsid w:val="009F6E90"/>
    <w:rsid w:val="00A021E1"/>
    <w:rsid w:val="00A127B7"/>
    <w:rsid w:val="00A14765"/>
    <w:rsid w:val="00A161DB"/>
    <w:rsid w:val="00A21D9F"/>
    <w:rsid w:val="00A236B6"/>
    <w:rsid w:val="00A24185"/>
    <w:rsid w:val="00A264A4"/>
    <w:rsid w:val="00A34AAB"/>
    <w:rsid w:val="00A41BFC"/>
    <w:rsid w:val="00A44532"/>
    <w:rsid w:val="00A506EE"/>
    <w:rsid w:val="00A523C2"/>
    <w:rsid w:val="00A54433"/>
    <w:rsid w:val="00A64739"/>
    <w:rsid w:val="00A725E6"/>
    <w:rsid w:val="00A85D81"/>
    <w:rsid w:val="00A93022"/>
    <w:rsid w:val="00A9713B"/>
    <w:rsid w:val="00AA442B"/>
    <w:rsid w:val="00AB288D"/>
    <w:rsid w:val="00AC4297"/>
    <w:rsid w:val="00AC4AD1"/>
    <w:rsid w:val="00AC7AED"/>
    <w:rsid w:val="00AE14DF"/>
    <w:rsid w:val="00AF0468"/>
    <w:rsid w:val="00AF0F69"/>
    <w:rsid w:val="00AF5797"/>
    <w:rsid w:val="00B03197"/>
    <w:rsid w:val="00B04AB7"/>
    <w:rsid w:val="00B06911"/>
    <w:rsid w:val="00B07772"/>
    <w:rsid w:val="00B146BA"/>
    <w:rsid w:val="00B21D8A"/>
    <w:rsid w:val="00B23C03"/>
    <w:rsid w:val="00B36352"/>
    <w:rsid w:val="00B51DF0"/>
    <w:rsid w:val="00B5307D"/>
    <w:rsid w:val="00B5433B"/>
    <w:rsid w:val="00B56BF5"/>
    <w:rsid w:val="00B6364C"/>
    <w:rsid w:val="00B66CDE"/>
    <w:rsid w:val="00B71767"/>
    <w:rsid w:val="00B74851"/>
    <w:rsid w:val="00B74A14"/>
    <w:rsid w:val="00B84011"/>
    <w:rsid w:val="00B94E83"/>
    <w:rsid w:val="00B94F90"/>
    <w:rsid w:val="00B97449"/>
    <w:rsid w:val="00BB2BC3"/>
    <w:rsid w:val="00BC112D"/>
    <w:rsid w:val="00BC1EDC"/>
    <w:rsid w:val="00BC4C25"/>
    <w:rsid w:val="00BC71A5"/>
    <w:rsid w:val="00BD0C36"/>
    <w:rsid w:val="00BD1CAB"/>
    <w:rsid w:val="00BE1E75"/>
    <w:rsid w:val="00BF1078"/>
    <w:rsid w:val="00BF5B72"/>
    <w:rsid w:val="00C13994"/>
    <w:rsid w:val="00C25AF9"/>
    <w:rsid w:val="00C348A2"/>
    <w:rsid w:val="00C44497"/>
    <w:rsid w:val="00C512F1"/>
    <w:rsid w:val="00C51C58"/>
    <w:rsid w:val="00C67AC3"/>
    <w:rsid w:val="00C70E97"/>
    <w:rsid w:val="00C73D96"/>
    <w:rsid w:val="00C73F5C"/>
    <w:rsid w:val="00C75B3D"/>
    <w:rsid w:val="00C82E95"/>
    <w:rsid w:val="00C85799"/>
    <w:rsid w:val="00CA1586"/>
    <w:rsid w:val="00CA4B9C"/>
    <w:rsid w:val="00CA7A84"/>
    <w:rsid w:val="00CB2489"/>
    <w:rsid w:val="00CB62F3"/>
    <w:rsid w:val="00CD4DFB"/>
    <w:rsid w:val="00CD6544"/>
    <w:rsid w:val="00CE04C8"/>
    <w:rsid w:val="00CE08F7"/>
    <w:rsid w:val="00CE476C"/>
    <w:rsid w:val="00CF5E8E"/>
    <w:rsid w:val="00D062BD"/>
    <w:rsid w:val="00D06C1A"/>
    <w:rsid w:val="00D14F34"/>
    <w:rsid w:val="00D22B72"/>
    <w:rsid w:val="00D30A11"/>
    <w:rsid w:val="00D3214A"/>
    <w:rsid w:val="00D43519"/>
    <w:rsid w:val="00D52587"/>
    <w:rsid w:val="00D54AD6"/>
    <w:rsid w:val="00D571CC"/>
    <w:rsid w:val="00D613D4"/>
    <w:rsid w:val="00D65C0E"/>
    <w:rsid w:val="00D739BB"/>
    <w:rsid w:val="00D73AFE"/>
    <w:rsid w:val="00D76987"/>
    <w:rsid w:val="00D837D0"/>
    <w:rsid w:val="00D87119"/>
    <w:rsid w:val="00D91F3E"/>
    <w:rsid w:val="00D93B95"/>
    <w:rsid w:val="00D97BD5"/>
    <w:rsid w:val="00DA2352"/>
    <w:rsid w:val="00DA44EA"/>
    <w:rsid w:val="00DA621B"/>
    <w:rsid w:val="00DA6FA8"/>
    <w:rsid w:val="00DB64BF"/>
    <w:rsid w:val="00DB64E1"/>
    <w:rsid w:val="00DC4518"/>
    <w:rsid w:val="00DC5A1B"/>
    <w:rsid w:val="00DD02C0"/>
    <w:rsid w:val="00DD384B"/>
    <w:rsid w:val="00DD3EF5"/>
    <w:rsid w:val="00DD4CC4"/>
    <w:rsid w:val="00DD6C95"/>
    <w:rsid w:val="00DE22E6"/>
    <w:rsid w:val="00DE5929"/>
    <w:rsid w:val="00DF4DF8"/>
    <w:rsid w:val="00E00BE5"/>
    <w:rsid w:val="00E00E86"/>
    <w:rsid w:val="00E03170"/>
    <w:rsid w:val="00E1325E"/>
    <w:rsid w:val="00E201D4"/>
    <w:rsid w:val="00E22425"/>
    <w:rsid w:val="00E279F0"/>
    <w:rsid w:val="00E32DD0"/>
    <w:rsid w:val="00E37947"/>
    <w:rsid w:val="00E42B25"/>
    <w:rsid w:val="00E435E8"/>
    <w:rsid w:val="00E522E1"/>
    <w:rsid w:val="00E54020"/>
    <w:rsid w:val="00E66109"/>
    <w:rsid w:val="00E6673E"/>
    <w:rsid w:val="00E72BF1"/>
    <w:rsid w:val="00E73E70"/>
    <w:rsid w:val="00E83002"/>
    <w:rsid w:val="00E83DF1"/>
    <w:rsid w:val="00E84776"/>
    <w:rsid w:val="00E85618"/>
    <w:rsid w:val="00E90C3C"/>
    <w:rsid w:val="00EC65ED"/>
    <w:rsid w:val="00ED0F66"/>
    <w:rsid w:val="00EE7919"/>
    <w:rsid w:val="00EF0104"/>
    <w:rsid w:val="00EF0FE2"/>
    <w:rsid w:val="00F21979"/>
    <w:rsid w:val="00F244CB"/>
    <w:rsid w:val="00F31BA5"/>
    <w:rsid w:val="00F466EE"/>
    <w:rsid w:val="00F46A19"/>
    <w:rsid w:val="00F53357"/>
    <w:rsid w:val="00F54611"/>
    <w:rsid w:val="00F57CAE"/>
    <w:rsid w:val="00F70FF9"/>
    <w:rsid w:val="00F81C0B"/>
    <w:rsid w:val="00F83EE7"/>
    <w:rsid w:val="00F85217"/>
    <w:rsid w:val="00FA3B02"/>
    <w:rsid w:val="00FC1706"/>
    <w:rsid w:val="00FF1397"/>
    <w:rsid w:val="00FF13BF"/>
    <w:rsid w:val="0114231E"/>
    <w:rsid w:val="086F1377"/>
    <w:rsid w:val="0E0B2027"/>
    <w:rsid w:val="13FD3F6D"/>
    <w:rsid w:val="14D26F15"/>
    <w:rsid w:val="17DE3E23"/>
    <w:rsid w:val="1A6644AB"/>
    <w:rsid w:val="1BCE13C9"/>
    <w:rsid w:val="290A78CD"/>
    <w:rsid w:val="29C71DF6"/>
    <w:rsid w:val="344A43D0"/>
    <w:rsid w:val="35C54C53"/>
    <w:rsid w:val="385343A3"/>
    <w:rsid w:val="399D6E23"/>
    <w:rsid w:val="3BA70186"/>
    <w:rsid w:val="42823301"/>
    <w:rsid w:val="47A5259D"/>
    <w:rsid w:val="4E260723"/>
    <w:rsid w:val="52792E56"/>
    <w:rsid w:val="57797EEB"/>
    <w:rsid w:val="5F230066"/>
    <w:rsid w:val="60D82A72"/>
    <w:rsid w:val="611E4E23"/>
    <w:rsid w:val="64B81B81"/>
    <w:rsid w:val="655A40B6"/>
    <w:rsid w:val="72D27981"/>
    <w:rsid w:val="75681F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D52C6"/>
  <w15:docId w15:val="{4257C3EE-8340-4C7E-861E-AB222D9C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qFormat/>
    <w:rPr>
      <w:color w:val="0563C1"/>
      <w:u w:val="single"/>
    </w:rPr>
  </w:style>
  <w:style w:type="character" w:styleId="af1">
    <w:name w:val="annotation reference"/>
    <w:uiPriority w:val="99"/>
    <w:semiHidden/>
    <w:unhideWhenUsed/>
    <w:qFormat/>
    <w:rPr>
      <w:sz w:val="21"/>
      <w:szCs w:val="21"/>
    </w:rPr>
  </w:style>
  <w:style w:type="paragraph" w:customStyle="1" w:styleId="1">
    <w:name w:val="列出段落1"/>
    <w:basedOn w:val="a"/>
    <w:uiPriority w:val="34"/>
    <w:qFormat/>
    <w:pPr>
      <w:ind w:firstLineChars="200" w:firstLine="420"/>
    </w:pPr>
  </w:style>
  <w:style w:type="character" w:customStyle="1" w:styleId="aa">
    <w:name w:val="页眉 字符"/>
    <w:link w:val="a9"/>
    <w:uiPriority w:val="99"/>
    <w:qFormat/>
    <w:rPr>
      <w:sz w:val="18"/>
      <w:szCs w:val="18"/>
    </w:rPr>
  </w:style>
  <w:style w:type="character" w:customStyle="1" w:styleId="a8">
    <w:name w:val="页脚 字符"/>
    <w:link w:val="a7"/>
    <w:uiPriority w:val="99"/>
    <w:qFormat/>
    <w:rPr>
      <w:sz w:val="18"/>
      <w:szCs w:val="18"/>
    </w:rPr>
  </w:style>
  <w:style w:type="character" w:customStyle="1" w:styleId="a4">
    <w:name w:val="批注文字 字符"/>
    <w:link w:val="a3"/>
    <w:uiPriority w:val="99"/>
    <w:semiHidden/>
    <w:qFormat/>
    <w:rPr>
      <w:kern w:val="2"/>
      <w:sz w:val="21"/>
      <w:szCs w:val="22"/>
    </w:rPr>
  </w:style>
  <w:style w:type="character" w:customStyle="1" w:styleId="ac">
    <w:name w:val="批注主题 字符"/>
    <w:link w:val="ab"/>
    <w:uiPriority w:val="99"/>
    <w:semiHidden/>
    <w:qFormat/>
    <w:rPr>
      <w:b/>
      <w:bCs/>
      <w:kern w:val="2"/>
      <w:sz w:val="21"/>
      <w:szCs w:val="22"/>
    </w:rPr>
  </w:style>
  <w:style w:type="character" w:customStyle="1" w:styleId="a6">
    <w:name w:val="批注框文本 字符"/>
    <w:link w:val="a5"/>
    <w:uiPriority w:val="99"/>
    <w:semiHidden/>
    <w:qFormat/>
    <w:rPr>
      <w:kern w:val="2"/>
      <w:sz w:val="18"/>
      <w:szCs w:val="18"/>
    </w:rPr>
  </w:style>
  <w:style w:type="character" w:customStyle="1" w:styleId="intbody1">
    <w:name w:val="intbody1"/>
    <w:qFormat/>
    <w:rPr>
      <w:rFonts w:ascii="Arial" w:hAnsi="Arial" w:cs="Arial" w:hint="default"/>
      <w:color w:val="000000"/>
      <w:sz w:val="18"/>
      <w:szCs w:val="18"/>
    </w:rPr>
  </w:style>
  <w:style w:type="paragraph" w:styleId="af2">
    <w:name w:val="List Paragraph"/>
    <w:basedOn w:val="a"/>
    <w:uiPriority w:val="99"/>
    <w:unhideWhenUsed/>
    <w:rsid w:val="00D3214A"/>
    <w:pPr>
      <w:ind w:firstLineChars="200" w:firstLine="420"/>
    </w:pPr>
  </w:style>
  <w:style w:type="paragraph" w:customStyle="1" w:styleId="ds-markdown-paragraph">
    <w:name w:val="ds-markdown-paragraph"/>
    <w:basedOn w:val="a"/>
    <w:rsid w:val="00140B68"/>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645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9</Pages>
  <Words>2249</Words>
  <Characters>12824</Characters>
  <Application>Microsoft Office Word</Application>
  <DocSecurity>0</DocSecurity>
  <Lines>106</Lines>
  <Paragraphs>30</Paragraphs>
  <ScaleCrop>false</ScaleCrop>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请你们李志</dc:creator>
  <cp:lastModifiedBy>admin</cp:lastModifiedBy>
  <cp:revision>17</cp:revision>
  <dcterms:created xsi:type="dcterms:W3CDTF">2026-07-23T04:04:00Z</dcterms:created>
  <dcterms:modified xsi:type="dcterms:W3CDTF">2026-07-24T01:29:00Z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eyJoZGlkIjoiMzA3N2M2ZTZiZTMwYzgzZmZjZTU1YjJjNmM5NDk0ODQiLCJ1c2VySWQiOiI3NDQyMjcwNTgifQ==</vt:lpwstr>
  </property>
  <property fmtid="{D5CDD505-2E9C-101B-9397-08002B2CF9AE}" pid="3" name="KSOProductBuildVer">
    <vt:lpwstr>2052-12.1.0.26895</vt:lpwstr>
  </property>
  <property fmtid="{D5CDD505-2E9C-101B-9397-08002B2CF9AE}" pid="4" name="ICV">
    <vt:lpwstr>F7099B550B9F440D89C012B0F6201C6B_13</vt:lpwstr>
  </property>
</Properties>
</file>