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995A92">
      <w:pPr>
        <w:pStyle w:val="45"/>
        <w:jc w:val="center"/>
        <w:rPr>
          <w:rFonts w:ascii="宋体" w:hAnsi="宋体" w:eastAsia="宋体"/>
          <w:b/>
          <w:bCs w:val="0"/>
          <w:color w:val="000000" w:themeColor="text1"/>
          <w:szCs w:val="32"/>
          <w14:textFill>
            <w14:solidFill>
              <w14:schemeClr w14:val="tx1"/>
            </w14:solidFill>
          </w14:textFill>
        </w:rPr>
      </w:pPr>
      <w:r>
        <w:rPr>
          <w:rFonts w:ascii="Times New Roman" w:hAnsi="Times New Roman" w:eastAsia="宋体"/>
          <w:color w:val="000000" w:themeColor="text1"/>
          <w:szCs w:val="32"/>
          <w14:textFill>
            <w14:solidFill>
              <w14:schemeClr w14:val="tx1"/>
            </w14:solidFill>
          </w14:textFill>
        </w:rPr>
        <w:t>Zernike</w:t>
      </w:r>
      <w:r>
        <w:rPr>
          <w:rFonts w:ascii="宋体" w:hAnsi="宋体" w:eastAsia="宋体"/>
          <w:b/>
          <w:bCs w:val="0"/>
          <w:color w:val="000000" w:themeColor="text1"/>
          <w:szCs w:val="32"/>
          <w14:textFill>
            <w14:solidFill>
              <w14:schemeClr w14:val="tx1"/>
            </w14:solidFill>
          </w14:textFill>
        </w:rPr>
        <w:t>多项式</w:t>
      </w:r>
      <w:r>
        <w:rPr>
          <w:rFonts w:hint="eastAsia" w:ascii="宋体" w:hAnsi="宋体" w:eastAsia="宋体"/>
          <w:b/>
          <w:bCs w:val="0"/>
          <w:color w:val="000000" w:themeColor="text1"/>
          <w:szCs w:val="32"/>
          <w14:textFill>
            <w14:solidFill>
              <w14:schemeClr w14:val="tx1"/>
            </w14:solidFill>
          </w14:textFill>
        </w:rPr>
        <w:t>在光学系统中的</w:t>
      </w:r>
      <w:r>
        <w:rPr>
          <w:rFonts w:ascii="宋体" w:hAnsi="宋体" w:eastAsia="宋体"/>
          <w:b/>
          <w:bCs w:val="0"/>
          <w:color w:val="000000" w:themeColor="text1"/>
          <w:szCs w:val="32"/>
          <w14:textFill>
            <w14:solidFill>
              <w14:schemeClr w14:val="tx1"/>
            </w14:solidFill>
          </w14:textFill>
        </w:rPr>
        <w:t>应用</w:t>
      </w:r>
      <w:r>
        <w:rPr>
          <w:rFonts w:hint="eastAsia" w:ascii="宋体" w:hAnsi="宋体" w:eastAsia="宋体"/>
          <w:b/>
          <w:bCs w:val="0"/>
          <w:color w:val="000000" w:themeColor="text1"/>
          <w:szCs w:val="32"/>
          <w14:textFill>
            <w14:solidFill>
              <w14:schemeClr w14:val="tx1"/>
            </w14:solidFill>
          </w14:textFill>
        </w:rPr>
        <w:t>研究</w:t>
      </w:r>
    </w:p>
    <w:p w14:paraId="4FDF8308">
      <w:pPr>
        <w:pStyle w:val="65"/>
        <w:spacing w:line="300" w:lineRule="exact"/>
        <w:ind w:firstLine="0" w:firstLineChars="0"/>
        <w:jc w:val="center"/>
        <w:rPr>
          <w:rFonts w:ascii="楷体" w:hAnsi="楷体" w:eastAsia="楷体"/>
          <w:color w:val="000000" w:themeColor="text1"/>
          <w:sz w:val="24"/>
          <w:szCs w:val="24"/>
          <w:vertAlign w:val="superscript"/>
          <w14:textFill>
            <w14:solidFill>
              <w14:schemeClr w14:val="tx1"/>
            </w14:solidFill>
          </w14:textFill>
        </w:rPr>
      </w:pPr>
      <w:r>
        <w:rPr>
          <w:rFonts w:hint="eastAsia" w:ascii="楷体" w:hAnsi="楷体" w:eastAsia="楷体"/>
          <w:color w:val="000000" w:themeColor="text1"/>
          <w:sz w:val="24"/>
          <w:szCs w:val="24"/>
          <w14:textFill>
            <w14:solidFill>
              <w14:schemeClr w14:val="tx1"/>
            </w14:solidFill>
          </w14:textFill>
        </w:rPr>
        <w:t>祝战科</w:t>
      </w:r>
      <w:r>
        <w:rPr>
          <w:rFonts w:hint="eastAsia" w:ascii="楷体" w:hAnsi="楷体" w:eastAsia="楷体"/>
          <w:color w:val="000000" w:themeColor="text1"/>
          <w:sz w:val="24"/>
          <w:szCs w:val="24"/>
          <w:vertAlign w:val="superscript"/>
          <w14:textFill>
            <w14:solidFill>
              <w14:schemeClr w14:val="tx1"/>
            </w14:solidFill>
          </w14:textFill>
        </w:rPr>
        <w:t>1</w:t>
      </w:r>
      <w:r>
        <w:rPr>
          <w:rFonts w:hint="eastAsia" w:ascii="楷体" w:hAnsi="楷体" w:eastAsia="楷体"/>
          <w:color w:val="000000" w:themeColor="text1"/>
          <w:sz w:val="24"/>
          <w:szCs w:val="24"/>
          <w14:textFill>
            <w14:solidFill>
              <w14:schemeClr w14:val="tx1"/>
            </w14:solidFill>
          </w14:textFill>
        </w:rPr>
        <w:t>，金熙</w:t>
      </w:r>
      <w:r>
        <w:rPr>
          <w:rFonts w:hint="eastAsia" w:ascii="楷体" w:hAnsi="楷体" w:eastAsia="楷体"/>
          <w:color w:val="000000" w:themeColor="text1"/>
          <w:sz w:val="24"/>
          <w:szCs w:val="24"/>
          <w:vertAlign w:val="superscript"/>
          <w14:textFill>
            <w14:solidFill>
              <w14:schemeClr w14:val="tx1"/>
            </w14:solidFill>
          </w14:textFill>
        </w:rPr>
        <w:t>2*</w:t>
      </w:r>
      <w:r>
        <w:rPr>
          <w:rFonts w:hint="eastAsia" w:ascii="楷体" w:hAnsi="楷体" w:eastAsia="楷体"/>
          <w:color w:val="000000" w:themeColor="text1"/>
          <w:sz w:val="24"/>
          <w:szCs w:val="24"/>
          <w14:textFill>
            <w14:solidFill>
              <w14:schemeClr w14:val="tx1"/>
            </w14:solidFill>
          </w14:textFill>
        </w:rPr>
        <w:t>，柯熙政</w:t>
      </w:r>
      <w:r>
        <w:rPr>
          <w:rFonts w:hint="eastAsia" w:ascii="楷体" w:hAnsi="楷体" w:eastAsia="楷体"/>
          <w:color w:val="000000" w:themeColor="text1"/>
          <w:sz w:val="24"/>
          <w:szCs w:val="24"/>
          <w:vertAlign w:val="superscript"/>
          <w14:textFill>
            <w14:solidFill>
              <w14:schemeClr w14:val="tx1"/>
            </w14:solidFill>
          </w14:textFill>
        </w:rPr>
        <w:t>2,3</w:t>
      </w:r>
    </w:p>
    <w:p w14:paraId="72D65598">
      <w:pPr>
        <w:autoSpaceDE w:val="0"/>
        <w:autoSpaceDN w:val="0"/>
        <w:adjustRightInd w:val="0"/>
        <w:snapToGrid w:val="0"/>
        <w:spacing w:line="300" w:lineRule="exact"/>
        <w:jc w:val="center"/>
        <w:rPr>
          <w:rFonts w:ascii="宋体" w:hAnsi="宋体" w:eastAsia="宋体" w:cs="Times New Roman"/>
          <w:color w:val="000000" w:themeColor="text1"/>
          <w:sz w:val="15"/>
          <w:szCs w:val="15"/>
          <w14:textFill>
            <w14:solidFill>
              <w14:schemeClr w14:val="tx1"/>
            </w14:solidFill>
          </w14:textFill>
        </w:rPr>
      </w:pPr>
      <w:r>
        <w:rPr>
          <w:rFonts w:hint="eastAsia" w:ascii="宋体" w:hAnsi="宋体" w:eastAsia="宋体" w:cs="Times New Roman"/>
          <w:color w:val="000000" w:themeColor="text1"/>
          <w:sz w:val="15"/>
          <w:szCs w:val="15"/>
          <w14:textFill>
            <w14:solidFill>
              <w14:schemeClr w14:val="tx1"/>
            </w14:solidFill>
          </w14:textFill>
        </w:rPr>
        <w:t>1.</w:t>
      </w:r>
      <w:bookmarkStart w:id="0" w:name="_Hlk183190255"/>
      <w:r>
        <w:rPr>
          <w:rFonts w:hint="eastAsia" w:ascii="宋体" w:hAnsi="宋体" w:eastAsia="宋体" w:cs="Times New Roman"/>
          <w:color w:val="000000" w:themeColor="text1"/>
          <w:sz w:val="15"/>
          <w:szCs w:val="15"/>
          <w14:textFill>
            <w14:solidFill>
              <w14:schemeClr w14:val="tx1"/>
            </w14:solidFill>
          </w14:textFill>
        </w:rPr>
        <w:t>陕西工业职业技术</w:t>
      </w:r>
      <w:bookmarkStart w:id="1" w:name="OLE_LINK11"/>
      <w:r>
        <w:rPr>
          <w:rFonts w:hint="eastAsia" w:ascii="宋体" w:hAnsi="宋体" w:eastAsia="宋体" w:cs="Times New Roman"/>
          <w:color w:val="000000" w:themeColor="text1"/>
          <w:sz w:val="15"/>
          <w:szCs w:val="15"/>
          <w14:textFill>
            <w14:solidFill>
              <w14:schemeClr w14:val="tx1"/>
            </w14:solidFill>
          </w14:textFill>
        </w:rPr>
        <w:t>大学</w:t>
      </w:r>
      <w:r>
        <w:rPr>
          <w:rFonts w:ascii="宋体" w:hAnsi="宋体" w:eastAsia="宋体" w:cs="Times New Roman"/>
          <w:color w:val="000000" w:themeColor="text1"/>
          <w:sz w:val="15"/>
          <w:szCs w:val="15"/>
          <w14:textFill>
            <w14:solidFill>
              <w14:schemeClr w14:val="tx1"/>
            </w14:solidFill>
          </w14:textFill>
        </w:rPr>
        <w:t>航空工程学院</w:t>
      </w:r>
      <w:bookmarkEnd w:id="0"/>
      <w:bookmarkEnd w:id="1"/>
      <w:r>
        <w:rPr>
          <w:rFonts w:hint="eastAsia" w:ascii="宋体" w:hAnsi="宋体" w:eastAsia="宋体" w:cs="Times New Roman"/>
          <w:color w:val="000000" w:themeColor="text1"/>
          <w:sz w:val="15"/>
          <w:szCs w:val="15"/>
          <w14:textFill>
            <w14:solidFill>
              <w14:schemeClr w14:val="tx1"/>
            </w14:solidFill>
          </w14:textFill>
        </w:rPr>
        <w:t>，陕西 咸阳 712000；</w:t>
      </w:r>
    </w:p>
    <w:p w14:paraId="16B06001">
      <w:pPr>
        <w:autoSpaceDE w:val="0"/>
        <w:autoSpaceDN w:val="0"/>
        <w:adjustRightInd w:val="0"/>
        <w:snapToGrid w:val="0"/>
        <w:spacing w:line="300" w:lineRule="exact"/>
        <w:jc w:val="center"/>
        <w:rPr>
          <w:rFonts w:ascii="宋体" w:hAnsi="宋体" w:eastAsia="宋体" w:cs="Times New Roman"/>
          <w:color w:val="000000" w:themeColor="text1"/>
          <w:sz w:val="15"/>
          <w:szCs w:val="15"/>
          <w14:textFill>
            <w14:solidFill>
              <w14:schemeClr w14:val="tx1"/>
            </w14:solidFill>
          </w14:textFill>
        </w:rPr>
      </w:pPr>
      <w:r>
        <w:rPr>
          <w:rFonts w:hint="eastAsia" w:ascii="宋体" w:hAnsi="宋体" w:eastAsia="宋体" w:cs="Times New Roman"/>
          <w:color w:val="000000" w:themeColor="text1"/>
          <w:sz w:val="15"/>
          <w:szCs w:val="15"/>
          <w14:textFill>
            <w14:solidFill>
              <w14:schemeClr w14:val="tx1"/>
            </w14:solidFill>
          </w14:textFill>
        </w:rPr>
        <w:t>2.西安理工大学自动化与信息工程学院，西安 710048；</w:t>
      </w:r>
    </w:p>
    <w:p w14:paraId="770267D2">
      <w:pPr>
        <w:autoSpaceDE w:val="0"/>
        <w:autoSpaceDN w:val="0"/>
        <w:adjustRightInd w:val="0"/>
        <w:snapToGrid w:val="0"/>
        <w:spacing w:line="300" w:lineRule="exact"/>
        <w:jc w:val="center"/>
        <w:rPr>
          <w:rFonts w:ascii="宋体" w:hAnsi="宋体" w:eastAsia="宋体" w:cs="Times New Roman"/>
          <w:color w:val="000000" w:themeColor="text1"/>
          <w:sz w:val="15"/>
          <w:szCs w:val="15"/>
          <w14:textFill>
            <w14:solidFill>
              <w14:schemeClr w14:val="tx1"/>
            </w14:solidFill>
          </w14:textFill>
        </w:rPr>
      </w:pPr>
      <w:r>
        <w:rPr>
          <w:rFonts w:hint="eastAsia" w:ascii="宋体" w:hAnsi="宋体" w:eastAsia="宋体" w:cs="Times New Roman"/>
          <w:color w:val="000000" w:themeColor="text1"/>
          <w:sz w:val="15"/>
          <w:szCs w:val="15"/>
          <w14:textFill>
            <w14:solidFill>
              <w14:schemeClr w14:val="tx1"/>
            </w14:solidFill>
          </w14:textFill>
        </w:rPr>
        <w:t>3.陕西省智能协同网络军民共建重点实验室，西安 710048；</w:t>
      </w:r>
    </w:p>
    <w:p w14:paraId="3255D482">
      <w:pPr>
        <w:autoSpaceDE w:val="0"/>
        <w:autoSpaceDN w:val="0"/>
        <w:adjustRightInd w:val="0"/>
        <w:snapToGrid w:val="0"/>
        <w:spacing w:line="300" w:lineRule="exact"/>
        <w:rPr>
          <w:rFonts w:ascii="仿宋" w:hAnsi="仿宋" w:eastAsia="仿宋" w:cs="Times New Roman"/>
          <w:iCs/>
          <w:color w:val="000000" w:themeColor="text1"/>
          <w14:textFill>
            <w14:solidFill>
              <w14:schemeClr w14:val="tx1"/>
            </w14:solidFill>
          </w14:textFill>
        </w:rPr>
      </w:pPr>
      <w:r>
        <w:rPr>
          <w:rFonts w:ascii="黑体" w:hAnsi="黑体" w:eastAsia="黑体" w:cs="Times New Roman"/>
          <w:color w:val="000000" w:themeColor="text1"/>
          <w:sz w:val="20"/>
          <w:szCs w:val="20"/>
          <w14:textFill>
            <w14:solidFill>
              <w14:schemeClr w14:val="tx1"/>
            </w14:solidFill>
          </w14:textFill>
        </w:rPr>
        <w:t>摘 要</w:t>
      </w:r>
      <w:r>
        <w:rPr>
          <w:rFonts w:ascii="宋体" w:hAnsi="宋体" w:eastAsia="宋体" w:cs="Times New Roman"/>
          <w:color w:val="000000" w:themeColor="text1"/>
          <w:sz w:val="18"/>
          <w:szCs w:val="18"/>
          <w14:textFill>
            <w14:solidFill>
              <w14:schemeClr w14:val="tx1"/>
            </w14:solidFill>
          </w14:textFill>
        </w:rPr>
        <w:t>：</w:t>
      </w:r>
      <w:bookmarkStart w:id="2" w:name="OLE_LINK4"/>
      <w:bookmarkStart w:id="3" w:name="OLE_LINK10"/>
      <w:r>
        <w:rPr>
          <w:rFonts w:ascii="楷体" w:hAnsi="楷体" w:eastAsia="楷体" w:cs="Times New Roman"/>
          <w:iCs/>
          <w:color w:val="000000" w:themeColor="text1"/>
          <w:sz w:val="18"/>
          <w:szCs w:val="18"/>
          <w14:textFill>
            <w14:solidFill>
              <w14:schemeClr w14:val="tx1"/>
            </w14:solidFill>
          </w14:textFill>
        </w:rPr>
        <w:t>Zernike多项式具有正交性、</w:t>
      </w:r>
      <w:r>
        <w:rPr>
          <w:rFonts w:hint="eastAsia" w:ascii="楷体" w:hAnsi="楷体" w:eastAsia="楷体" w:cs="Times New Roman"/>
          <w:iCs/>
          <w:color w:val="000000" w:themeColor="text1"/>
          <w:sz w:val="18"/>
          <w:szCs w:val="18"/>
          <w14:textFill>
            <w14:solidFill>
              <w14:schemeClr w14:val="tx1"/>
            </w14:solidFill>
          </w14:textFill>
        </w:rPr>
        <w:t>旋转对称</w:t>
      </w:r>
      <w:r>
        <w:rPr>
          <w:rFonts w:ascii="楷体" w:hAnsi="楷体" w:eastAsia="楷体" w:cs="Times New Roman"/>
          <w:iCs/>
          <w:color w:val="000000" w:themeColor="text1"/>
          <w:sz w:val="18"/>
          <w:szCs w:val="18"/>
          <w14:textFill>
            <w14:solidFill>
              <w14:schemeClr w14:val="tx1"/>
            </w14:solidFill>
          </w14:textFill>
        </w:rPr>
        <w:t>性</w:t>
      </w:r>
      <w:r>
        <w:rPr>
          <w:rFonts w:hint="eastAsia" w:ascii="楷体" w:hAnsi="楷体" w:eastAsia="楷体" w:cs="Times New Roman"/>
          <w:iCs/>
          <w:color w:val="000000" w:themeColor="text1"/>
          <w:sz w:val="18"/>
          <w:szCs w:val="18"/>
          <w14:textFill>
            <w14:solidFill>
              <w14:schemeClr w14:val="tx1"/>
            </w14:solidFill>
          </w14:textFill>
        </w:rPr>
        <w:t>等</w:t>
      </w:r>
      <w:r>
        <w:rPr>
          <w:rFonts w:ascii="楷体" w:hAnsi="楷体" w:eastAsia="楷体" w:cs="Times New Roman"/>
          <w:iCs/>
          <w:color w:val="000000" w:themeColor="text1"/>
          <w:sz w:val="18"/>
          <w:szCs w:val="18"/>
          <w14:textFill>
            <w14:solidFill>
              <w14:schemeClr w14:val="tx1"/>
            </w14:solidFill>
          </w14:textFill>
        </w:rPr>
        <w:t>性质</w:t>
      </w:r>
      <w:r>
        <w:rPr>
          <w:rFonts w:hint="eastAsia" w:ascii="楷体" w:hAnsi="楷体" w:eastAsia="楷体" w:cs="Times New Roman"/>
          <w:iCs/>
          <w:color w:val="000000" w:themeColor="text1"/>
          <w:sz w:val="18"/>
          <w:szCs w:val="18"/>
          <w14:textFill>
            <w14:solidFill>
              <w14:schemeClr w14:val="tx1"/>
            </w14:solidFill>
          </w14:textFill>
        </w:rPr>
        <w:t>，可以</w:t>
      </w:r>
      <w:r>
        <w:rPr>
          <w:rFonts w:ascii="楷体" w:hAnsi="楷体" w:eastAsia="楷体" w:cs="Times New Roman"/>
          <w:iCs/>
          <w:color w:val="000000" w:themeColor="text1"/>
          <w:sz w:val="18"/>
          <w:szCs w:val="18"/>
          <w14:textFill>
            <w14:solidFill>
              <w14:schemeClr w14:val="tx1"/>
            </w14:solidFill>
          </w14:textFill>
        </w:rPr>
        <w:t>将复杂的</w:t>
      </w:r>
      <w:r>
        <w:rPr>
          <w:rFonts w:hint="eastAsia" w:ascii="楷体" w:hAnsi="楷体" w:eastAsia="楷体" w:cs="Times New Roman"/>
          <w:iCs/>
          <w:color w:val="000000" w:themeColor="text1"/>
          <w:sz w:val="18"/>
          <w:szCs w:val="18"/>
          <w14:textFill>
            <w14:solidFill>
              <w14:schemeClr w14:val="tx1"/>
            </w14:solidFill>
          </w14:textFill>
        </w:rPr>
        <w:t>光学</w:t>
      </w:r>
      <w:r>
        <w:rPr>
          <w:rFonts w:ascii="楷体" w:hAnsi="楷体" w:eastAsia="楷体" w:cs="Times New Roman"/>
          <w:iCs/>
          <w:color w:val="000000" w:themeColor="text1"/>
          <w:sz w:val="18"/>
          <w:szCs w:val="18"/>
          <w14:textFill>
            <w14:solidFill>
              <w14:schemeClr w14:val="tx1"/>
            </w14:solidFill>
          </w14:textFill>
        </w:rPr>
        <w:t>波前转化为可解析的数学模式，为</w:t>
      </w:r>
      <w:r>
        <w:rPr>
          <w:rFonts w:hint="eastAsia" w:ascii="楷体" w:hAnsi="楷体" w:eastAsia="楷体" w:cs="Times New Roman"/>
          <w:iCs/>
          <w:color w:val="000000" w:themeColor="text1"/>
          <w:sz w:val="18"/>
          <w:szCs w:val="18"/>
          <w14:textFill>
            <w14:solidFill>
              <w14:schemeClr w14:val="tx1"/>
            </w14:solidFill>
          </w14:textFill>
        </w:rPr>
        <w:t>光学</w:t>
      </w:r>
      <w:r>
        <w:rPr>
          <w:rFonts w:ascii="楷体" w:hAnsi="楷体" w:eastAsia="楷体" w:cs="Times New Roman"/>
          <w:iCs/>
          <w:color w:val="000000" w:themeColor="text1"/>
          <w:sz w:val="18"/>
          <w:szCs w:val="18"/>
          <w14:textFill>
            <w14:solidFill>
              <w14:schemeClr w14:val="tx1"/>
            </w14:solidFill>
          </w14:textFill>
        </w:rPr>
        <w:t>系统设计、误差诊断与实时控制提供理论框架。本文</w:t>
      </w:r>
      <w:r>
        <w:rPr>
          <w:rFonts w:hint="eastAsia" w:ascii="楷体" w:hAnsi="楷体" w:eastAsia="楷体" w:cs="Times New Roman"/>
          <w:iCs/>
          <w:color w:val="000000" w:themeColor="text1"/>
          <w:sz w:val="18"/>
          <w:szCs w:val="18"/>
          <w14:textFill>
            <w14:solidFill>
              <w14:schemeClr w14:val="tx1"/>
            </w14:solidFill>
          </w14:textFill>
        </w:rPr>
        <w:t>介绍了</w:t>
      </w:r>
      <w:r>
        <w:rPr>
          <w:rFonts w:ascii="楷体" w:hAnsi="楷体" w:eastAsia="楷体" w:cs="Times New Roman"/>
          <w:iCs/>
          <w:color w:val="000000" w:themeColor="text1"/>
          <w:sz w:val="18"/>
          <w:szCs w:val="18"/>
          <w14:textFill>
            <w14:solidFill>
              <w14:schemeClr w14:val="tx1"/>
            </w14:solidFill>
          </w14:textFill>
        </w:rPr>
        <w:t>Zernike多项式在光学系统中</w:t>
      </w:r>
      <w:r>
        <w:rPr>
          <w:rFonts w:hint="eastAsia" w:ascii="楷体" w:hAnsi="楷体" w:eastAsia="楷体" w:cs="Times New Roman"/>
          <w:iCs/>
          <w:color w:val="000000" w:themeColor="text1"/>
          <w:sz w:val="18"/>
          <w:szCs w:val="18"/>
          <w14:textFill>
            <w14:solidFill>
              <w14:schemeClr w14:val="tx1"/>
            </w14:solidFill>
          </w14:textFill>
        </w:rPr>
        <w:t>的波前像差的描述、波面拟合、波前重构、光学图像处理以及在眼科光学中的应用与进展，最后结合实际</w:t>
      </w:r>
      <w:r>
        <w:rPr>
          <w:rFonts w:hint="eastAsia" w:ascii="楷体" w:hAnsi="楷体" w:eastAsia="楷体" w:cs="Times New Roman"/>
          <w:color w:val="000000" w:themeColor="text1"/>
          <w:sz w:val="18"/>
          <w:szCs w:val="18"/>
          <w14:textFill>
            <w14:solidFill>
              <w14:schemeClr w14:val="tx1"/>
            </w14:solidFill>
          </w14:textFill>
        </w:rPr>
        <w:t>提出</w:t>
      </w:r>
      <w:r>
        <w:rPr>
          <w:rFonts w:ascii="楷体" w:hAnsi="楷体" w:eastAsia="楷体" w:cs="Times New Roman"/>
          <w:iCs/>
          <w:color w:val="000000" w:themeColor="text1"/>
          <w:sz w:val="18"/>
          <w:szCs w:val="18"/>
          <w14:textFill>
            <w14:solidFill>
              <w14:schemeClr w14:val="tx1"/>
            </w14:solidFill>
          </w14:textFill>
        </w:rPr>
        <w:t>Zernike</w:t>
      </w:r>
      <w:r>
        <w:rPr>
          <w:rFonts w:ascii="楷体" w:hAnsi="楷体" w:eastAsia="楷体" w:cs="Times New Roman"/>
          <w:color w:val="000000" w:themeColor="text1"/>
          <w:sz w:val="18"/>
          <w:szCs w:val="18"/>
          <w14:textFill>
            <w14:solidFill>
              <w14:schemeClr w14:val="tx1"/>
            </w14:solidFill>
          </w14:textFill>
        </w:rPr>
        <w:t>多项式在</w:t>
      </w:r>
      <w:r>
        <w:rPr>
          <w:rFonts w:hint="eastAsia" w:ascii="楷体" w:hAnsi="楷体" w:eastAsia="楷体" w:cs="Times New Roman"/>
          <w:color w:val="000000" w:themeColor="text1"/>
          <w:sz w:val="18"/>
          <w:szCs w:val="18"/>
          <w14:textFill>
            <w14:solidFill>
              <w14:schemeClr w14:val="tx1"/>
            </w14:solidFill>
          </w14:textFill>
        </w:rPr>
        <w:t>应用过程中存在的问题以及展望未来的</w:t>
      </w:r>
      <w:r>
        <w:rPr>
          <w:rFonts w:ascii="楷体" w:hAnsi="楷体" w:eastAsia="楷体" w:cs="Times New Roman"/>
          <w:color w:val="000000" w:themeColor="text1"/>
          <w:sz w:val="18"/>
          <w:szCs w:val="18"/>
          <w14:textFill>
            <w14:solidFill>
              <w14:schemeClr w14:val="tx1"/>
            </w14:solidFill>
          </w14:textFill>
        </w:rPr>
        <w:t>发展</w:t>
      </w:r>
      <w:r>
        <w:rPr>
          <w:rFonts w:hint="eastAsia" w:ascii="楷体" w:hAnsi="楷体" w:eastAsia="楷体" w:cs="Times New Roman"/>
          <w:color w:val="000000" w:themeColor="text1"/>
          <w:sz w:val="18"/>
          <w:szCs w:val="18"/>
          <w14:textFill>
            <w14:solidFill>
              <w14:schemeClr w14:val="tx1"/>
            </w14:solidFill>
          </w14:textFill>
        </w:rPr>
        <w:t>方向</w:t>
      </w:r>
      <w:r>
        <w:rPr>
          <w:rFonts w:ascii="楷体" w:hAnsi="楷体" w:eastAsia="楷体" w:cs="Times New Roman"/>
          <w:iCs/>
          <w:color w:val="000000" w:themeColor="text1"/>
          <w:sz w:val="18"/>
          <w:szCs w:val="18"/>
          <w14:textFill>
            <w14:solidFill>
              <w14:schemeClr w14:val="tx1"/>
            </w14:solidFill>
          </w14:textFill>
        </w:rPr>
        <w:t>。</w:t>
      </w:r>
      <w:bookmarkEnd w:id="2"/>
    </w:p>
    <w:bookmarkEnd w:id="3"/>
    <w:p w14:paraId="21C64463">
      <w:pPr>
        <w:autoSpaceDE w:val="0"/>
        <w:autoSpaceDN w:val="0"/>
        <w:adjustRightInd w:val="0"/>
        <w:snapToGrid w:val="0"/>
        <w:spacing w:line="300" w:lineRule="exact"/>
        <w:rPr>
          <w:rFonts w:ascii="宋体" w:hAnsi="宋体" w:eastAsia="宋体" w:cs="Times New Roman"/>
          <w:iCs/>
          <w:color w:val="000000" w:themeColor="text1"/>
          <w:sz w:val="18"/>
          <w:szCs w:val="18"/>
          <w14:textFill>
            <w14:solidFill>
              <w14:schemeClr w14:val="tx1"/>
            </w14:solidFill>
          </w14:textFill>
        </w:rPr>
      </w:pPr>
      <w:r>
        <w:rPr>
          <w:rFonts w:ascii="黑体" w:hAnsi="黑体" w:eastAsia="黑体" w:cs="Times New Roman"/>
          <w:iCs/>
          <w:color w:val="000000" w:themeColor="text1"/>
          <w:sz w:val="20"/>
          <w:szCs w:val="20"/>
          <w14:textFill>
            <w14:solidFill>
              <w14:schemeClr w14:val="tx1"/>
            </w14:solidFill>
          </w14:textFill>
        </w:rPr>
        <w:t>关键词</w:t>
      </w:r>
      <w:r>
        <w:rPr>
          <w:rFonts w:ascii="宋体" w:hAnsi="宋体" w:eastAsia="宋体" w:cs="Times New Roman"/>
          <w:iCs/>
          <w:color w:val="000000" w:themeColor="text1"/>
          <w:sz w:val="18"/>
          <w:szCs w:val="18"/>
          <w14:textFill>
            <w14:solidFill>
              <w14:schemeClr w14:val="tx1"/>
            </w14:solidFill>
          </w14:textFill>
        </w:rPr>
        <w:t>：</w:t>
      </w:r>
      <w:r>
        <w:rPr>
          <w:rFonts w:ascii="Times New Roman" w:hAnsi="Times New Roman" w:eastAsia="宋体" w:cs="Times New Roman"/>
          <w:iCs/>
          <w:color w:val="000000" w:themeColor="text1"/>
          <w:sz w:val="18"/>
          <w:szCs w:val="18"/>
          <w14:textFill>
            <w14:solidFill>
              <w14:schemeClr w14:val="tx1"/>
            </w14:solidFill>
          </w14:textFill>
        </w:rPr>
        <w:t>Zernike</w:t>
      </w:r>
      <w:r>
        <w:rPr>
          <w:rFonts w:ascii="宋体" w:hAnsi="宋体" w:eastAsia="宋体" w:cs="Times New Roman"/>
          <w:iCs/>
          <w:color w:val="000000" w:themeColor="text1"/>
          <w:sz w:val="18"/>
          <w:szCs w:val="18"/>
          <w14:textFill>
            <w14:solidFill>
              <w14:schemeClr w14:val="tx1"/>
            </w14:solidFill>
          </w14:textFill>
        </w:rPr>
        <w:t>多项式；</w:t>
      </w:r>
      <w:r>
        <w:rPr>
          <w:rFonts w:hint="eastAsia" w:ascii="宋体" w:hAnsi="宋体" w:eastAsia="宋体" w:cs="Times New Roman"/>
          <w:iCs/>
          <w:color w:val="000000" w:themeColor="text1"/>
          <w:sz w:val="18"/>
          <w:szCs w:val="18"/>
          <w14:textFill>
            <w14:solidFill>
              <w14:schemeClr w14:val="tx1"/>
            </w14:solidFill>
          </w14:textFill>
        </w:rPr>
        <w:t>波前像差；</w:t>
      </w:r>
      <w:r>
        <w:rPr>
          <w:rFonts w:ascii="宋体" w:hAnsi="宋体" w:eastAsia="宋体" w:cs="Times New Roman"/>
          <w:iCs/>
          <w:color w:val="000000" w:themeColor="text1"/>
          <w:sz w:val="18"/>
          <w:szCs w:val="18"/>
          <w14:textFill>
            <w14:solidFill>
              <w14:schemeClr w14:val="tx1"/>
            </w14:solidFill>
          </w14:textFill>
        </w:rPr>
        <w:t>工程应用</w:t>
      </w:r>
      <w:r>
        <w:rPr>
          <w:rFonts w:hint="eastAsia" w:ascii="宋体" w:hAnsi="宋体" w:eastAsia="宋体" w:cs="Times New Roman"/>
          <w:iCs/>
          <w:color w:val="000000" w:themeColor="text1"/>
          <w:sz w:val="18"/>
          <w:szCs w:val="18"/>
          <w14:textFill>
            <w14:solidFill>
              <w14:schemeClr w14:val="tx1"/>
            </w14:solidFill>
          </w14:textFill>
        </w:rPr>
        <w:t xml:space="preserve"> </w:t>
      </w:r>
    </w:p>
    <w:p w14:paraId="4E3A568B">
      <w:pPr>
        <w:autoSpaceDE w:val="0"/>
        <w:autoSpaceDN w:val="0"/>
        <w:adjustRightInd w:val="0"/>
        <w:snapToGrid w:val="0"/>
        <w:spacing w:line="300" w:lineRule="exact"/>
        <w:rPr>
          <w:rFonts w:ascii="Times New Roman" w:hAnsi="Times New Roman" w:eastAsia="宋体" w:cs="Times New Roman"/>
          <w:iCs/>
          <w:color w:val="000000" w:themeColor="text1"/>
          <w:sz w:val="18"/>
          <w:szCs w:val="18"/>
          <w14:textFill>
            <w14:solidFill>
              <w14:schemeClr w14:val="tx1"/>
            </w14:solidFill>
          </w14:textFill>
        </w:rPr>
      </w:pPr>
      <w:r>
        <w:rPr>
          <w:rFonts w:hint="eastAsia" w:ascii="黑体" w:hAnsi="黑体" w:eastAsia="黑体" w:cs="Times New Roman"/>
          <w:iCs/>
          <w:color w:val="000000" w:themeColor="text1"/>
          <w:sz w:val="18"/>
          <w:szCs w:val="18"/>
          <w14:textFill>
            <w14:solidFill>
              <w14:schemeClr w14:val="tx1"/>
            </w14:solidFill>
          </w14:textFill>
        </w:rPr>
        <w:t>中图分类号</w:t>
      </w:r>
      <w:r>
        <w:rPr>
          <w:rFonts w:hint="eastAsia" w:ascii="宋体" w:hAnsi="宋体" w:eastAsia="宋体" w:cs="Times New Roman"/>
          <w:iCs/>
          <w:color w:val="000000" w:themeColor="text1"/>
          <w:sz w:val="18"/>
          <w:szCs w:val="18"/>
          <w14:textFill>
            <w14:solidFill>
              <w14:schemeClr w14:val="tx1"/>
            </w14:solidFill>
          </w14:textFill>
        </w:rPr>
        <w:t>：TN</w:t>
      </w:r>
      <w:r>
        <w:rPr>
          <w:rFonts w:ascii="宋体" w:hAnsi="宋体" w:eastAsia="宋体" w:cs="Times New Roman"/>
          <w:iCs/>
          <w:color w:val="000000" w:themeColor="text1"/>
          <w:sz w:val="18"/>
          <w:szCs w:val="18"/>
          <w14:textFill>
            <w14:solidFill>
              <w14:schemeClr w14:val="tx1"/>
            </w14:solidFill>
          </w14:textFill>
        </w:rPr>
        <w:t>929.11</w:t>
      </w:r>
      <w:r>
        <w:rPr>
          <w:rFonts w:hint="eastAsia" w:ascii="宋体" w:hAnsi="宋体" w:eastAsia="宋体" w:cs="Times New Roman"/>
          <w:iCs/>
          <w:color w:val="000000" w:themeColor="text1"/>
          <w:sz w:val="18"/>
          <w:szCs w:val="18"/>
          <w14:textFill>
            <w14:solidFill>
              <w14:schemeClr w14:val="tx1"/>
            </w14:solidFill>
          </w14:textFill>
        </w:rPr>
        <w:t>；</w:t>
      </w:r>
      <w:r>
        <w:rPr>
          <w:rFonts w:ascii="Times New Roman" w:hAnsi="Times New Roman" w:eastAsia="宋体" w:cs="Times New Roman"/>
          <w:iCs/>
          <w:color w:val="000000" w:themeColor="text1"/>
          <w:sz w:val="18"/>
          <w:szCs w:val="18"/>
          <w14:textFill>
            <w14:solidFill>
              <w14:schemeClr w14:val="tx1"/>
            </w14:solidFill>
          </w14:textFill>
        </w:rPr>
        <w:t>O439</w:t>
      </w:r>
      <w:r>
        <w:rPr>
          <w:rFonts w:hint="eastAsia" w:ascii="宋体" w:hAnsi="宋体" w:eastAsia="宋体" w:cs="Times New Roman"/>
          <w:iCs/>
          <w:color w:val="000000" w:themeColor="text1"/>
          <w:sz w:val="18"/>
          <w:szCs w:val="18"/>
          <w14:textFill>
            <w14:solidFill>
              <w14:schemeClr w14:val="tx1"/>
            </w14:solidFill>
          </w14:textFill>
        </w:rPr>
        <w:t xml:space="preserve">      </w:t>
      </w:r>
      <w:r>
        <w:rPr>
          <w:rFonts w:hint="eastAsia" w:ascii="黑体" w:hAnsi="黑体" w:eastAsia="黑体" w:cs="Times New Roman"/>
          <w:iCs/>
          <w:color w:val="000000" w:themeColor="text1"/>
          <w:sz w:val="18"/>
          <w:szCs w:val="18"/>
          <w14:textFill>
            <w14:solidFill>
              <w14:schemeClr w14:val="tx1"/>
            </w14:solidFill>
          </w14:textFill>
        </w:rPr>
        <w:t>文献标志码</w:t>
      </w:r>
      <w:r>
        <w:rPr>
          <w:rFonts w:hint="eastAsia" w:ascii="宋体" w:hAnsi="宋体" w:eastAsia="宋体" w:cs="Times New Roman"/>
          <w:iCs/>
          <w:color w:val="000000" w:themeColor="text1"/>
          <w:sz w:val="18"/>
          <w:szCs w:val="18"/>
          <w14:textFill>
            <w14:solidFill>
              <w14:schemeClr w14:val="tx1"/>
            </w14:solidFill>
          </w14:textFill>
        </w:rPr>
        <w:t>：</w:t>
      </w:r>
      <w:r>
        <w:rPr>
          <w:rFonts w:ascii="Times New Roman" w:hAnsi="Times New Roman" w:eastAsia="宋体" w:cs="Times New Roman"/>
          <w:iCs/>
          <w:color w:val="000000" w:themeColor="text1"/>
          <w:sz w:val="18"/>
          <w:szCs w:val="18"/>
          <w14:textFill>
            <w14:solidFill>
              <w14:schemeClr w14:val="tx1"/>
            </w14:solidFill>
          </w14:textFill>
        </w:rPr>
        <w:t>A</w:t>
      </w:r>
    </w:p>
    <w:p w14:paraId="4F0AB9CE">
      <w:pPr>
        <w:autoSpaceDE w:val="0"/>
        <w:autoSpaceDN w:val="0"/>
        <w:adjustRightInd w:val="0"/>
        <w:snapToGrid w:val="0"/>
        <w:spacing w:line="300" w:lineRule="exact"/>
        <w:rPr>
          <w:color w:val="000000" w:themeColor="text1"/>
          <w14:textFill>
            <w14:solidFill>
              <w14:schemeClr w14:val="tx1"/>
            </w14:solidFill>
          </w14:textFill>
        </w:rPr>
      </w:pPr>
    </w:p>
    <w:p w14:paraId="04456487">
      <w:pPr>
        <w:autoSpaceDE w:val="0"/>
        <w:autoSpaceDN w:val="0"/>
        <w:adjustRightInd w:val="0"/>
        <w:snapToGrid w:val="0"/>
        <w:spacing w:line="300" w:lineRule="exact"/>
        <w:jc w:val="center"/>
        <w:rPr>
          <w:rFonts w:ascii="Times New Roman" w:hAnsi="Times New Roman" w:cs="Times New Roman" w:eastAsiaTheme="majorEastAsia"/>
          <w:bCs/>
          <w:color w:val="000000" w:themeColor="text1"/>
          <w:kern w:val="44"/>
          <w:sz w:val="32"/>
          <w:szCs w:val="32"/>
          <w14:textFill>
            <w14:solidFill>
              <w14:schemeClr w14:val="tx1"/>
            </w14:solidFill>
          </w14:textFill>
          <w14:ligatures w14:val="none"/>
        </w:rPr>
      </w:pPr>
      <w:r>
        <w:rPr>
          <w:rFonts w:hint="eastAsia" w:ascii="Times New Roman" w:hAnsi="Times New Roman" w:cs="Times New Roman" w:eastAsiaTheme="majorEastAsia"/>
          <w:bCs/>
          <w:color w:val="000000" w:themeColor="text1"/>
          <w:kern w:val="44"/>
          <w:sz w:val="32"/>
          <w:szCs w:val="32"/>
          <w14:textFill>
            <w14:solidFill>
              <w14:schemeClr w14:val="tx1"/>
            </w14:solidFill>
          </w14:textFill>
          <w14:ligatures w14:val="none"/>
        </w:rPr>
        <w:t>Research on the application of</w:t>
      </w:r>
      <w:r>
        <w:rPr>
          <w:rFonts w:hint="eastAsia" w:ascii="Times New Roman" w:hAnsi="Times New Roman" w:cs="Times New Roman" w:eastAsiaTheme="majorEastAsia"/>
          <w:b/>
          <w:color w:val="000000" w:themeColor="text1"/>
          <w:kern w:val="44"/>
          <w:sz w:val="32"/>
          <w:szCs w:val="32"/>
          <w14:textFill>
            <w14:solidFill>
              <w14:schemeClr w14:val="tx1"/>
            </w14:solidFill>
          </w14:textFill>
          <w14:ligatures w14:val="none"/>
        </w:rPr>
        <w:t xml:space="preserve"> </w:t>
      </w:r>
      <w:r>
        <w:rPr>
          <w:rFonts w:hint="eastAsia" w:ascii="Times New Roman" w:hAnsi="Times New Roman" w:cs="Times New Roman" w:eastAsiaTheme="majorEastAsia"/>
          <w:bCs/>
          <w:color w:val="000000" w:themeColor="text1"/>
          <w:kern w:val="44"/>
          <w:sz w:val="32"/>
          <w:szCs w:val="32"/>
          <w14:textFill>
            <w14:solidFill>
              <w14:schemeClr w14:val="tx1"/>
            </w14:solidFill>
          </w14:textFill>
          <w14:ligatures w14:val="none"/>
        </w:rPr>
        <w:t>Zernike polynomials in</w:t>
      </w:r>
    </w:p>
    <w:p w14:paraId="338EBB74">
      <w:pPr>
        <w:autoSpaceDE w:val="0"/>
        <w:autoSpaceDN w:val="0"/>
        <w:adjustRightInd w:val="0"/>
        <w:snapToGrid w:val="0"/>
        <w:spacing w:line="300" w:lineRule="exact"/>
        <w:jc w:val="center"/>
        <w:rPr>
          <w:rFonts w:ascii="Times New Roman" w:hAnsi="Times New Roman" w:cs="Times New Roman" w:eastAsiaTheme="majorEastAsia"/>
          <w:bCs/>
          <w:color w:val="000000" w:themeColor="text1"/>
          <w:kern w:val="44"/>
          <w:sz w:val="32"/>
          <w:szCs w:val="32"/>
          <w14:textFill>
            <w14:solidFill>
              <w14:schemeClr w14:val="tx1"/>
            </w14:solidFill>
          </w14:textFill>
          <w14:ligatures w14:val="none"/>
        </w:rPr>
      </w:pPr>
      <w:r>
        <w:rPr>
          <w:rFonts w:hint="eastAsia" w:ascii="Times New Roman" w:hAnsi="Times New Roman" w:cs="Times New Roman" w:eastAsiaTheme="majorEastAsia"/>
          <w:bCs/>
          <w:color w:val="000000" w:themeColor="text1"/>
          <w:kern w:val="44"/>
          <w:sz w:val="32"/>
          <w:szCs w:val="32"/>
          <w14:textFill>
            <w14:solidFill>
              <w14:schemeClr w14:val="tx1"/>
            </w14:solidFill>
          </w14:textFill>
          <w14:ligatures w14:val="none"/>
        </w:rPr>
        <w:t>optical systems</w:t>
      </w:r>
    </w:p>
    <w:p w14:paraId="1B5EC8F9">
      <w:pPr>
        <w:autoSpaceDE w:val="0"/>
        <w:autoSpaceDN w:val="0"/>
        <w:adjustRightInd w:val="0"/>
        <w:snapToGrid w:val="0"/>
        <w:spacing w:line="300" w:lineRule="exact"/>
        <w:jc w:val="center"/>
        <w:rPr>
          <w:rFonts w:ascii="Times New Roman" w:hAnsi="Times New Roman" w:eastAsia="仿宋" w:cs="Times New Roman"/>
          <w:color w:val="000000" w:themeColor="text1"/>
          <w:sz w:val="24"/>
          <w:szCs w:val="24"/>
          <w:vertAlign w:val="superscript"/>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ZHU Z</w:t>
      </w:r>
      <w:r>
        <w:rPr>
          <w:rFonts w:hint="eastAsia" w:ascii="Times New Roman" w:hAnsi="Times New Roman" w:eastAsia="仿宋" w:cs="Times New Roman"/>
          <w:color w:val="000000" w:themeColor="text1"/>
          <w:sz w:val="24"/>
          <w:szCs w:val="24"/>
          <w14:textFill>
            <w14:solidFill>
              <w14:schemeClr w14:val="tx1"/>
            </w14:solidFill>
          </w14:textFill>
        </w:rPr>
        <w:t>hanke</w:t>
      </w:r>
      <w:r>
        <w:rPr>
          <w:rFonts w:ascii="Times New Roman" w:hAnsi="Times New Roman" w:eastAsia="仿宋" w:cs="Times New Roman"/>
          <w:color w:val="000000" w:themeColor="text1"/>
          <w:sz w:val="24"/>
          <w:szCs w:val="24"/>
          <w:vertAlign w:val="superscript"/>
          <w14:textFill>
            <w14:solidFill>
              <w14:schemeClr w14:val="tx1"/>
            </w14:solidFill>
          </w14:textFill>
        </w:rPr>
        <w:t>1</w:t>
      </w:r>
      <w:r>
        <w:rPr>
          <w:rFonts w:ascii="Times New Roman" w:hAnsi="Times New Roman" w:eastAsia="仿宋" w:cs="Times New Roman"/>
          <w:color w:val="000000" w:themeColor="text1"/>
          <w:sz w:val="24"/>
          <w:szCs w:val="24"/>
          <w14:textFill>
            <w14:solidFill>
              <w14:schemeClr w14:val="tx1"/>
            </w14:solidFill>
          </w14:textFill>
        </w:rPr>
        <w:t xml:space="preserve">，JIN </w:t>
      </w:r>
      <w:r>
        <w:rPr>
          <w:rFonts w:hint="eastAsia" w:ascii="Times New Roman" w:hAnsi="Times New Roman" w:eastAsia="仿宋" w:cs="Times New Roman"/>
          <w:color w:val="000000" w:themeColor="text1"/>
          <w:sz w:val="24"/>
          <w:szCs w:val="24"/>
          <w14:textFill>
            <w14:solidFill>
              <w14:schemeClr w14:val="tx1"/>
            </w14:solidFill>
          </w14:textFill>
        </w:rPr>
        <w:t>X</w:t>
      </w:r>
      <w:r>
        <w:rPr>
          <w:rFonts w:ascii="Times New Roman" w:hAnsi="Times New Roman" w:eastAsia="仿宋" w:cs="Times New Roman"/>
          <w:color w:val="000000" w:themeColor="text1"/>
          <w:sz w:val="24"/>
          <w:szCs w:val="24"/>
          <w14:textFill>
            <w14:solidFill>
              <w14:schemeClr w14:val="tx1"/>
            </w14:solidFill>
          </w14:textFill>
        </w:rPr>
        <w:t>i</w:t>
      </w:r>
      <w:r>
        <w:rPr>
          <w:rFonts w:ascii="Times New Roman" w:hAnsi="Times New Roman" w:eastAsia="仿宋" w:cs="Times New Roman"/>
          <w:color w:val="000000" w:themeColor="text1"/>
          <w:sz w:val="24"/>
          <w:szCs w:val="24"/>
          <w:vertAlign w:val="superscript"/>
          <w14:textFill>
            <w14:solidFill>
              <w14:schemeClr w14:val="tx1"/>
            </w14:solidFill>
          </w14:textFill>
        </w:rPr>
        <w:t>2</w:t>
      </w:r>
      <w:r>
        <w:rPr>
          <w:rFonts w:hint="eastAsia" w:ascii="Times New Roman" w:hAnsi="Times New Roman" w:eastAsia="仿宋" w:cs="Times New Roman"/>
          <w:color w:val="000000" w:themeColor="text1"/>
          <w:sz w:val="24"/>
          <w:szCs w:val="24"/>
          <w:vertAlign w:val="superscript"/>
          <w14:textFill>
            <w14:solidFill>
              <w14:schemeClr w14:val="tx1"/>
            </w14:solidFill>
          </w14:textFill>
        </w:rPr>
        <w:t>*</w:t>
      </w:r>
      <w:r>
        <w:rPr>
          <w:rFonts w:ascii="Times New Roman" w:hAnsi="Times New Roman" w:eastAsia="仿宋" w:cs="Times New Roman"/>
          <w:color w:val="000000" w:themeColor="text1"/>
          <w:sz w:val="24"/>
          <w:szCs w:val="24"/>
          <w14:textFill>
            <w14:solidFill>
              <w14:schemeClr w14:val="tx1"/>
            </w14:solidFill>
          </w14:textFill>
        </w:rPr>
        <w:t>，KE X</w:t>
      </w:r>
      <w:r>
        <w:rPr>
          <w:rFonts w:hint="eastAsia" w:ascii="Times New Roman" w:hAnsi="Times New Roman" w:eastAsia="仿宋" w:cs="Times New Roman"/>
          <w:color w:val="000000" w:themeColor="text1"/>
          <w:sz w:val="24"/>
          <w:szCs w:val="24"/>
          <w14:textFill>
            <w14:solidFill>
              <w14:schemeClr w14:val="tx1"/>
            </w14:solidFill>
          </w14:textFill>
        </w:rPr>
        <w:t>izheng</w:t>
      </w:r>
      <w:r>
        <w:rPr>
          <w:rFonts w:ascii="Times New Roman" w:hAnsi="Times New Roman" w:eastAsia="仿宋" w:cs="Times New Roman"/>
          <w:color w:val="000000" w:themeColor="text1"/>
          <w:sz w:val="24"/>
          <w:szCs w:val="24"/>
          <w:vertAlign w:val="superscript"/>
          <w14:textFill>
            <w14:solidFill>
              <w14:schemeClr w14:val="tx1"/>
            </w14:solidFill>
          </w14:textFill>
        </w:rPr>
        <w:t>2,</w:t>
      </w:r>
      <w:r>
        <w:rPr>
          <w:rFonts w:hint="eastAsia" w:ascii="Times New Roman" w:hAnsi="Times New Roman" w:eastAsia="仿宋" w:cs="Times New Roman"/>
          <w:color w:val="000000" w:themeColor="text1"/>
          <w:sz w:val="24"/>
          <w:szCs w:val="24"/>
          <w:vertAlign w:val="superscript"/>
          <w14:textFill>
            <w14:solidFill>
              <w14:schemeClr w14:val="tx1"/>
            </w14:solidFill>
          </w14:textFill>
        </w:rPr>
        <w:t>3</w:t>
      </w:r>
    </w:p>
    <w:p w14:paraId="533DEFD7">
      <w:pPr>
        <w:autoSpaceDE w:val="0"/>
        <w:autoSpaceDN w:val="0"/>
        <w:adjustRightInd w:val="0"/>
        <w:snapToGrid w:val="0"/>
        <w:spacing w:line="300" w:lineRule="exact"/>
        <w:ind w:firstLine="180" w:firstLineChars="100"/>
        <w:jc w:val="center"/>
        <w:rPr>
          <w:rFonts w:ascii="Times New Roman" w:hAnsi="Times New Roman" w:eastAsia="仿宋" w:cs="Times New Roman"/>
          <w:color w:val="000000" w:themeColor="text1"/>
          <w:sz w:val="18"/>
          <w:szCs w:val="18"/>
          <w14:textFill>
            <w14:solidFill>
              <w14:schemeClr w14:val="tx1"/>
            </w14:solidFill>
          </w14:textFill>
        </w:rPr>
      </w:pPr>
      <w:bookmarkStart w:id="4" w:name="OLE_LINK21"/>
      <w:r>
        <w:rPr>
          <w:rFonts w:hint="eastAsia" w:ascii="Times New Roman" w:hAnsi="Times New Roman" w:eastAsia="仿宋" w:cs="Times New Roman"/>
          <w:color w:val="000000" w:themeColor="text1"/>
          <w:sz w:val="18"/>
          <w:szCs w:val="18"/>
          <w14:textFill>
            <w14:solidFill>
              <w14:schemeClr w14:val="tx1"/>
            </w14:solidFill>
          </w14:textFill>
        </w:rPr>
        <w:t>1.</w:t>
      </w:r>
      <w:r>
        <w:rPr>
          <w:rFonts w:ascii="Helvetica" w:hAnsi="Helvetica" w:cs="Helvetica"/>
          <w:color w:val="333333"/>
          <w:shd w:val="clear" w:color="auto" w:fill="FFFFFF"/>
        </w:rPr>
        <w:t xml:space="preserve"> </w:t>
      </w:r>
      <w:r>
        <w:rPr>
          <w:rFonts w:ascii="Times New Roman" w:hAnsi="Times New Roman" w:eastAsia="仿宋" w:cs="Times New Roman"/>
          <w:color w:val="000000" w:themeColor="text1"/>
          <w:sz w:val="18"/>
          <w:szCs w:val="18"/>
          <w14:textFill>
            <w14:solidFill>
              <w14:schemeClr w14:val="tx1"/>
            </w14:solidFill>
          </w14:textFill>
        </w:rPr>
        <w:t>Shaanxi Polytechnic University</w:t>
      </w:r>
      <w:r>
        <w:rPr>
          <w:rFonts w:hint="eastAsia" w:ascii="Times New Roman" w:hAnsi="Times New Roman" w:eastAsia="仿宋" w:cs="Times New Roman"/>
          <w:color w:val="000000" w:themeColor="text1"/>
          <w:sz w:val="18"/>
          <w:szCs w:val="18"/>
          <w14:textFill>
            <w14:solidFill>
              <w14:schemeClr w14:val="tx1"/>
            </w14:solidFill>
          </w14:textFill>
        </w:rPr>
        <w:t>,</w:t>
      </w:r>
      <w:r>
        <w:rPr>
          <w:rFonts w:ascii="Times New Roman" w:hAnsi="Times New Roman" w:eastAsia="仿宋" w:cs="Times New Roman"/>
          <w:color w:val="000000" w:themeColor="text1"/>
          <w:sz w:val="18"/>
          <w:szCs w:val="18"/>
          <w14:textFill>
            <w14:solidFill>
              <w14:schemeClr w14:val="tx1"/>
            </w14:solidFill>
          </w14:textFill>
        </w:rPr>
        <w:t>Department of Aeronautical Engineering</w:t>
      </w:r>
      <w:bookmarkEnd w:id="4"/>
      <w:r>
        <w:rPr>
          <w:rFonts w:hint="eastAsia" w:ascii="Times New Roman" w:hAnsi="Times New Roman" w:eastAsia="仿宋" w:cs="Times New Roman"/>
          <w:color w:val="000000" w:themeColor="text1"/>
          <w:sz w:val="18"/>
          <w:szCs w:val="18"/>
          <w14:textFill>
            <w14:solidFill>
              <w14:schemeClr w14:val="tx1"/>
            </w14:solidFill>
          </w14:textFill>
        </w:rPr>
        <w:t>,</w:t>
      </w:r>
      <w:r>
        <w:rPr>
          <w:rFonts w:ascii="Times New Roman" w:hAnsi="Times New Roman" w:eastAsia="仿宋" w:cs="Times New Roman"/>
          <w:color w:val="000000" w:themeColor="text1"/>
          <w:sz w:val="18"/>
          <w:szCs w:val="18"/>
          <w14:textFill>
            <w14:solidFill>
              <w14:schemeClr w14:val="tx1"/>
            </w14:solidFill>
          </w14:textFill>
        </w:rPr>
        <w:t xml:space="preserve"> Xianyang Shaanxi</w:t>
      </w:r>
      <w:r>
        <w:rPr>
          <w:rFonts w:hint="eastAsia" w:ascii="Times New Roman" w:hAnsi="Times New Roman" w:eastAsia="仿宋" w:cs="Times New Roman"/>
          <w:color w:val="000000" w:themeColor="text1"/>
          <w:sz w:val="18"/>
          <w:szCs w:val="18"/>
          <w14:textFill>
            <w14:solidFill>
              <w14:schemeClr w14:val="tx1"/>
            </w14:solidFill>
          </w14:textFill>
        </w:rPr>
        <w:t xml:space="preserve"> </w:t>
      </w:r>
      <w:r>
        <w:rPr>
          <w:rFonts w:ascii="Times New Roman" w:hAnsi="Times New Roman" w:eastAsia="仿宋" w:cs="Times New Roman"/>
          <w:color w:val="000000" w:themeColor="text1"/>
          <w:sz w:val="18"/>
          <w:szCs w:val="18"/>
          <w14:textFill>
            <w14:solidFill>
              <w14:schemeClr w14:val="tx1"/>
            </w14:solidFill>
          </w14:textFill>
        </w:rPr>
        <w:t>712000,China;</w:t>
      </w:r>
      <w:bookmarkStart w:id="5" w:name="OLE_LINK22"/>
    </w:p>
    <w:p w14:paraId="1506BD1A">
      <w:pPr>
        <w:autoSpaceDE w:val="0"/>
        <w:autoSpaceDN w:val="0"/>
        <w:adjustRightInd w:val="0"/>
        <w:snapToGrid w:val="0"/>
        <w:spacing w:line="300" w:lineRule="exact"/>
        <w:ind w:firstLine="180" w:firstLineChars="100"/>
        <w:jc w:val="center"/>
        <w:rPr>
          <w:rFonts w:ascii="Times New Roman" w:hAnsi="Times New Roman" w:eastAsia="仿宋" w:cs="Times New Roman"/>
          <w:color w:val="000000" w:themeColor="text1"/>
          <w:sz w:val="18"/>
          <w:szCs w:val="18"/>
          <w14:textFill>
            <w14:solidFill>
              <w14:schemeClr w14:val="tx1"/>
            </w14:solidFill>
          </w14:textFill>
        </w:rPr>
      </w:pPr>
      <w:r>
        <w:rPr>
          <w:rFonts w:ascii="Times New Roman" w:hAnsi="Times New Roman" w:eastAsia="仿宋" w:cs="Times New Roman"/>
          <w:color w:val="000000" w:themeColor="text1"/>
          <w:sz w:val="18"/>
          <w:szCs w:val="18"/>
          <w14:textFill>
            <w14:solidFill>
              <w14:schemeClr w14:val="tx1"/>
            </w14:solidFill>
          </w14:textFill>
        </w:rPr>
        <w:t>2.Xi’an</w:t>
      </w:r>
      <w:r>
        <w:rPr>
          <w:rFonts w:hint="eastAsia" w:ascii="Times New Roman" w:hAnsi="Times New Roman" w:eastAsia="仿宋" w:cs="Times New Roman"/>
          <w:color w:val="000000" w:themeColor="text1"/>
          <w:sz w:val="18"/>
          <w:szCs w:val="18"/>
          <w14:textFill>
            <w14:solidFill>
              <w14:schemeClr w14:val="tx1"/>
            </w14:solidFill>
          </w14:textFill>
        </w:rPr>
        <w:t xml:space="preserve"> </w:t>
      </w:r>
      <w:r>
        <w:rPr>
          <w:rFonts w:ascii="Times New Roman" w:hAnsi="Times New Roman" w:eastAsia="仿宋" w:cs="Times New Roman"/>
          <w:color w:val="000000" w:themeColor="text1"/>
          <w:sz w:val="18"/>
          <w:szCs w:val="18"/>
          <w14:textFill>
            <w14:solidFill>
              <w14:schemeClr w14:val="tx1"/>
            </w14:solidFill>
          </w14:textFill>
        </w:rPr>
        <w:t>University of Technology</w:t>
      </w:r>
      <w:r>
        <w:rPr>
          <w:rFonts w:hint="eastAsia" w:ascii="Times New Roman" w:hAnsi="Times New Roman" w:eastAsia="仿宋" w:cs="Times New Roman"/>
          <w:color w:val="000000" w:themeColor="text1"/>
          <w:sz w:val="18"/>
          <w:szCs w:val="18"/>
          <w14:textFill>
            <w14:solidFill>
              <w14:schemeClr w14:val="tx1"/>
            </w14:solidFill>
          </w14:textFill>
        </w:rPr>
        <w:t>,</w:t>
      </w:r>
      <w:r>
        <w:rPr>
          <w:rFonts w:ascii="Times New Roman" w:hAnsi="Times New Roman" w:eastAsia="仿宋" w:cs="Times New Roman"/>
          <w:color w:val="000000" w:themeColor="text1"/>
          <w:sz w:val="18"/>
          <w:szCs w:val="18"/>
          <w14:textFill>
            <w14:solidFill>
              <w14:schemeClr w14:val="tx1"/>
            </w14:solidFill>
          </w14:textFill>
        </w:rPr>
        <w:t>School of Automation and Information Engineering</w:t>
      </w:r>
      <w:r>
        <w:rPr>
          <w:rFonts w:hint="eastAsia" w:ascii="Times New Roman" w:hAnsi="Times New Roman" w:eastAsia="仿宋" w:cs="Times New Roman"/>
          <w:color w:val="000000" w:themeColor="text1"/>
          <w:sz w:val="18"/>
          <w:szCs w:val="18"/>
          <w14:textFill>
            <w14:solidFill>
              <w14:schemeClr w14:val="tx1"/>
            </w14:solidFill>
          </w14:textFill>
        </w:rPr>
        <w:t>,</w:t>
      </w:r>
      <w:bookmarkEnd w:id="5"/>
      <w:r>
        <w:rPr>
          <w:rFonts w:ascii="Times New Roman" w:hAnsi="Times New Roman" w:eastAsia="仿宋" w:cs="Times New Roman"/>
          <w:color w:val="000000" w:themeColor="text1"/>
          <w:sz w:val="18"/>
          <w:szCs w:val="18"/>
          <w14:textFill>
            <w14:solidFill>
              <w14:schemeClr w14:val="tx1"/>
            </w14:solidFill>
          </w14:textFill>
        </w:rPr>
        <w:t>Xi’an</w:t>
      </w:r>
      <w:r>
        <w:rPr>
          <w:rFonts w:hint="eastAsia" w:ascii="Times New Roman" w:hAnsi="Times New Roman" w:eastAsia="仿宋" w:cs="Times New Roman"/>
          <w:color w:val="000000" w:themeColor="text1"/>
          <w:sz w:val="18"/>
          <w:szCs w:val="18"/>
          <w14:textFill>
            <w14:solidFill>
              <w14:schemeClr w14:val="tx1"/>
            </w14:solidFill>
          </w14:textFill>
        </w:rPr>
        <w:t xml:space="preserve"> </w:t>
      </w:r>
      <w:r>
        <w:rPr>
          <w:rFonts w:ascii="Times New Roman" w:hAnsi="Times New Roman" w:eastAsia="仿宋" w:cs="Times New Roman"/>
          <w:color w:val="000000" w:themeColor="text1"/>
          <w:sz w:val="18"/>
          <w:szCs w:val="18"/>
          <w14:textFill>
            <w14:solidFill>
              <w14:schemeClr w14:val="tx1"/>
            </w14:solidFill>
          </w14:textFill>
        </w:rPr>
        <w:t>710048,China;</w:t>
      </w:r>
    </w:p>
    <w:p w14:paraId="294B4C07">
      <w:pPr>
        <w:autoSpaceDE w:val="0"/>
        <w:autoSpaceDN w:val="0"/>
        <w:adjustRightInd w:val="0"/>
        <w:snapToGrid w:val="0"/>
        <w:spacing w:line="300" w:lineRule="exact"/>
        <w:rPr>
          <w:rFonts w:ascii="Times New Roman" w:hAnsi="Times New Roman" w:eastAsia="仿宋" w:cs="Times New Roman"/>
          <w:color w:val="000000" w:themeColor="text1"/>
          <w:sz w:val="18"/>
          <w:szCs w:val="18"/>
          <w14:textFill>
            <w14:solidFill>
              <w14:schemeClr w14:val="tx1"/>
            </w14:solidFill>
          </w14:textFill>
        </w:rPr>
      </w:pPr>
      <w:r>
        <w:rPr>
          <w:rFonts w:hint="eastAsia" w:ascii="Times New Roman" w:hAnsi="Times New Roman" w:eastAsia="仿宋" w:cs="Times New Roman"/>
          <w:color w:val="000000" w:themeColor="text1"/>
          <w:sz w:val="18"/>
          <w:szCs w:val="18"/>
          <w14:textFill>
            <w14:solidFill>
              <w14:schemeClr w14:val="tx1"/>
            </w14:solidFill>
          </w14:textFill>
        </w:rPr>
        <w:t>3.</w:t>
      </w:r>
      <w:r>
        <w:rPr>
          <w:rFonts w:ascii="Times New Roman" w:hAnsi="Times New Roman" w:cs="Times New Roman"/>
          <w:color w:val="000000" w:themeColor="text1"/>
          <w:sz w:val="18"/>
          <w:szCs w:val="18"/>
          <w14:textFill>
            <w14:solidFill>
              <w14:schemeClr w14:val="tx1"/>
            </w14:solidFill>
          </w14:textFill>
        </w:rPr>
        <w:t xml:space="preserve"> Shaanxi Civil-Military Integration Key Laboratory of Intelligence Collaborative Networks</w:t>
      </w:r>
      <w:r>
        <w:rPr>
          <w:rFonts w:ascii="Times New Roman" w:hAnsi="Times New Roman" w:eastAsia="仿宋" w:cs="Times New Roman"/>
          <w:color w:val="000000" w:themeColor="text1"/>
          <w:sz w:val="18"/>
          <w:szCs w:val="18"/>
          <w14:textFill>
            <w14:solidFill>
              <w14:schemeClr w14:val="tx1"/>
            </w14:solidFill>
          </w14:textFill>
        </w:rPr>
        <w:t>，Xi’an</w:t>
      </w:r>
      <w:r>
        <w:rPr>
          <w:rFonts w:hint="eastAsia" w:ascii="Times New Roman" w:hAnsi="Times New Roman" w:eastAsia="仿宋" w:cs="Times New Roman"/>
          <w:color w:val="000000" w:themeColor="text1"/>
          <w:sz w:val="18"/>
          <w:szCs w:val="18"/>
          <w14:textFill>
            <w14:solidFill>
              <w14:schemeClr w14:val="tx1"/>
            </w14:solidFill>
          </w14:textFill>
        </w:rPr>
        <w:t xml:space="preserve"> </w:t>
      </w:r>
      <w:r>
        <w:rPr>
          <w:rFonts w:ascii="Times New Roman" w:hAnsi="Times New Roman" w:eastAsia="仿宋" w:cs="Times New Roman"/>
          <w:color w:val="000000" w:themeColor="text1"/>
          <w:sz w:val="18"/>
          <w:szCs w:val="18"/>
          <w14:textFill>
            <w14:solidFill>
              <w14:schemeClr w14:val="tx1"/>
            </w14:solidFill>
          </w14:textFill>
        </w:rPr>
        <w:t>710048,Chian</w:t>
      </w:r>
      <w:r>
        <w:rPr>
          <w:rFonts w:hint="eastAsia" w:ascii="Times New Roman" w:hAnsi="Times New Roman" w:eastAsia="仿宋" w:cs="Times New Roman"/>
          <w:color w:val="000000" w:themeColor="text1"/>
          <w:sz w:val="18"/>
          <w:szCs w:val="18"/>
          <w14:textFill>
            <w14:solidFill>
              <w14:schemeClr w14:val="tx1"/>
            </w14:solidFill>
          </w14:textFill>
        </w:rPr>
        <w:t>；</w:t>
      </w:r>
    </w:p>
    <w:p w14:paraId="6566B270">
      <w:pPr>
        <w:autoSpaceDE w:val="0"/>
        <w:autoSpaceDN w:val="0"/>
        <w:adjustRightInd w:val="0"/>
        <w:snapToGrid w:val="0"/>
        <w:spacing w:line="300" w:lineRule="exact"/>
        <w:rPr>
          <w:rFonts w:ascii="Times New Roman" w:hAnsi="Times New Roman" w:eastAsia="仿宋" w:cs="Times New Roman"/>
          <w:iCs/>
          <w:color w:val="000000" w:themeColor="text1"/>
          <w:sz w:val="18"/>
          <w:szCs w:val="18"/>
          <w14:textFill>
            <w14:solidFill>
              <w14:schemeClr w14:val="tx1"/>
            </w14:solidFill>
          </w14:textFill>
        </w:rPr>
      </w:pPr>
      <w:r>
        <w:rPr>
          <w:rFonts w:ascii="Times New Roman" w:hAnsi="Times New Roman" w:eastAsia="仿宋" w:cs="Times New Roman"/>
          <w:b/>
          <w:bCs/>
          <w:color w:val="000000" w:themeColor="text1"/>
          <w14:textFill>
            <w14:solidFill>
              <w14:schemeClr w14:val="tx1"/>
            </w14:solidFill>
          </w14:textFill>
        </w:rPr>
        <w:t>Abstract</w:t>
      </w:r>
      <w:r>
        <w:rPr>
          <w:rFonts w:ascii="Times New Roman" w:hAnsi="Times New Roman" w:eastAsia="仿宋" w:cs="Times New Roman"/>
          <w:color w:val="000000" w:themeColor="text1"/>
          <w:sz w:val="18"/>
          <w:szCs w:val="18"/>
          <w14:textFill>
            <w14:solidFill>
              <w14:schemeClr w14:val="tx1"/>
            </w14:solidFill>
          </w14:textFill>
        </w:rPr>
        <w:t>：</w:t>
      </w:r>
      <w:r>
        <w:rPr>
          <w:rFonts w:ascii="Times New Roman" w:hAnsi="Times New Roman" w:eastAsia="仿宋" w:cs="Times New Roman"/>
          <w:iCs/>
          <w:color w:val="000000" w:themeColor="text1"/>
          <w:sz w:val="18"/>
          <w:szCs w:val="18"/>
          <w14:textFill>
            <w14:solidFill>
              <w14:schemeClr w14:val="tx1"/>
            </w14:solidFill>
          </w14:textFill>
        </w:rPr>
        <w:t xml:space="preserve">Zernike polynomials, characterized by their orthogonality and rotational symmetry, hold fundamental significance in transforming complex optical wavefronts into analytically tractable mathematical mode, thereby establishing a theoretical framework for optical system design, error diagnosis, and real-time control. This paper systematically investigates the applications and </w:t>
      </w:r>
      <w:r>
        <w:rPr>
          <w:rFonts w:ascii="Times New Roman" w:hAnsi="Times New Roman" w:cs="Times New Roman"/>
          <w:color w:val="0F1115"/>
          <w:sz w:val="18"/>
          <w:szCs w:val="18"/>
          <w:shd w:val="clear" w:color="auto" w:fill="FFFFFF"/>
        </w:rPr>
        <w:t>description </w:t>
      </w:r>
      <w:r>
        <w:rPr>
          <w:rFonts w:ascii="Times New Roman" w:hAnsi="Times New Roman" w:eastAsia="仿宋" w:cs="Times New Roman"/>
          <w:iCs/>
          <w:color w:val="000000" w:themeColor="text1"/>
          <w:sz w:val="18"/>
          <w:szCs w:val="18"/>
          <w14:textFill>
            <w14:solidFill>
              <w14:schemeClr w14:val="tx1"/>
            </w14:solidFill>
          </w14:textFill>
        </w:rPr>
        <w:t>of Zernike polynomials in optical systems, encompassing wavefront aberration characterization, surface fitting, wavefront reconstruction, optical image processing, and ophthalmic optics. Finally, grounded in practical implementation challenges, the study critically addresses existing limitations in current applications and proposes future development trajectories for Zernike polynomial-based methodologies.</w:t>
      </w:r>
    </w:p>
    <w:p w14:paraId="795AC04B">
      <w:pPr>
        <w:autoSpaceDE w:val="0"/>
        <w:autoSpaceDN w:val="0"/>
        <w:adjustRightInd w:val="0"/>
        <w:snapToGrid w:val="0"/>
        <w:spacing w:line="300" w:lineRule="exact"/>
        <w:rPr>
          <w:rFonts w:ascii="Times New Roman" w:hAnsi="Times New Roman" w:eastAsia="仿宋" w:cs="Times New Roman"/>
          <w:iCs/>
          <w:color w:val="000000" w:themeColor="text1"/>
          <w:sz w:val="18"/>
          <w:szCs w:val="18"/>
          <w14:textFill>
            <w14:solidFill>
              <w14:schemeClr w14:val="tx1"/>
            </w14:solidFill>
          </w14:textFill>
        </w:rPr>
      </w:pPr>
      <w:r>
        <w:rPr>
          <w:rFonts w:ascii="Times New Roman" w:hAnsi="Times New Roman" w:eastAsia="仿宋" w:cs="Times New Roman"/>
          <w:b/>
          <w:bCs/>
          <w:iCs/>
          <w:color w:val="000000" w:themeColor="text1"/>
          <w14:textFill>
            <w14:solidFill>
              <w14:schemeClr w14:val="tx1"/>
            </w14:solidFill>
          </w14:textFill>
        </w:rPr>
        <w:t>Key words</w:t>
      </w:r>
      <w:r>
        <w:rPr>
          <w:rFonts w:ascii="Times New Roman" w:hAnsi="Times New Roman" w:eastAsia="仿宋" w:cs="Times New Roman"/>
          <w:iCs/>
          <w:color w:val="000000" w:themeColor="text1"/>
          <w:sz w:val="18"/>
          <w:szCs w:val="18"/>
          <w14:textFill>
            <w14:solidFill>
              <w14:schemeClr w14:val="tx1"/>
            </w14:solidFill>
          </w14:textFill>
        </w:rPr>
        <w:t>：</w:t>
      </w:r>
      <w:r>
        <w:rPr>
          <w:rFonts w:hint="eastAsia" w:ascii="Times New Roman" w:hAnsi="Times New Roman" w:eastAsia="仿宋" w:cs="Times New Roman"/>
          <w:iCs/>
          <w:color w:val="000000" w:themeColor="text1"/>
          <w:sz w:val="18"/>
          <w:szCs w:val="18"/>
          <w14:textFill>
            <w14:solidFill>
              <w14:schemeClr w14:val="tx1"/>
            </w14:solidFill>
          </w14:textFill>
        </w:rPr>
        <w:t>Z</w:t>
      </w:r>
      <w:r>
        <w:rPr>
          <w:rFonts w:ascii="Times New Roman" w:hAnsi="Times New Roman" w:eastAsia="仿宋" w:cs="Times New Roman"/>
          <w:iCs/>
          <w:color w:val="000000" w:themeColor="text1"/>
          <w:sz w:val="18"/>
          <w:szCs w:val="18"/>
          <w14:textFill>
            <w14:solidFill>
              <w14:schemeClr w14:val="tx1"/>
            </w14:solidFill>
          </w14:textFill>
        </w:rPr>
        <w:t xml:space="preserve">ernike </w:t>
      </w:r>
      <w:r>
        <w:rPr>
          <w:rFonts w:hint="eastAsia" w:ascii="Times New Roman" w:hAnsi="Times New Roman" w:eastAsia="仿宋" w:cs="Times New Roman"/>
          <w:iCs/>
          <w:color w:val="000000" w:themeColor="text1"/>
          <w:sz w:val="18"/>
          <w:szCs w:val="18"/>
          <w14:textFill>
            <w14:solidFill>
              <w14:schemeClr w14:val="tx1"/>
            </w14:solidFill>
          </w14:textFill>
        </w:rPr>
        <w:t>p</w:t>
      </w:r>
      <w:r>
        <w:rPr>
          <w:rFonts w:ascii="Times New Roman" w:hAnsi="Times New Roman" w:eastAsia="仿宋" w:cs="Times New Roman"/>
          <w:iCs/>
          <w:color w:val="000000" w:themeColor="text1"/>
          <w:sz w:val="18"/>
          <w:szCs w:val="18"/>
          <w14:textFill>
            <w14:solidFill>
              <w14:schemeClr w14:val="tx1"/>
            </w14:solidFill>
          </w14:textFill>
        </w:rPr>
        <w:t>olynomials, wavefront aberration, engineering applications</w:t>
      </w:r>
    </w:p>
    <w:p w14:paraId="23C12B7E">
      <w:pPr>
        <w:pStyle w:val="62"/>
        <w:spacing w:before="93" w:beforeLines="30" w:after="93" w:afterLines="30" w:line="300" w:lineRule="exact"/>
        <w:jc w:val="both"/>
        <w:outlineLvl w:val="1"/>
        <w:rPr>
          <w:rFonts w:ascii="黑体" w:hAnsi="黑体"/>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0</w:t>
      </w:r>
      <w:r>
        <w:rPr>
          <w:rFonts w:hint="eastAsia" w:ascii="黑体" w:hAnsi="黑体"/>
          <w:color w:val="000000" w:themeColor="text1"/>
          <w:sz w:val="24"/>
          <w:szCs w:val="24"/>
          <w14:textFill>
            <w14:solidFill>
              <w14:schemeClr w14:val="tx1"/>
            </w14:solidFill>
          </w14:textFill>
        </w:rPr>
        <w:t xml:space="preserve"> 引言</w:t>
      </w:r>
    </w:p>
    <w:p w14:paraId="39AAB6D1">
      <w:pPr>
        <w:pStyle w:val="65"/>
        <w:spacing w:line="300" w:lineRule="exact"/>
        <w:ind w:firstLine="420"/>
        <w:rPr>
          <w:rFonts w:ascii="宋体" w:hAnsi="宋体"/>
          <w:color w:val="000000" w:themeColor="text1"/>
          <w:szCs w:val="20"/>
          <w14:textFill>
            <w14:solidFill>
              <w14:schemeClr w14:val="tx1"/>
            </w14:solidFill>
          </w14:textFill>
        </w:rPr>
      </w:pPr>
      <w:bookmarkStart w:id="6" w:name="OLE_LINK7"/>
      <w:r>
        <w:rPr>
          <w:rFonts w:hint="eastAsia" w:ascii="宋体" w:hAnsi="宋体"/>
          <w:color w:val="000000" w:themeColor="text1"/>
          <w:szCs w:val="20"/>
          <w14:textFill>
            <w14:solidFill>
              <w14:schemeClr w14:val="tx1"/>
            </w14:solidFill>
          </w14:textFill>
        </w:rPr>
        <w:t>在高精度成像、光束控制等光学系统中，波前的精确描述与校正是保证系统性能的核心环节。光学系统的表现不仅受到光学元件设计及制造质量的制约，还会受到光波在传播过程中的畸变影响。为了有效描述与分析这类波前畸变，</w:t>
      </w:r>
      <w:r>
        <w:rPr>
          <w:rFonts w:ascii="宋体" w:hAnsi="宋体"/>
          <w:color w:val="000000" w:themeColor="text1"/>
          <w:szCs w:val="20"/>
          <w14:textFill>
            <w14:solidFill>
              <w14:schemeClr w14:val="tx1"/>
            </w14:solidFill>
          </w14:textFill>
        </w:rPr>
        <w:t>Zernike多项式作为一种经典的数学工具，在光学建模与像差研究中得到了广泛应用。</w:t>
      </w:r>
    </w:p>
    <w:p w14:paraId="219A1A67">
      <w:pPr>
        <w:pStyle w:val="65"/>
        <w:spacing w:line="300" w:lineRule="exact"/>
        <w:ind w:firstLine="420"/>
        <w:rPr>
          <w:rFonts w:ascii="宋体" w:hAnsi="宋体"/>
          <w:color w:val="000000" w:themeColor="text1"/>
          <w:szCs w:val="20"/>
          <w14:textFill>
            <w14:solidFill>
              <w14:schemeClr w14:val="tx1"/>
            </w14:solidFill>
          </w14:textFill>
        </w:rPr>
      </w:pPr>
      <w:r>
        <w:rPr>
          <w:rFonts w:ascii="宋体" w:hAnsi="宋体"/>
          <w:color w:val="000000" w:themeColor="text1"/>
          <w:szCs w:val="20"/>
          <w14:textFill>
            <w14:solidFill>
              <w14:schemeClr w14:val="tx1"/>
            </w14:solidFill>
          </w14:textFill>
        </w:rPr>
        <w:t>Zernike多项式能够将复杂波前误差分解为一系列具备明确物理意义的基函数，从而简洁、高效地描述波前形态。其在透镜、显微镜、望远镜以及激光系统等复杂光学系统中，不仅可用于表示各类像差，还可实现对波前畸变的精确建模。基于Zernike多项式的波前拟合与重构技术，为系统性能评估、设计优化以及实时校正提供了理论依据，并推动了自适应光学与波前传感技术的发展。</w:t>
      </w:r>
    </w:p>
    <w:p w14:paraId="49415C2A">
      <w:pPr>
        <w:pStyle w:val="65"/>
        <w:spacing w:line="300" w:lineRule="exact"/>
        <w:ind w:firstLine="42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本文系统分析</w:t>
      </w:r>
      <w:r>
        <w:rPr>
          <w:rFonts w:ascii="宋体" w:hAnsi="宋体"/>
          <w:color w:val="000000" w:themeColor="text1"/>
          <w:szCs w:val="20"/>
          <w14:textFill>
            <w14:solidFill>
              <w14:schemeClr w14:val="tx1"/>
            </w14:solidFill>
          </w14:textFill>
        </w:rPr>
        <w:t>Zernike多项式在波前像差表示、波面拟合与波前重构等方面的主要应用，展望其在未来复杂光学系统中的发展方向与改进潜力</w:t>
      </w:r>
      <w:r>
        <w:rPr>
          <w:rFonts w:hint="eastAsia" w:ascii="宋体" w:hAnsi="宋体"/>
          <w:color w:val="000000" w:themeColor="text1"/>
          <w:szCs w:val="20"/>
          <w14:textFill>
            <w14:solidFill>
              <w14:schemeClr w14:val="tx1"/>
            </w14:solidFill>
          </w14:textFill>
        </w:rPr>
        <w:t>。</w:t>
      </w:r>
    </w:p>
    <w:p w14:paraId="70517CB9">
      <w:pPr>
        <w:pStyle w:val="65"/>
        <w:spacing w:line="300" w:lineRule="exact"/>
        <w:ind w:firstLine="420"/>
        <w:rPr>
          <w:rFonts w:hint="eastAsia" w:ascii="宋体" w:hAnsi="宋体"/>
          <w:color w:val="000000" w:themeColor="text1"/>
          <w:szCs w:val="20"/>
          <w14:textFill>
            <w14:solidFill>
              <w14:schemeClr w14:val="tx1"/>
            </w14:solidFill>
          </w14:textFill>
        </w:rPr>
      </w:pPr>
    </w:p>
    <w:bookmarkEnd w:id="6"/>
    <w:p w14:paraId="4F419269">
      <w:pPr>
        <w:pStyle w:val="62"/>
        <w:spacing w:before="93" w:beforeLines="30" w:after="93" w:afterLines="30" w:line="300" w:lineRule="exact"/>
        <w:jc w:val="both"/>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1  Zernike多项式的特点</w:t>
      </w:r>
    </w:p>
    <w:p w14:paraId="4EEE37C6">
      <w:pPr>
        <w:pStyle w:val="65"/>
        <w:spacing w:line="300" w:lineRule="exact"/>
        <w:ind w:firstLine="420"/>
        <w:rPr>
          <w:rFonts w:ascii="Segoe UI" w:hAnsi="Segoe UI" w:cs="Segoe UI"/>
          <w:color w:val="000000" w:themeColor="text1"/>
          <w:shd w:val="clear" w:color="auto" w:fill="FFFFFF"/>
          <w14:textFill>
            <w14:solidFill>
              <w14:schemeClr w14:val="tx1"/>
            </w14:solidFill>
          </w14:textFill>
        </w:rPr>
      </w:pPr>
      <w:r>
        <w:rPr>
          <w:rFonts w:hint="eastAsia" w:ascii="Times New Roman" w:hAnsi="Times New Roman"/>
          <w:color w:val="000000" w:themeColor="text1"/>
          <w14:textFill>
            <w14:solidFill>
              <w14:schemeClr w14:val="tx1"/>
            </w14:solidFill>
          </w14:textFill>
        </w:rPr>
        <w:t>在光学系统中，</w:t>
      </w:r>
      <w:r>
        <w:rPr>
          <w:rFonts w:ascii="Segoe UI" w:hAnsi="Segoe UI" w:cs="Segoe UI"/>
          <w:color w:val="000000" w:themeColor="text1"/>
          <w:shd w:val="clear" w:color="auto" w:fill="FFFFFF"/>
          <w14:textFill>
            <w14:solidFill>
              <w14:schemeClr w14:val="tx1"/>
            </w14:solidFill>
          </w14:textFill>
        </w:rPr>
        <w:t>光学系统中的曲面表征是描述光学元件</w:t>
      </w:r>
      <w:r>
        <w:rPr>
          <w:rFonts w:ascii="Times New Roman" w:hAnsi="Times New Roman"/>
          <w:color w:val="000000" w:themeColor="text1"/>
          <w:shd w:val="clear" w:color="auto" w:fill="FFFFFF"/>
          <w14:textFill>
            <w14:solidFill>
              <w14:schemeClr w14:val="tx1"/>
            </w14:solidFill>
          </w14:textFill>
        </w:rPr>
        <w:t>（透镜、反射镜）</w:t>
      </w:r>
      <w:r>
        <w:rPr>
          <w:rFonts w:ascii="Segoe UI" w:hAnsi="Segoe UI" w:cs="Segoe UI"/>
          <w:color w:val="000000" w:themeColor="text1"/>
          <w:shd w:val="clear" w:color="auto" w:fill="FFFFFF"/>
          <w14:textFill>
            <w14:solidFill>
              <w14:schemeClr w14:val="tx1"/>
            </w14:solidFill>
          </w14:textFill>
        </w:rPr>
        <w:t>等表面几何形状的关键技术，直接影响光学系统的成像质量、制造精度和检测方法</w:t>
      </w:r>
      <w:r>
        <w:rPr>
          <w:rFonts w:hint="eastAsia" w:ascii="Segoe UI" w:hAnsi="Segoe UI" w:cs="Segoe UI"/>
          <w:color w:val="000000" w:themeColor="text1"/>
          <w:shd w:val="clear" w:color="auto" w:fill="FFFFFF"/>
          <w14:textFill>
            <w14:solidFill>
              <w14:schemeClr w14:val="tx1"/>
            </w14:solidFill>
          </w14:textFill>
        </w:rPr>
        <w:t>，</w:t>
      </w:r>
      <w:r>
        <w:rPr>
          <w:rFonts w:ascii="Times New Roman" w:hAnsi="Times New Roman"/>
          <w:color w:val="000000" w:themeColor="text1"/>
          <w14:textFill>
            <w14:solidFill>
              <w14:schemeClr w14:val="tx1"/>
            </w14:solidFill>
          </w14:textFill>
        </w:rPr>
        <w:t>常见的有Q型多项式、</w:t>
      </w:r>
      <w:r>
        <w:rPr>
          <w:rFonts w:ascii="Times New Roman" w:hAnsi="Times New Roman"/>
          <w:color w:val="000000" w:themeColor="text1"/>
          <w:shd w:val="clear" w:color="auto" w:fill="FFFFFF"/>
          <w14:textFill>
            <w14:solidFill>
              <w14:schemeClr w14:val="tx1"/>
            </w14:solidFill>
          </w14:textFill>
        </w:rPr>
        <w:t>Zernike多项式</w:t>
      </w:r>
      <w:r>
        <w:rPr>
          <w:rFonts w:hint="eastAsia" w:ascii="Times New Roman" w:hAnsi="Times New Roman"/>
          <w:color w:val="000000" w:themeColor="text1"/>
          <w:shd w:val="clear" w:color="auto" w:fill="FFFFFF"/>
          <w14:textFill>
            <w14:solidFill>
              <w14:schemeClr w14:val="tx1"/>
            </w14:solidFill>
          </w14:textFill>
        </w:rPr>
        <w:t>、</w:t>
      </w:r>
      <w:r>
        <w:rPr>
          <w:rFonts w:ascii="Times New Roman" w:hAnsi="Times New Roman"/>
          <w:color w:val="000000" w:themeColor="text1"/>
          <w:shd w:val="clear" w:color="auto" w:fill="FFFFFF"/>
          <w14:textFill>
            <w14:solidFill>
              <w14:schemeClr w14:val="tx1"/>
            </w14:solidFill>
          </w14:textFill>
        </w:rPr>
        <w:t>XY多项式</w:t>
      </w:r>
      <w:r>
        <w:rPr>
          <w:rFonts w:hint="eastAsia" w:ascii="Times New Roman" w:hAnsi="Times New Roman"/>
          <w:color w:val="000000" w:themeColor="text1"/>
          <w:shd w:val="clear" w:color="auto" w:fill="FFFFFF"/>
          <w14:textFill>
            <w14:solidFill>
              <w14:schemeClr w14:val="tx1"/>
            </w14:solidFill>
          </w14:textFill>
        </w:rPr>
        <w:t>、</w:t>
      </w:r>
      <w:r>
        <w:rPr>
          <w:rFonts w:ascii="Times New Roman" w:hAnsi="Times New Roman"/>
          <w:color w:val="000000" w:themeColor="text1"/>
          <w:shd w:val="clear" w:color="auto" w:fill="FFFFFF"/>
          <w14:textFill>
            <w14:solidFill>
              <w14:schemeClr w14:val="tx1"/>
            </w14:solidFill>
          </w14:textFill>
        </w:rPr>
        <w:t>径向基函数</w:t>
      </w:r>
      <w:r>
        <w:rPr>
          <w:rFonts w:hint="eastAsia" w:ascii="Times New Roman" w:hAnsi="Times New Roman"/>
          <w:color w:val="000000" w:themeColor="text1"/>
          <w:shd w:val="clear" w:color="auto" w:fill="FFFFFF"/>
          <w14:textFill>
            <w14:solidFill>
              <w14:schemeClr w14:val="tx1"/>
            </w14:solidFill>
          </w14:textFill>
        </w:rPr>
        <w:t>、</w:t>
      </w:r>
      <w:r>
        <w:rPr>
          <w:rFonts w:ascii="Times New Roman" w:hAnsi="Times New Roman"/>
          <w:color w:val="000000" w:themeColor="text1"/>
          <w:shd w:val="clear" w:color="auto" w:fill="FFFFFF"/>
          <w14:textFill>
            <w14:solidFill>
              <w14:schemeClr w14:val="tx1"/>
            </w14:solidFill>
          </w14:textFill>
        </w:rPr>
        <w:t>NURBS函数等多种描述方法</w:t>
      </w:r>
      <w:r>
        <w:rPr>
          <w:rFonts w:hint="eastAsia" w:ascii="Times New Roman" w:hAnsi="Times New Roman"/>
          <w:color w:val="000000" w:themeColor="text1"/>
          <w:shd w:val="clear" w:color="auto" w:fill="FFFFFF"/>
          <w14:textFill>
            <w14:solidFill>
              <w14:schemeClr w14:val="tx1"/>
            </w14:solidFill>
          </w14:textFill>
        </w:rPr>
        <w:t>，如表1所示</w:t>
      </w:r>
      <w:r>
        <w:rPr>
          <w:rFonts w:ascii="Segoe UI" w:hAnsi="Segoe UI" w:cs="Segoe UI"/>
          <w:color w:val="000000" w:themeColor="text1"/>
          <w:shd w:val="clear" w:color="auto" w:fill="FFFFFF"/>
          <w14:textFill>
            <w14:solidFill>
              <w14:schemeClr w14:val="tx1"/>
            </w14:solidFill>
          </w14:textFill>
        </w:rPr>
        <w:t>。</w:t>
      </w:r>
    </w:p>
    <w:p w14:paraId="16F0377F">
      <w:pPr>
        <w:pStyle w:val="65"/>
        <w:spacing w:line="300" w:lineRule="exact"/>
        <w:ind w:firstLine="0" w:firstLineChars="0"/>
        <w:jc w:val="center"/>
        <w:rPr>
          <w:rFonts w:ascii="Segoe UI" w:hAnsi="Segoe UI" w:cs="Segoe UI"/>
          <w:color w:val="000000" w:themeColor="text1"/>
          <w:sz w:val="18"/>
          <w:szCs w:val="18"/>
          <w:shd w:val="clear" w:color="auto" w:fill="FFFFFF"/>
          <w14:textFill>
            <w14:solidFill>
              <w14:schemeClr w14:val="tx1"/>
            </w14:solidFill>
          </w14:textFill>
        </w:rPr>
      </w:pPr>
      <w:r>
        <w:rPr>
          <w:rFonts w:hint="eastAsia" w:ascii="Segoe UI" w:hAnsi="Segoe UI" w:cs="Segoe UI"/>
          <w:color w:val="000000" w:themeColor="text1"/>
          <w:sz w:val="18"/>
          <w:szCs w:val="18"/>
          <w:shd w:val="clear" w:color="auto" w:fill="FFFFFF"/>
          <w14:textFill>
            <w14:solidFill>
              <w14:schemeClr w14:val="tx1"/>
            </w14:solidFill>
          </w14:textFill>
        </w:rPr>
        <w:t>表1 不同曲面表征方式优劣点对比</w:t>
      </w:r>
    </w:p>
    <w:tbl>
      <w:tblPr>
        <w:tblStyle w:val="69"/>
        <w:tblW w:w="8570"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43"/>
        <w:gridCol w:w="3402"/>
        <w:gridCol w:w="3325"/>
      </w:tblGrid>
      <w:tr w14:paraId="492123F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jc w:val="center"/>
        </w:trPr>
        <w:tc>
          <w:tcPr>
            <w:tcW w:w="1843" w:type="dxa"/>
            <w:tcBorders>
              <w:top w:val="single" w:color="auto" w:sz="2" w:space="0"/>
              <w:bottom w:val="single" w:color="auto" w:sz="4" w:space="0"/>
            </w:tcBorders>
          </w:tcPr>
          <w:p w14:paraId="402464D4">
            <w:pPr>
              <w:jc w:val="center"/>
              <w:rPr>
                <w:rFonts w:ascii="Arial" w:hAnsi="Arial" w:eastAsia="宋体" w:cs="Arial"/>
                <w:color w:val="000000" w:themeColor="text1"/>
                <w:kern w:val="0"/>
                <w:sz w:val="15"/>
                <w:szCs w:val="15"/>
                <w14:textFill>
                  <w14:solidFill>
                    <w14:schemeClr w14:val="tx1"/>
                  </w14:solidFill>
                </w14:textFill>
                <w14:ligatures w14:val="none"/>
              </w:rPr>
            </w:pPr>
            <w:r>
              <w:rPr>
                <w:rFonts w:ascii="Arial" w:hAnsi="Arial" w:eastAsia="宋体" w:cs="Arial"/>
                <w:color w:val="000000" w:themeColor="text1"/>
                <w:kern w:val="0"/>
                <w:sz w:val="15"/>
                <w:szCs w:val="15"/>
                <w14:textFill>
                  <w14:solidFill>
                    <w14:schemeClr w14:val="tx1"/>
                  </w14:solidFill>
                </w14:textFill>
                <w14:ligatures w14:val="none"/>
              </w:rPr>
              <w:t>曲面表征函数与方法</w:t>
            </w:r>
          </w:p>
        </w:tc>
        <w:tc>
          <w:tcPr>
            <w:tcW w:w="3402" w:type="dxa"/>
            <w:tcBorders>
              <w:top w:val="single" w:color="auto" w:sz="2" w:space="0"/>
              <w:bottom w:val="single" w:color="auto" w:sz="4" w:space="0"/>
            </w:tcBorders>
          </w:tcPr>
          <w:p w14:paraId="4F3CF999">
            <w:pPr>
              <w:jc w:val="center"/>
              <w:rPr>
                <w:rFonts w:ascii="Arial" w:hAnsi="Arial" w:eastAsia="宋体" w:cs="Arial"/>
                <w:color w:val="000000" w:themeColor="text1"/>
                <w:kern w:val="0"/>
                <w:sz w:val="15"/>
                <w:szCs w:val="15"/>
                <w14:textFill>
                  <w14:solidFill>
                    <w14:schemeClr w14:val="tx1"/>
                  </w14:solidFill>
                </w14:textFill>
                <w14:ligatures w14:val="none"/>
              </w:rPr>
            </w:pPr>
            <w:r>
              <w:rPr>
                <w:rFonts w:ascii="Arial" w:hAnsi="Arial" w:eastAsia="宋体" w:cs="Arial"/>
                <w:color w:val="000000" w:themeColor="text1"/>
                <w:kern w:val="0"/>
                <w:sz w:val="15"/>
                <w:szCs w:val="15"/>
                <w14:textFill>
                  <w14:solidFill>
                    <w14:schemeClr w14:val="tx1"/>
                  </w14:solidFill>
                </w14:textFill>
                <w14:ligatures w14:val="none"/>
              </w:rPr>
              <w:t>优势</w:t>
            </w:r>
          </w:p>
        </w:tc>
        <w:tc>
          <w:tcPr>
            <w:tcW w:w="3325" w:type="dxa"/>
            <w:tcBorders>
              <w:top w:val="single" w:color="auto" w:sz="2" w:space="0"/>
              <w:bottom w:val="single" w:color="auto" w:sz="4" w:space="0"/>
            </w:tcBorders>
          </w:tcPr>
          <w:p w14:paraId="71404197">
            <w:pPr>
              <w:jc w:val="center"/>
              <w:rPr>
                <w:rFonts w:ascii="Arial" w:hAnsi="Arial" w:eastAsia="宋体" w:cs="Arial"/>
                <w:color w:val="000000" w:themeColor="text1"/>
                <w:kern w:val="0"/>
                <w:sz w:val="15"/>
                <w:szCs w:val="15"/>
                <w14:textFill>
                  <w14:solidFill>
                    <w14:schemeClr w14:val="tx1"/>
                  </w14:solidFill>
                </w14:textFill>
                <w14:ligatures w14:val="none"/>
              </w:rPr>
            </w:pPr>
            <w:r>
              <w:rPr>
                <w:rFonts w:ascii="Arial" w:hAnsi="Arial" w:eastAsia="宋体" w:cs="Arial"/>
                <w:color w:val="000000" w:themeColor="text1"/>
                <w:kern w:val="0"/>
                <w:sz w:val="15"/>
                <w:szCs w:val="15"/>
                <w14:textFill>
                  <w14:solidFill>
                    <w14:schemeClr w14:val="tx1"/>
                  </w14:solidFill>
                </w14:textFill>
                <w14:ligatures w14:val="none"/>
              </w:rPr>
              <w:t>缺点</w:t>
            </w:r>
          </w:p>
        </w:tc>
      </w:tr>
      <w:tr w14:paraId="66778DC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 w:hRule="atLeast"/>
          <w:jc w:val="center"/>
        </w:trPr>
        <w:tc>
          <w:tcPr>
            <w:tcW w:w="1843" w:type="dxa"/>
            <w:tcBorders>
              <w:top w:val="single" w:color="auto" w:sz="4" w:space="0"/>
            </w:tcBorders>
            <w:vAlign w:val="center"/>
          </w:tcPr>
          <w:p w14:paraId="176E4434">
            <w:pPr>
              <w:jc w:val="center"/>
              <w:rPr>
                <w:rFonts w:ascii="Times New Roman" w:hAnsi="Times New Roman" w:eastAsia="宋体" w:cs="Times New Roman"/>
                <w:color w:val="000000" w:themeColor="text1"/>
                <w:kern w:val="0"/>
                <w:sz w:val="15"/>
                <w:szCs w:val="15"/>
                <w14:textFill>
                  <w14:solidFill>
                    <w14:schemeClr w14:val="tx1"/>
                  </w14:solidFill>
                </w14:textFill>
                <w14:ligatures w14:val="none"/>
              </w:rPr>
            </w:pPr>
            <w:bookmarkStart w:id="7" w:name="OLE_LINK15"/>
            <w:r>
              <w:rPr>
                <w:rFonts w:ascii="Times New Roman" w:hAnsi="Times New Roman" w:eastAsia="宋体" w:cs="Times New Roman"/>
                <w:color w:val="000000" w:themeColor="text1"/>
                <w:kern w:val="0"/>
                <w:sz w:val="15"/>
                <w:szCs w:val="15"/>
                <w14:textFill>
                  <w14:solidFill>
                    <w14:schemeClr w14:val="tx1"/>
                  </w14:solidFill>
                </w14:textFill>
                <w14:ligatures w14:val="none"/>
              </w:rPr>
              <w:t>Zernike多项式</w:t>
            </w:r>
            <w:bookmarkEnd w:id="7"/>
          </w:p>
        </w:tc>
        <w:tc>
          <w:tcPr>
            <w:tcW w:w="3402" w:type="dxa"/>
            <w:tcBorders>
              <w:top w:val="single" w:color="auto" w:sz="4" w:space="0"/>
            </w:tcBorders>
          </w:tcPr>
          <w:p w14:paraId="7C3B4791">
            <w:pPr>
              <w:adjustRightInd w:val="0"/>
              <w:snapToGrid w:val="0"/>
              <w:spacing w:line="240" w:lineRule="exact"/>
              <w:rPr>
                <w:rFonts w:ascii="Times New Roman" w:hAnsi="Times New Roman" w:eastAsia="宋体" w:cs="Times New Roman"/>
                <w:color w:val="000000" w:themeColor="text1"/>
                <w:kern w:val="0"/>
                <w:sz w:val="15"/>
                <w:szCs w:val="15"/>
                <w14:textFill>
                  <w14:solidFill>
                    <w14:schemeClr w14:val="tx1"/>
                  </w14:solidFill>
                </w14:textFill>
                <w14:ligatures w14:val="none"/>
              </w:rPr>
            </w:pPr>
            <w:r>
              <w:rPr>
                <w:rFonts w:ascii="Times New Roman" w:hAnsi="Times New Roman" w:eastAsia="宋体" w:cs="Times New Roman"/>
                <w:color w:val="000000" w:themeColor="text1"/>
                <w:kern w:val="0"/>
                <w:sz w:val="15"/>
                <w:szCs w:val="15"/>
                <w14:textFill>
                  <w14:solidFill>
                    <w14:schemeClr w14:val="tx1"/>
                  </w14:solidFill>
                </w14:textFill>
                <w14:ligatures w14:val="none"/>
              </w:rPr>
              <w:t>每个Zernike项的系数可以独立求解，避免了耦合误差</w:t>
            </w: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w:t>
            </w:r>
            <w:r>
              <w:rPr>
                <w:rFonts w:ascii="Times New Roman" w:hAnsi="Times New Roman" w:eastAsia="宋体" w:cs="Times New Roman"/>
                <w:color w:val="000000" w:themeColor="text1"/>
                <w:kern w:val="0"/>
                <w:sz w:val="15"/>
                <w:szCs w:val="15"/>
                <w14:textFill>
                  <w14:solidFill>
                    <w14:schemeClr w14:val="tx1"/>
                  </w14:solidFill>
                </w14:textFill>
                <w14:ligatures w14:val="none"/>
              </w:rPr>
              <w:t>直接对应光学系统的经典像差类型</w:t>
            </w:r>
          </w:p>
        </w:tc>
        <w:tc>
          <w:tcPr>
            <w:tcW w:w="3325" w:type="dxa"/>
            <w:tcBorders>
              <w:top w:val="single" w:color="auto" w:sz="4" w:space="0"/>
            </w:tcBorders>
            <w:vAlign w:val="center"/>
          </w:tcPr>
          <w:p w14:paraId="09358D3A">
            <w:pPr>
              <w:adjustRightInd w:val="0"/>
              <w:snapToGrid w:val="0"/>
              <w:spacing w:line="240" w:lineRule="exact"/>
              <w:rPr>
                <w:rFonts w:ascii="Times New Roman" w:hAnsi="Times New Roman" w:eastAsia="宋体" w:cs="Times New Roman"/>
                <w:color w:val="000000" w:themeColor="text1"/>
                <w:kern w:val="0"/>
                <w:sz w:val="15"/>
                <w:szCs w:val="15"/>
                <w14:textFill>
                  <w14:solidFill>
                    <w14:schemeClr w14:val="tx1"/>
                  </w14:solidFill>
                </w14:textFill>
                <w14:ligatures w14:val="none"/>
              </w:rPr>
            </w:pPr>
            <w:r>
              <w:rPr>
                <w:rFonts w:ascii="Times New Roman" w:hAnsi="Times New Roman" w:eastAsia="宋体" w:cs="Times New Roman"/>
                <w:color w:val="000000" w:themeColor="text1"/>
                <w:kern w:val="0"/>
                <w:sz w:val="15"/>
                <w:szCs w:val="15"/>
                <w14:textFill>
                  <w14:solidFill>
                    <w14:schemeClr w14:val="tx1"/>
                  </w14:solidFill>
                </w14:textFill>
                <w14:ligatures w14:val="none"/>
              </w:rPr>
              <w:t>难以精确表征局部表面缺陷</w:t>
            </w: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w:t>
            </w:r>
            <w:r>
              <w:rPr>
                <w:rFonts w:ascii="Times New Roman" w:hAnsi="Times New Roman" w:eastAsia="宋体" w:cs="Times New Roman"/>
                <w:color w:val="000000" w:themeColor="text1"/>
                <w:kern w:val="0"/>
                <w:sz w:val="15"/>
                <w:szCs w:val="15"/>
                <w14:textFill>
                  <w14:solidFill>
                    <w14:schemeClr w14:val="tx1"/>
                  </w14:solidFill>
                </w14:textFill>
                <w14:ligatures w14:val="none"/>
              </w:rPr>
              <w:t>高阶Zernike项对微小表面误差</w:t>
            </w: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较为</w:t>
            </w:r>
            <w:r>
              <w:rPr>
                <w:rFonts w:ascii="Times New Roman" w:hAnsi="Times New Roman" w:eastAsia="宋体" w:cs="Times New Roman"/>
                <w:color w:val="000000" w:themeColor="text1"/>
                <w:kern w:val="0"/>
                <w:sz w:val="15"/>
                <w:szCs w:val="15"/>
                <w14:textFill>
                  <w14:solidFill>
                    <w14:schemeClr w14:val="tx1"/>
                  </w14:solidFill>
                </w14:textFill>
                <w14:ligatures w14:val="none"/>
              </w:rPr>
              <w:t>敏感</w:t>
            </w:r>
          </w:p>
        </w:tc>
      </w:tr>
      <w:tr w14:paraId="0FEE968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 w:hRule="atLeast"/>
          <w:jc w:val="center"/>
        </w:trPr>
        <w:tc>
          <w:tcPr>
            <w:tcW w:w="1843" w:type="dxa"/>
            <w:vAlign w:val="center"/>
          </w:tcPr>
          <w:p w14:paraId="138830B1">
            <w:pPr>
              <w:jc w:val="center"/>
              <w:rPr>
                <w:rFonts w:ascii="Times New Roman" w:hAnsi="Times New Roman" w:eastAsia="宋体" w:cs="Times New Roman"/>
                <w:color w:val="000000" w:themeColor="text1"/>
                <w:kern w:val="0"/>
                <w:sz w:val="15"/>
                <w:szCs w:val="15"/>
                <w14:textFill>
                  <w14:solidFill>
                    <w14:schemeClr w14:val="tx1"/>
                  </w14:solidFill>
                </w14:textFill>
                <w14:ligatures w14:val="none"/>
              </w:rPr>
            </w:pPr>
            <w:r>
              <w:rPr>
                <w:rFonts w:ascii="Times New Roman" w:hAnsi="Times New Roman" w:eastAsia="宋体" w:cs="Times New Roman"/>
                <w:color w:val="000000" w:themeColor="text1"/>
                <w:kern w:val="0"/>
                <w:sz w:val="15"/>
                <w:szCs w:val="15"/>
                <w14:textFill>
                  <w14:solidFill>
                    <w14:schemeClr w14:val="tx1"/>
                  </w14:solidFill>
                </w14:textFill>
                <w14:ligatures w14:val="none"/>
              </w:rPr>
              <w:t>Q</w:t>
            </w: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型</w:t>
            </w:r>
            <w:r>
              <w:rPr>
                <w:rFonts w:ascii="Times New Roman" w:hAnsi="Times New Roman" w:eastAsia="宋体" w:cs="Times New Roman"/>
                <w:color w:val="000000" w:themeColor="text1"/>
                <w:kern w:val="0"/>
                <w:sz w:val="15"/>
                <w:szCs w:val="15"/>
                <w14:textFill>
                  <w14:solidFill>
                    <w14:schemeClr w14:val="tx1"/>
                  </w14:solidFill>
                </w14:textFill>
                <w14:ligatures w14:val="none"/>
              </w:rPr>
              <w:t>多项式</w:t>
            </w:r>
          </w:p>
        </w:tc>
        <w:tc>
          <w:tcPr>
            <w:tcW w:w="3402" w:type="dxa"/>
          </w:tcPr>
          <w:p w14:paraId="6AC0BEC1">
            <w:pPr>
              <w:adjustRightInd w:val="0"/>
              <w:snapToGrid w:val="0"/>
              <w:spacing w:line="240" w:lineRule="exact"/>
              <w:rPr>
                <w:rFonts w:ascii="Times New Roman" w:hAnsi="Times New Roman" w:eastAsia="宋体" w:cs="Times New Roman"/>
                <w:color w:val="000000" w:themeColor="text1"/>
                <w:kern w:val="0"/>
                <w:sz w:val="15"/>
                <w:szCs w:val="15"/>
                <w14:textFill>
                  <w14:solidFill>
                    <w14:schemeClr w14:val="tx1"/>
                  </w14:solidFill>
                </w14:textFill>
                <w14:ligatures w14:val="none"/>
              </w:rPr>
            </w:pPr>
            <w:r>
              <w:rPr>
                <w:rFonts w:ascii="Times New Roman" w:hAnsi="Times New Roman" w:eastAsia="宋体" w:cs="Times New Roman"/>
                <w:color w:val="000000" w:themeColor="text1"/>
                <w:kern w:val="0"/>
                <w:sz w:val="15"/>
                <w:szCs w:val="15"/>
                <w14:textFill>
                  <w14:solidFill>
                    <w14:schemeClr w14:val="tx1"/>
                  </w14:solidFill>
                </w14:textFill>
                <w14:ligatures w14:val="none"/>
              </w:rPr>
              <w:t>通过调整正交化权重，更精确地拟合边缘区域的高阶像差</w:t>
            </w:r>
          </w:p>
        </w:tc>
        <w:tc>
          <w:tcPr>
            <w:tcW w:w="3325" w:type="dxa"/>
            <w:vAlign w:val="center"/>
          </w:tcPr>
          <w:p w14:paraId="7F62E4C0">
            <w:pPr>
              <w:adjustRightInd w:val="0"/>
              <w:snapToGrid w:val="0"/>
              <w:rPr>
                <w:rFonts w:ascii="Times New Roman" w:hAnsi="Times New Roman" w:eastAsia="宋体" w:cs="Times New Roman"/>
                <w:color w:val="000000" w:themeColor="text1"/>
                <w:kern w:val="0"/>
                <w:sz w:val="15"/>
                <w:szCs w:val="15"/>
                <w14:textFill>
                  <w14:solidFill>
                    <w14:schemeClr w14:val="tx1"/>
                  </w14:solidFill>
                </w14:textFill>
                <w14:ligatures w14:val="none"/>
              </w:rPr>
            </w:pPr>
            <w:r>
              <w:rPr>
                <w:rFonts w:ascii="Times New Roman" w:hAnsi="Times New Roman" w:eastAsia="宋体" w:cs="Times New Roman"/>
                <w:color w:val="000000" w:themeColor="text1"/>
                <w:kern w:val="0"/>
                <w:sz w:val="15"/>
                <w:szCs w:val="15"/>
                <w14:textFill>
                  <w14:solidFill>
                    <w14:schemeClr w14:val="tx1"/>
                  </w14:solidFill>
                </w14:textFill>
                <w14:ligatures w14:val="none"/>
              </w:rPr>
              <w:t>数学推导和计算复杂度远高于Zernike多项式</w:t>
            </w:r>
          </w:p>
        </w:tc>
      </w:tr>
      <w:tr w14:paraId="72687D9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843" w:type="dxa"/>
            <w:vAlign w:val="center"/>
          </w:tcPr>
          <w:p w14:paraId="4F10BD56">
            <w:pPr>
              <w:jc w:val="center"/>
              <w:rPr>
                <w:rFonts w:ascii="Times New Roman" w:hAnsi="Times New Roman" w:eastAsia="宋体" w:cs="Times New Roman"/>
                <w:color w:val="000000" w:themeColor="text1"/>
                <w:kern w:val="0"/>
                <w:sz w:val="15"/>
                <w:szCs w:val="15"/>
                <w14:textFill>
                  <w14:solidFill>
                    <w14:schemeClr w14:val="tx1"/>
                  </w14:solidFill>
                </w14:textFill>
                <w14:ligatures w14:val="none"/>
              </w:rPr>
            </w:pPr>
            <w:r>
              <w:rPr>
                <w:rFonts w:ascii="Times New Roman" w:hAnsi="Times New Roman" w:eastAsia="宋体" w:cs="Times New Roman"/>
                <w:color w:val="000000" w:themeColor="text1"/>
                <w:kern w:val="0"/>
                <w:sz w:val="15"/>
                <w:szCs w:val="15"/>
                <w14:textFill>
                  <w14:solidFill>
                    <w14:schemeClr w14:val="tx1"/>
                  </w14:solidFill>
                </w14:textFill>
                <w14:ligatures w14:val="none"/>
              </w:rPr>
              <w:t>XY多项式</w:t>
            </w:r>
          </w:p>
        </w:tc>
        <w:tc>
          <w:tcPr>
            <w:tcW w:w="3402" w:type="dxa"/>
          </w:tcPr>
          <w:p w14:paraId="503C6A5A">
            <w:pPr>
              <w:adjustRightInd w:val="0"/>
              <w:snapToGrid w:val="0"/>
              <w:spacing w:line="240" w:lineRule="exact"/>
              <w:rPr>
                <w:rFonts w:ascii="Times New Roman" w:hAnsi="Times New Roman" w:eastAsia="宋体" w:cs="Times New Roman"/>
                <w:color w:val="000000" w:themeColor="text1"/>
                <w:kern w:val="0"/>
                <w:sz w:val="15"/>
                <w:szCs w:val="15"/>
                <w14:textFill>
                  <w14:solidFill>
                    <w14:schemeClr w14:val="tx1"/>
                  </w14:solidFill>
                </w14:textFill>
                <w14:ligatures w14:val="none"/>
              </w:rPr>
            </w:pPr>
            <w:r>
              <w:rPr>
                <w:rFonts w:ascii="Times New Roman" w:hAnsi="Times New Roman" w:eastAsia="宋体" w:cs="Times New Roman"/>
                <w:color w:val="000000" w:themeColor="text1"/>
                <w:kern w:val="0"/>
                <w:sz w:val="15"/>
                <w:szCs w:val="15"/>
                <w14:textFill>
                  <w14:solidFill>
                    <w14:schemeClr w14:val="tx1"/>
                  </w14:solidFill>
                </w14:textFill>
                <w14:ligatures w14:val="none"/>
              </w:rPr>
              <w:t>允许对曲面局部区域进行精细化调整</w:t>
            </w: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w:t>
            </w:r>
            <w:r>
              <w:rPr>
                <w:rFonts w:ascii="Times New Roman" w:hAnsi="Times New Roman" w:eastAsia="宋体" w:cs="Times New Roman"/>
                <w:color w:val="000000" w:themeColor="text1"/>
                <w:kern w:val="0"/>
                <w:sz w:val="15"/>
                <w:szCs w:val="15"/>
                <w14:textFill>
                  <w14:solidFill>
                    <w14:schemeClr w14:val="tx1"/>
                  </w14:solidFill>
                </w14:textFill>
                <w14:ligatures w14:val="none"/>
              </w:rPr>
              <w:t xml:space="preserve"> 提供高效的优化算法和公差分析模块</w:t>
            </w:r>
          </w:p>
        </w:tc>
        <w:tc>
          <w:tcPr>
            <w:tcW w:w="3325" w:type="dxa"/>
          </w:tcPr>
          <w:p w14:paraId="0CF6C822">
            <w:pPr>
              <w:adjustRightInd w:val="0"/>
              <w:snapToGrid w:val="0"/>
              <w:spacing w:line="240" w:lineRule="exact"/>
              <w:rPr>
                <w:rFonts w:ascii="Times New Roman" w:hAnsi="Times New Roman" w:eastAsia="宋体" w:cs="Times New Roman"/>
                <w:color w:val="000000" w:themeColor="text1"/>
                <w:kern w:val="0"/>
                <w:sz w:val="15"/>
                <w:szCs w:val="15"/>
                <w14:textFill>
                  <w14:solidFill>
                    <w14:schemeClr w14:val="tx1"/>
                  </w14:solidFill>
                </w14:textFill>
                <w14:ligatures w14:val="none"/>
              </w:rPr>
            </w:pPr>
            <w:r>
              <w:rPr>
                <w:rFonts w:ascii="Times New Roman" w:hAnsi="Times New Roman" w:eastAsia="宋体" w:cs="Times New Roman"/>
                <w:color w:val="000000" w:themeColor="text1"/>
                <w:kern w:val="0"/>
                <w:sz w:val="15"/>
                <w:szCs w:val="15"/>
                <w14:textFill>
                  <w14:solidFill>
                    <w14:schemeClr w14:val="tx1"/>
                  </w14:solidFill>
                </w14:textFill>
                <w14:ligatures w14:val="none"/>
              </w:rPr>
              <w:t>在定义域内不满足正交性，不同项之间存在相关性</w:t>
            </w: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w:t>
            </w:r>
            <w:r>
              <w:rPr>
                <w:rFonts w:ascii="Segoe UI" w:hAnsi="Segoe UI" w:eastAsia="宋体" w:cs="Segoe UI"/>
                <w:color w:val="000000" w:themeColor="text1"/>
                <w:kern w:val="0"/>
                <w:sz w:val="20"/>
                <w:szCs w:val="20"/>
                <w:shd w:val="clear" w:color="auto" w:fill="FFFFFF"/>
                <w14:textFill>
                  <w14:solidFill>
                    <w14:schemeClr w14:val="tx1"/>
                  </w14:solidFill>
                </w14:textFill>
                <w14:ligatures w14:val="none"/>
              </w:rPr>
              <w:t xml:space="preserve"> </w:t>
            </w:r>
            <w:r>
              <w:rPr>
                <w:rFonts w:ascii="Times New Roman" w:hAnsi="Times New Roman" w:eastAsia="宋体" w:cs="Times New Roman"/>
                <w:color w:val="000000" w:themeColor="text1"/>
                <w:kern w:val="0"/>
                <w:sz w:val="15"/>
                <w:szCs w:val="15"/>
                <w14:textFill>
                  <w14:solidFill>
                    <w14:schemeClr w14:val="tx1"/>
                  </w14:solidFill>
                </w14:textFill>
                <w14:ligatures w14:val="none"/>
              </w:rPr>
              <w:t>高阶项拟合时，设计矩阵易出现病态</w:t>
            </w:r>
          </w:p>
        </w:tc>
      </w:tr>
      <w:tr w14:paraId="4F24DA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jc w:val="center"/>
        </w:trPr>
        <w:tc>
          <w:tcPr>
            <w:tcW w:w="1843" w:type="dxa"/>
            <w:vAlign w:val="center"/>
          </w:tcPr>
          <w:p w14:paraId="2DA60CE0">
            <w:pPr>
              <w:jc w:val="center"/>
              <w:rPr>
                <w:rFonts w:ascii="Times New Roman" w:hAnsi="Times New Roman" w:eastAsia="宋体" w:cs="Times New Roman"/>
                <w:color w:val="000000" w:themeColor="text1"/>
                <w:kern w:val="0"/>
                <w:sz w:val="15"/>
                <w:szCs w:val="15"/>
                <w14:textFill>
                  <w14:solidFill>
                    <w14:schemeClr w14:val="tx1"/>
                  </w14:solidFill>
                </w14:textFill>
                <w14:ligatures w14:val="none"/>
              </w:rPr>
            </w:pPr>
            <w:r>
              <w:rPr>
                <w:rFonts w:ascii="Times New Roman" w:hAnsi="Times New Roman" w:eastAsia="宋体" w:cs="Times New Roman"/>
                <w:color w:val="000000" w:themeColor="text1"/>
                <w:kern w:val="0"/>
                <w:sz w:val="15"/>
                <w:szCs w:val="15"/>
                <w14:textFill>
                  <w14:solidFill>
                    <w14:schemeClr w14:val="tx1"/>
                  </w14:solidFill>
                </w14:textFill>
                <w14:ligatures w14:val="none"/>
              </w:rPr>
              <w:t>径向基函数</w:t>
            </w:r>
          </w:p>
        </w:tc>
        <w:tc>
          <w:tcPr>
            <w:tcW w:w="3402" w:type="dxa"/>
          </w:tcPr>
          <w:p w14:paraId="5648C81D">
            <w:pPr>
              <w:adjustRightInd w:val="0"/>
              <w:snapToGrid w:val="0"/>
              <w:spacing w:line="240" w:lineRule="exact"/>
              <w:rPr>
                <w:rFonts w:ascii="Times New Roman" w:hAnsi="Times New Roman" w:eastAsia="宋体" w:cs="Times New Roman"/>
                <w:color w:val="000000" w:themeColor="text1"/>
                <w:kern w:val="0"/>
                <w:sz w:val="15"/>
                <w:szCs w:val="15"/>
                <w14:textFill>
                  <w14:solidFill>
                    <w14:schemeClr w14:val="tx1"/>
                  </w14:solidFill>
                </w14:textFill>
                <w14:ligatures w14:val="none"/>
              </w:rPr>
            </w:pPr>
            <w:r>
              <w:rPr>
                <w:rFonts w:ascii="Times New Roman" w:hAnsi="Times New Roman" w:eastAsia="宋体" w:cs="Times New Roman"/>
                <w:color w:val="000000" w:themeColor="text1"/>
                <w:kern w:val="0"/>
                <w:sz w:val="15"/>
                <w:szCs w:val="15"/>
                <w14:textFill>
                  <w14:solidFill>
                    <w14:schemeClr w14:val="tx1"/>
                  </w14:solidFill>
                </w14:textFill>
                <w14:ligatures w14:val="none"/>
              </w:rPr>
              <w:t>无需划分复杂网格，适用于不规则几何域</w:t>
            </w: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w:t>
            </w:r>
            <w:r>
              <w:rPr>
                <w:rFonts w:ascii="Times New Roman" w:hAnsi="Times New Roman" w:eastAsia="宋体" w:cs="Times New Roman"/>
                <w:color w:val="000000" w:themeColor="text1"/>
                <w:kern w:val="0"/>
                <w:sz w:val="15"/>
                <w:szCs w:val="15"/>
                <w14:textFill>
                  <w14:solidFill>
                    <w14:schemeClr w14:val="tx1"/>
                  </w14:solidFill>
                </w14:textFill>
                <w14:ligatures w14:val="none"/>
              </w:rPr>
              <w:t>直接基于离散点构建方程，减少预处理时间</w:t>
            </w:r>
          </w:p>
        </w:tc>
        <w:tc>
          <w:tcPr>
            <w:tcW w:w="3325" w:type="dxa"/>
          </w:tcPr>
          <w:p w14:paraId="306288BF">
            <w:pPr>
              <w:adjustRightInd w:val="0"/>
              <w:snapToGrid w:val="0"/>
              <w:spacing w:line="240" w:lineRule="exact"/>
              <w:rPr>
                <w:rFonts w:ascii="Times New Roman" w:hAnsi="Times New Roman" w:eastAsia="宋体" w:cs="Times New Roman"/>
                <w:color w:val="000000" w:themeColor="text1"/>
                <w:kern w:val="0"/>
                <w:sz w:val="15"/>
                <w:szCs w:val="15"/>
                <w14:textFill>
                  <w14:solidFill>
                    <w14:schemeClr w14:val="tx1"/>
                  </w14:solidFill>
                </w14:textFill>
                <w14:ligatures w14:val="none"/>
              </w:rPr>
            </w:pPr>
            <w:r>
              <w:rPr>
                <w:rFonts w:ascii="Times New Roman" w:hAnsi="Times New Roman" w:eastAsia="宋体" w:cs="Times New Roman"/>
                <w:color w:val="000000" w:themeColor="text1"/>
                <w:kern w:val="0"/>
                <w:sz w:val="15"/>
                <w:szCs w:val="15"/>
                <w14:textFill>
                  <w14:solidFill>
                    <w14:schemeClr w14:val="tx1"/>
                  </w14:solidFill>
                </w14:textFill>
                <w14:ligatures w14:val="none"/>
              </w:rPr>
              <w:t>数据分布不均匀时，边缘或稀疏区域的预测可能产生非物理振荡</w:t>
            </w:r>
          </w:p>
        </w:tc>
      </w:tr>
      <w:tr w14:paraId="529E991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jc w:val="center"/>
        </w:trPr>
        <w:tc>
          <w:tcPr>
            <w:tcW w:w="1843" w:type="dxa"/>
            <w:tcBorders>
              <w:bottom w:val="single" w:color="auto" w:sz="2" w:space="0"/>
            </w:tcBorders>
            <w:vAlign w:val="center"/>
          </w:tcPr>
          <w:p w14:paraId="53D02C07">
            <w:pPr>
              <w:jc w:val="center"/>
              <w:rPr>
                <w:rFonts w:ascii="Times New Roman" w:hAnsi="Times New Roman" w:eastAsia="宋体" w:cs="Times New Roman"/>
                <w:color w:val="000000" w:themeColor="text1"/>
                <w:kern w:val="0"/>
                <w:sz w:val="15"/>
                <w:szCs w:val="15"/>
                <w14:textFill>
                  <w14:solidFill>
                    <w14:schemeClr w14:val="tx1"/>
                  </w14:solidFill>
                </w14:textFill>
                <w14:ligatures w14:val="none"/>
              </w:rPr>
            </w:pPr>
            <w:r>
              <w:rPr>
                <w:rFonts w:ascii="Times New Roman" w:hAnsi="Times New Roman" w:eastAsia="宋体" w:cs="Times New Roman"/>
                <w:color w:val="000000" w:themeColor="text1"/>
                <w:kern w:val="0"/>
                <w:sz w:val="15"/>
                <w:szCs w:val="15"/>
                <w14:textFill>
                  <w14:solidFill>
                    <w14:schemeClr w14:val="tx1"/>
                  </w14:solidFill>
                </w14:textFill>
                <w14:ligatures w14:val="none"/>
              </w:rPr>
              <w:t>NURBS函数</w:t>
            </w:r>
          </w:p>
        </w:tc>
        <w:tc>
          <w:tcPr>
            <w:tcW w:w="3402" w:type="dxa"/>
            <w:tcBorders>
              <w:bottom w:val="single" w:color="auto" w:sz="2" w:space="0"/>
            </w:tcBorders>
          </w:tcPr>
          <w:p w14:paraId="7435E9CC">
            <w:pPr>
              <w:rPr>
                <w:rFonts w:ascii="Times New Roman" w:hAnsi="Times New Roman" w:eastAsia="宋体" w:cs="Times New Roman"/>
                <w:color w:val="000000" w:themeColor="text1"/>
                <w:kern w:val="0"/>
                <w:sz w:val="15"/>
                <w:szCs w:val="15"/>
                <w14:textFill>
                  <w14:solidFill>
                    <w14:schemeClr w14:val="tx1"/>
                  </w14:solidFill>
                </w14:textFill>
                <w14:ligatures w14:val="none"/>
              </w:rPr>
            </w:pPr>
            <w:r>
              <w:rPr>
                <w:rFonts w:ascii="Times New Roman" w:hAnsi="Times New Roman" w:eastAsia="宋体" w:cs="Times New Roman"/>
                <w:color w:val="000000" w:themeColor="text1"/>
                <w:kern w:val="0"/>
                <w:sz w:val="15"/>
                <w:szCs w:val="15"/>
                <w14:textFill>
                  <w14:solidFill>
                    <w14:schemeClr w14:val="tx1"/>
                  </w14:solidFill>
                </w14:textFill>
                <w14:ligatures w14:val="none"/>
              </w:rPr>
              <w:t>局部表征能力强，构造灵活</w:t>
            </w:r>
          </w:p>
        </w:tc>
        <w:tc>
          <w:tcPr>
            <w:tcW w:w="3325" w:type="dxa"/>
            <w:tcBorders>
              <w:bottom w:val="single" w:color="auto" w:sz="2" w:space="0"/>
            </w:tcBorders>
          </w:tcPr>
          <w:p w14:paraId="53572E78">
            <w:pPr>
              <w:rPr>
                <w:rFonts w:ascii="Times New Roman" w:hAnsi="Times New Roman" w:eastAsia="宋体" w:cs="Times New Roman"/>
                <w:color w:val="000000" w:themeColor="text1"/>
                <w:kern w:val="0"/>
                <w:sz w:val="15"/>
                <w:szCs w:val="15"/>
                <w14:textFill>
                  <w14:solidFill>
                    <w14:schemeClr w14:val="tx1"/>
                  </w14:solidFill>
                </w14:textFill>
                <w14:ligatures w14:val="none"/>
              </w:rPr>
            </w:pPr>
            <w:r>
              <w:rPr>
                <w:rFonts w:ascii="Times New Roman" w:hAnsi="Times New Roman" w:eastAsia="宋体" w:cs="Times New Roman"/>
                <w:color w:val="000000" w:themeColor="text1"/>
                <w:kern w:val="0"/>
                <w:sz w:val="15"/>
                <w:szCs w:val="15"/>
                <w14:textFill>
                  <w14:solidFill>
                    <w14:schemeClr w14:val="tx1"/>
                  </w14:solidFill>
                </w14:textFill>
                <w14:ligatures w14:val="none"/>
              </w:rPr>
              <w:t>非正交，构造复杂</w:t>
            </w:r>
          </w:p>
        </w:tc>
      </w:tr>
    </w:tbl>
    <w:p w14:paraId="219A9772">
      <w:pPr>
        <w:pStyle w:val="65"/>
        <w:spacing w:line="300" w:lineRule="exact"/>
        <w:ind w:firstLine="42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与其它</w:t>
      </w:r>
      <w:r>
        <w:rPr>
          <w:rFonts w:ascii="Segoe UI" w:hAnsi="Segoe UI" w:cs="Segoe UI"/>
          <w:color w:val="000000" w:themeColor="text1"/>
          <w:shd w:val="clear" w:color="auto" w:fill="FFFFFF"/>
          <w14:textFill>
            <w14:solidFill>
              <w14:schemeClr w14:val="tx1"/>
            </w14:solidFill>
          </w14:textFill>
        </w:rPr>
        <w:t>曲面</w:t>
      </w:r>
      <w:r>
        <w:rPr>
          <w:rFonts w:ascii="Times New Roman" w:hAnsi="Times New Roman"/>
          <w:color w:val="000000" w:themeColor="text1"/>
          <w14:textFill>
            <w14:solidFill>
              <w14:schemeClr w14:val="tx1"/>
            </w14:solidFill>
          </w14:textFill>
        </w:rPr>
        <w:t>表征函数相比，</w:t>
      </w:r>
      <w:r>
        <w:rPr>
          <w:rFonts w:hint="eastAsia" w:ascii="Times New Roman" w:hAnsi="Times New Roman"/>
          <w:color w:val="000000" w:themeColor="text1"/>
          <w14:textFill>
            <w14:solidFill>
              <w14:schemeClr w14:val="tx1"/>
            </w14:solidFill>
          </w14:textFill>
        </w:rPr>
        <w:t>Zernike</w:t>
      </w:r>
      <w:r>
        <w:rPr>
          <w:rFonts w:hint="eastAsia"/>
          <w:color w:val="000000" w:themeColor="text1"/>
          <w14:textFill>
            <w14:solidFill>
              <w14:schemeClr w14:val="tx1"/>
            </w14:solidFill>
          </w14:textFill>
        </w:rPr>
        <w:t>多项式主要应用于波前，并且</w:t>
      </w:r>
      <w:r>
        <w:rPr>
          <w:rFonts w:ascii="Times New Roman" w:hAnsi="Times New Roman"/>
          <w:color w:val="000000" w:themeColor="text1"/>
          <w14:textFill>
            <w14:solidFill>
              <w14:schemeClr w14:val="tx1"/>
            </w14:solidFill>
          </w14:textFill>
        </w:rPr>
        <w:t>提供了更高的精度和灵活性</w:t>
      </w:r>
      <w:r>
        <w:rPr>
          <w:rFonts w:hint="eastAsia" w:ascii="Times New Roman" w:hAnsi="Times New Roman"/>
          <w:color w:val="000000" w:themeColor="text1"/>
          <w14:textFill>
            <w14:solidFill>
              <w14:schemeClr w14:val="tx1"/>
            </w14:solidFill>
          </w14:textFill>
        </w:rPr>
        <w:t>，其具</w:t>
      </w:r>
      <w:r>
        <w:rPr>
          <w:rFonts w:hint="eastAsia"/>
          <w:color w:val="000000" w:themeColor="text1"/>
          <w14:textFill>
            <w14:solidFill>
              <w14:schemeClr w14:val="tx1"/>
            </w14:solidFill>
          </w14:textFill>
        </w:rPr>
        <w:t>有以下几个特点</w:t>
      </w:r>
      <w:r>
        <w:rPr>
          <w:rFonts w:ascii="Times New Roman" w:hAnsi="Times New Roman"/>
          <w:color w:val="000000" w:themeColor="text1"/>
          <w:vertAlign w:val="superscript"/>
          <w14:textFill>
            <w14:solidFill>
              <w14:schemeClr w14:val="tx1"/>
            </w14:solidFill>
          </w14:textFill>
        </w:rPr>
        <w:t>[1]</w:t>
      </w:r>
      <w:r>
        <w:rPr>
          <w:rFonts w:hint="eastAsia"/>
          <w:color w:val="000000" w:themeColor="text1"/>
          <w14:textFill>
            <w14:solidFill>
              <w14:schemeClr w14:val="tx1"/>
            </w14:solidFill>
          </w14:textFill>
        </w:rPr>
        <w:t>：</w:t>
      </w:r>
    </w:p>
    <w:p w14:paraId="65C7EEB2">
      <w:pPr>
        <w:pStyle w:val="65"/>
        <w:spacing w:line="300" w:lineRule="exact"/>
        <w:ind w:firstLine="42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1）Zernike正交基组在单位圆域上具有正交完备性。对于具有圆形光学孔径的系统，可将其归一化为单位圆进行分析。基函数的正交特性保证了各阶模式系数之间的解耦关系，有利于消除偶然因素的干扰。</w:t>
      </w:r>
    </w:p>
    <w:p w14:paraId="421CFE87">
      <w:pPr>
        <w:pStyle w:val="65"/>
        <w:spacing w:line="300" w:lineRule="exact"/>
        <w:ind w:firstLine="42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2）Zernike基函数具有旋转对称性，在光学波前重构领域表现出良好的级数收敛特性。</w:t>
      </w:r>
    </w:p>
    <w:p w14:paraId="6D5D4F0A">
      <w:pPr>
        <w:pStyle w:val="65"/>
        <w:spacing w:line="300" w:lineRule="exact"/>
        <w:ind w:firstLine="42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3）Zernike多项式与初级光学像差之间可建立一定的对应关系。将Zernike多项式与Seidel像差函数结合使用，可以更高效地分析光学系统中的像差。</w:t>
      </w:r>
    </w:p>
    <w:p w14:paraId="6FCF675D">
      <w:pPr>
        <w:pStyle w:val="65"/>
        <w:spacing w:line="300" w:lineRule="exact"/>
        <w:ind w:firstLine="42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4）在拟合光学组件热弹性变形后的面形时，Zernike多项式具有拟合误差小、物理意义明确等优点，同时能够兼容Zemax等光学设计软件，因此成为连接结构分析与光学分析程序的理想接口工具。</w:t>
      </w:r>
    </w:p>
    <w:p w14:paraId="1566EBCE">
      <w:pPr>
        <w:pStyle w:val="62"/>
        <w:spacing w:before="93" w:beforeLines="30" w:after="93" w:afterLines="30" w:line="300" w:lineRule="exact"/>
        <w:jc w:val="both"/>
        <w:outlineLvl w:val="1"/>
        <w:rPr>
          <w:rFonts w:ascii="Times New Roman" w:hAnsi="Times New Roman"/>
          <w:color w:val="000000" w:themeColor="text1"/>
          <w:sz w:val="24"/>
          <w:szCs w:val="24"/>
          <w14:textFill>
            <w14:solidFill>
              <w14:schemeClr w14:val="tx1"/>
            </w14:solidFill>
          </w14:textFill>
        </w:rPr>
      </w:pPr>
      <w:bookmarkStart w:id="8" w:name="_Hlk172664886"/>
    </w:p>
    <w:p w14:paraId="500BF782">
      <w:pPr>
        <w:pStyle w:val="62"/>
        <w:spacing w:before="93" w:beforeLines="30" w:after="93" w:afterLines="30" w:line="300" w:lineRule="exact"/>
        <w:jc w:val="both"/>
        <w:outlineLvl w:val="1"/>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2 Zernike多项式在光学系统中的应用 </w:t>
      </w:r>
    </w:p>
    <w:p w14:paraId="0C37B28F">
      <w:pPr>
        <w:pStyle w:val="65"/>
        <w:spacing w:line="300" w:lineRule="exact"/>
        <w:ind w:firstLine="420"/>
        <w:rPr>
          <w:rFonts w:ascii="Times New Roman" w:hAnsi="Times New Roman"/>
          <w:color w:val="000000" w:themeColor="text1"/>
          <w:shd w:val="clear" w:color="auto" w:fill="FFFFFF"/>
          <w14:textFill>
            <w14:solidFill>
              <w14:schemeClr w14:val="tx1"/>
            </w14:solidFill>
          </w14:textFill>
        </w:rPr>
      </w:pPr>
      <w:r>
        <w:rPr>
          <w:rFonts w:ascii="Times New Roman" w:hAnsi="Times New Roman"/>
          <w:color w:val="000000" w:themeColor="text1"/>
          <w:shd w:val="clear" w:color="auto" w:fill="FFFFFF"/>
          <w14:textFill>
            <w14:solidFill>
              <w14:schemeClr w14:val="tx1"/>
            </w14:solidFill>
          </w14:textFill>
        </w:rPr>
        <w:t>Zernike多项式是一组在单位圆上正交的多项式，可用于定量分析离焦、像散、彗差等像差类型。其正交特性使各阶像差相互独立，便于在自适应光学中实时校正畸变、优化成像质量。该多项式还广泛应用于自由曲面表征、眼科诊断（如角膜地形图）等领域，用于高精度光学面形检测与像差评估。</w:t>
      </w:r>
    </w:p>
    <w:p w14:paraId="57DAF741">
      <w:pPr>
        <w:pStyle w:val="62"/>
        <w:spacing w:before="62" w:beforeLines="20" w:after="62" w:afterLines="20" w:line="300" w:lineRule="exact"/>
        <w:jc w:val="both"/>
        <w:outlineLvl w:val="1"/>
        <w:rPr>
          <w:rFonts w:ascii="黑体" w:hAnsi="黑体"/>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2.1 Zernike</w:t>
      </w:r>
      <w:r>
        <w:rPr>
          <w:rFonts w:hint="eastAsia" w:ascii="黑体" w:hAnsi="黑体"/>
          <w:color w:val="000000" w:themeColor="text1"/>
          <w14:textFill>
            <w14:solidFill>
              <w14:schemeClr w14:val="tx1"/>
            </w14:solidFill>
          </w14:textFill>
        </w:rPr>
        <w:t>多项式表示波前像差</w:t>
      </w:r>
    </w:p>
    <w:p w14:paraId="756C9F16">
      <w:pPr>
        <w:pStyle w:val="65"/>
        <w:spacing w:line="300" w:lineRule="exact"/>
        <w:ind w:firstLine="420"/>
        <w:rPr>
          <w:rFonts w:ascii="Segoe UI" w:hAnsi="Segoe UI" w:cs="Segoe UI"/>
          <w:color w:val="000000" w:themeColor="text1"/>
          <w:shd w:val="clear" w:color="auto" w:fill="FFFFFF"/>
          <w14:textFill>
            <w14:solidFill>
              <w14:schemeClr w14:val="tx1"/>
            </w14:solidFill>
          </w14:textFill>
        </w:rPr>
      </w:pPr>
      <w:r>
        <w:rPr>
          <w:rFonts w:hint="eastAsia" w:ascii="Segoe UI" w:hAnsi="Segoe UI" w:cs="Segoe UI"/>
          <w:color w:val="000000" w:themeColor="text1"/>
          <w:shd w:val="clear" w:color="auto" w:fill="FFFFFF"/>
          <w14:textFill>
            <w14:solidFill>
              <w14:schemeClr w14:val="tx1"/>
            </w14:solidFill>
          </w14:textFill>
        </w:rPr>
        <w:t>在光学系统中，像差通常由透镜、反射镜、光学窗口等光学元件引起，会影响光束质量、聚焦能力及辐射强度分布，导致光束发散、模糊或形成不均匀光斑，从而降低系统效率与性能。波前像差按其来源可分为系统固有偏差与环境扰动畸变两类，其中系统固有像差根据波前曲面的空间分布特性又可细分为以下3种：球差、彗差和像散。</w:t>
      </w:r>
    </w:p>
    <w:p w14:paraId="4FA8681B">
      <w:pPr>
        <w:pStyle w:val="65"/>
        <w:spacing w:line="300" w:lineRule="exact"/>
        <w:ind w:firstLine="420"/>
        <w:rPr>
          <w:rFonts w:ascii="Times New Roman" w:hAnsi="Times New Roman"/>
          <w:color w:val="000000" w:themeColor="text1"/>
          <w14:textFill>
            <w14:solidFill>
              <w14:schemeClr w14:val="tx1"/>
            </w14:solidFill>
          </w14:textFill>
        </w:rPr>
      </w:pPr>
      <w:r>
        <w:rPr>
          <w:rFonts w:hint="eastAsia" w:ascii="Segoe UI" w:hAnsi="Segoe UI" w:cs="Segoe UI"/>
          <w:color w:val="000000" w:themeColor="text1"/>
          <w:shd w:val="clear" w:color="auto" w:fill="FFFFFF"/>
          <w14:textFill>
            <w14:solidFill>
              <w14:schemeClr w14:val="tx1"/>
            </w14:solidFill>
          </w14:textFill>
        </w:rPr>
        <w:t>目前描述光学像差（球差、彗差、像散）的方法主要有3种：几何光学描述法、波动光学描述法和</w:t>
      </w:r>
      <w:r>
        <w:rPr>
          <w:rFonts w:ascii="Segoe UI" w:hAnsi="Segoe UI" w:cs="Segoe UI"/>
          <w:color w:val="000000" w:themeColor="text1"/>
          <w:shd w:val="clear" w:color="auto" w:fill="FFFFFF"/>
          <w14:textFill>
            <w14:solidFill>
              <w14:schemeClr w14:val="tx1"/>
            </w14:solidFill>
          </w14:textFill>
        </w:rPr>
        <w:t>Zernike多项式描述法。不同方法各有优劣，如表2所示。Zernike多项式在单位圆域内正交，保证了展开系数的唯一性，降低了计算复杂度与误差。其低阶多项式可直接对应经典像差，便于物理理解。</w:t>
      </w:r>
    </w:p>
    <w:p w14:paraId="24000F1F">
      <w:pPr>
        <w:pStyle w:val="65"/>
        <w:spacing w:line="300" w:lineRule="exact"/>
        <w:ind w:firstLine="0" w:firstLineChars="0"/>
        <w:jc w:val="center"/>
        <w:rPr>
          <w:rFonts w:ascii="Times New Roman" w:hAnsi="Times New Roman"/>
          <w:color w:val="000000" w:themeColor="text1"/>
          <w:sz w:val="18"/>
          <w:szCs w:val="18"/>
          <w14:textFill>
            <w14:solidFill>
              <w14:schemeClr w14:val="tx1"/>
            </w14:solidFill>
          </w14:textFill>
        </w:rPr>
      </w:pPr>
      <w:r>
        <w:rPr>
          <w:rFonts w:hint="eastAsia" w:ascii="Times New Roman" w:hAnsi="Times New Roman"/>
          <w:color w:val="000000" w:themeColor="text1"/>
          <w:sz w:val="18"/>
          <w:szCs w:val="18"/>
          <w14:textFill>
            <w14:solidFill>
              <w14:schemeClr w14:val="tx1"/>
            </w14:solidFill>
          </w14:textFill>
        </w:rPr>
        <w:t>表2 不同</w:t>
      </w:r>
      <w:r>
        <w:rPr>
          <w:rFonts w:ascii="Segoe UI" w:hAnsi="Segoe UI" w:cs="Segoe UI"/>
          <w:color w:val="000000" w:themeColor="text1"/>
          <w:sz w:val="18"/>
          <w:szCs w:val="18"/>
          <w:shd w:val="clear" w:color="auto" w:fill="FFFFFF"/>
          <w14:textFill>
            <w14:solidFill>
              <w14:schemeClr w14:val="tx1"/>
            </w14:solidFill>
          </w14:textFill>
        </w:rPr>
        <w:t>光学像差</w:t>
      </w:r>
      <w:r>
        <w:rPr>
          <w:rFonts w:hint="eastAsia" w:ascii="Segoe UI" w:hAnsi="Segoe UI" w:cs="Segoe UI"/>
          <w:color w:val="000000" w:themeColor="text1"/>
          <w:sz w:val="18"/>
          <w:szCs w:val="18"/>
          <w:shd w:val="clear" w:color="auto" w:fill="FFFFFF"/>
          <w14:textFill>
            <w14:solidFill>
              <w14:schemeClr w14:val="tx1"/>
            </w14:solidFill>
          </w14:textFill>
        </w:rPr>
        <w:t>描述方式优劣性对比</w:t>
      </w:r>
    </w:p>
    <w:tbl>
      <w:tblPr>
        <w:tblStyle w:val="22"/>
        <w:tblW w:w="0" w:type="auto"/>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80"/>
        <w:gridCol w:w="3550"/>
        <w:gridCol w:w="2766"/>
      </w:tblGrid>
      <w:tr w14:paraId="064FBA5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0" w:type="dxa"/>
            <w:tcBorders>
              <w:top w:val="single" w:color="auto" w:sz="4" w:space="0"/>
              <w:bottom w:val="single" w:color="auto" w:sz="4" w:space="0"/>
            </w:tcBorders>
          </w:tcPr>
          <w:p w14:paraId="3E8D3551">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描述方式</w:t>
            </w:r>
          </w:p>
        </w:tc>
        <w:tc>
          <w:tcPr>
            <w:tcW w:w="3550" w:type="dxa"/>
            <w:tcBorders>
              <w:top w:val="single" w:color="auto" w:sz="4" w:space="0"/>
              <w:bottom w:val="single" w:color="auto" w:sz="4" w:space="0"/>
            </w:tcBorders>
          </w:tcPr>
          <w:p w14:paraId="4A43466F">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优点</w:t>
            </w:r>
          </w:p>
        </w:tc>
        <w:tc>
          <w:tcPr>
            <w:tcW w:w="2766" w:type="dxa"/>
            <w:tcBorders>
              <w:top w:val="single" w:color="auto" w:sz="4" w:space="0"/>
              <w:bottom w:val="single" w:color="auto" w:sz="4" w:space="0"/>
            </w:tcBorders>
          </w:tcPr>
          <w:p w14:paraId="11F1DA48">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缺点</w:t>
            </w:r>
          </w:p>
        </w:tc>
      </w:tr>
      <w:tr w14:paraId="00252DC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0" w:type="dxa"/>
            <w:tcBorders>
              <w:top w:val="single" w:color="auto" w:sz="4" w:space="0"/>
            </w:tcBorders>
          </w:tcPr>
          <w:p w14:paraId="3BACB908">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ascii="Segoe UI" w:hAnsi="Segoe UI" w:cs="Segoe UI"/>
                <w:color w:val="000000" w:themeColor="text1"/>
                <w:kern w:val="0"/>
                <w:sz w:val="15"/>
                <w:szCs w:val="15"/>
                <w:shd w:val="clear" w:color="auto" w:fill="FFFFFF"/>
                <w14:textFill>
                  <w14:solidFill>
                    <w14:schemeClr w14:val="tx1"/>
                  </w14:solidFill>
                </w14:textFill>
              </w:rPr>
              <w:t>几何光学</w:t>
            </w:r>
          </w:p>
        </w:tc>
        <w:tc>
          <w:tcPr>
            <w:tcW w:w="3550" w:type="dxa"/>
            <w:tcBorders>
              <w:top w:val="single" w:color="auto" w:sz="4" w:space="0"/>
            </w:tcBorders>
          </w:tcPr>
          <w:p w14:paraId="6C43336E">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color w:val="000000" w:themeColor="text1"/>
                <w:kern w:val="0"/>
                <w:sz w:val="15"/>
                <w:szCs w:val="15"/>
                <w14:textFill>
                  <w14:solidFill>
                    <w14:schemeClr w14:val="tx1"/>
                  </w14:solidFill>
                </w14:textFill>
              </w:rPr>
              <w:t>简单直观，</w:t>
            </w:r>
            <w:r>
              <w:rPr>
                <w:rFonts w:hint="eastAsia"/>
                <w:color w:val="000000" w:themeColor="text1"/>
                <w:kern w:val="0"/>
                <w:sz w:val="15"/>
                <w:szCs w:val="15"/>
                <w14:textFill>
                  <w14:solidFill>
                    <w14:schemeClr w14:val="tx1"/>
                  </w14:solidFill>
                </w14:textFill>
              </w:rPr>
              <w:t>无需复杂计算</w:t>
            </w:r>
          </w:p>
        </w:tc>
        <w:tc>
          <w:tcPr>
            <w:tcW w:w="2766" w:type="dxa"/>
            <w:tcBorders>
              <w:top w:val="single" w:color="auto" w:sz="4" w:space="0"/>
            </w:tcBorders>
          </w:tcPr>
          <w:p w14:paraId="691906C2">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描述高阶像差时误差较大</w:t>
            </w:r>
          </w:p>
        </w:tc>
      </w:tr>
      <w:tr w14:paraId="0C78E22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0" w:type="dxa"/>
          </w:tcPr>
          <w:p w14:paraId="3972C6DB">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ascii="Segoe UI" w:hAnsi="Segoe UI" w:cs="Segoe UI"/>
                <w:color w:val="000000" w:themeColor="text1"/>
                <w:kern w:val="0"/>
                <w:sz w:val="15"/>
                <w:szCs w:val="15"/>
                <w:shd w:val="clear" w:color="auto" w:fill="FFFFFF"/>
                <w14:textFill>
                  <w14:solidFill>
                    <w14:schemeClr w14:val="tx1"/>
                  </w14:solidFill>
                </w14:textFill>
              </w:rPr>
              <w:t>波动光学</w:t>
            </w:r>
          </w:p>
        </w:tc>
        <w:tc>
          <w:tcPr>
            <w:tcW w:w="3550" w:type="dxa"/>
          </w:tcPr>
          <w:p w14:paraId="034388D8">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color w:val="000000" w:themeColor="text1"/>
                <w:kern w:val="0"/>
                <w:sz w:val="15"/>
                <w:szCs w:val="15"/>
                <w14:textFill>
                  <w14:solidFill>
                    <w14:schemeClr w14:val="tx1"/>
                  </w14:solidFill>
                </w14:textFill>
              </w:rPr>
              <w:t>能够精确描述波前像差</w:t>
            </w:r>
          </w:p>
        </w:tc>
        <w:tc>
          <w:tcPr>
            <w:tcW w:w="2766" w:type="dxa"/>
          </w:tcPr>
          <w:p w14:paraId="50E56C4F">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计算难度大，概念抽象</w:t>
            </w:r>
          </w:p>
        </w:tc>
      </w:tr>
      <w:tr w14:paraId="745804E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0" w:type="dxa"/>
          </w:tcPr>
          <w:p w14:paraId="2D5AC579">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ascii="Times New Roman" w:hAnsi="Times New Roman"/>
                <w:color w:val="000000" w:themeColor="text1"/>
                <w:kern w:val="0"/>
                <w:sz w:val="15"/>
                <w:szCs w:val="15"/>
                <w:shd w:val="clear" w:color="auto" w:fill="FFFFFF"/>
                <w14:textFill>
                  <w14:solidFill>
                    <w14:schemeClr w14:val="tx1"/>
                  </w14:solidFill>
                </w14:textFill>
              </w:rPr>
              <w:t>Zernike</w:t>
            </w:r>
            <w:r>
              <w:rPr>
                <w:rFonts w:ascii="Segoe UI" w:hAnsi="Segoe UI" w:cs="Segoe UI"/>
                <w:color w:val="000000" w:themeColor="text1"/>
                <w:kern w:val="0"/>
                <w:sz w:val="15"/>
                <w:szCs w:val="15"/>
                <w:shd w:val="clear" w:color="auto" w:fill="FFFFFF"/>
                <w14:textFill>
                  <w14:solidFill>
                    <w14:schemeClr w14:val="tx1"/>
                  </w14:solidFill>
                </w14:textFill>
              </w:rPr>
              <w:t>多项式</w:t>
            </w:r>
          </w:p>
        </w:tc>
        <w:tc>
          <w:tcPr>
            <w:tcW w:w="3550" w:type="dxa"/>
          </w:tcPr>
          <w:p w14:paraId="0E568F0C">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适用于圆形或者环形孔径，具有正交性</w:t>
            </w:r>
          </w:p>
        </w:tc>
        <w:tc>
          <w:tcPr>
            <w:tcW w:w="2766" w:type="dxa"/>
          </w:tcPr>
          <w:p w14:paraId="29BA8A4A">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高阶项对局部像差描述误差较大</w:t>
            </w:r>
          </w:p>
        </w:tc>
      </w:tr>
    </w:tbl>
    <w:p w14:paraId="76F06822">
      <w:pPr>
        <w:autoSpaceDE w:val="0"/>
        <w:autoSpaceDN w:val="0"/>
        <w:adjustRightInd w:val="0"/>
        <w:snapToGrid w:val="0"/>
        <w:spacing w:line="300" w:lineRule="exact"/>
        <w:textAlignment w:val="center"/>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将光学系统中的波前像差有效分解为一组</w:t>
      </w:r>
      <w:r>
        <w:rPr>
          <w:rFonts w:ascii="Times New Roman" w:hAnsi="Times New Roman"/>
          <w:color w:val="000000" w:themeColor="text1"/>
          <w14:textFill>
            <w14:solidFill>
              <w14:schemeClr w14:val="tx1"/>
            </w14:solidFill>
          </w14:textFill>
        </w:rPr>
        <w:t>Zernike多项式基矢，能够准确描述各类像差，精确量化各阶像差对系统性能的影响，进而根据具体像差类型采取针对性补偿措施，使光学系统保持良好性能。各多项式对应的像差表达式如表3</w:t>
      </w:r>
      <w:r>
        <w:rPr>
          <w:rFonts w:hint="eastAsia" w:ascii="Times New Roman" w:hAnsi="Times New Roman"/>
          <w:color w:val="000000" w:themeColor="text1"/>
          <w14:textFill>
            <w14:solidFill>
              <w14:schemeClr w14:val="tx1"/>
            </w14:solidFill>
          </w14:textFill>
        </w:rPr>
        <w:t>~</w:t>
      </w:r>
      <w:r>
        <w:rPr>
          <w:rFonts w:ascii="Times New Roman" w:hAnsi="Times New Roman"/>
          <w:color w:val="000000" w:themeColor="text1"/>
          <w14:textFill>
            <w14:solidFill>
              <w14:schemeClr w14:val="tx1"/>
            </w14:solidFill>
          </w14:textFill>
        </w:rPr>
        <w:t>表5所示[2]。</w:t>
      </w:r>
      <w:r>
        <w:rPr>
          <w:rFonts w:hint="eastAsia" w:ascii="Times New Roman" w:hAnsi="Times New Roman"/>
          <w:color w:val="000000" w:themeColor="text1"/>
          <w14:textFill>
            <w14:solidFill>
              <w14:schemeClr w14:val="tx1"/>
            </w14:solidFill>
          </w14:textFill>
        </w:rPr>
        <w:t>其中</w:t>
      </w:r>
      <w:r>
        <w:rPr>
          <w:rFonts w:ascii="Times New Roman" w:hAnsi="Times New Roman"/>
          <w:color w:val="000000" w:themeColor="text1"/>
          <w14:textFill>
            <w14:solidFill>
              <w14:schemeClr w14:val="tx1"/>
            </w14:solidFill>
          </w14:textFill>
        </w:rPr>
        <w:t>，</w:t>
      </w:r>
      <w:r>
        <w:rPr>
          <w:rFonts w:ascii="Times New Roman" w:hAnsi="Times New Roman" w:eastAsia="宋体" w:cs="Times New Roman"/>
          <w:i/>
          <w:color w:val="000000" w:themeColor="text1"/>
          <w14:textFill>
            <w14:solidFill>
              <w14:schemeClr w14:val="tx1"/>
            </w14:solidFill>
          </w14:textFill>
        </w:rPr>
        <w:t>n</w:t>
      </w:r>
      <w:r>
        <w:rPr>
          <w:rFonts w:hint="eastAsia" w:ascii="宋体" w:hAnsi="宋体" w:eastAsia="宋体" w:cs="Times New Roman"/>
          <w:color w:val="000000" w:themeColor="text1"/>
          <w14:textFill>
            <w14:solidFill>
              <w14:schemeClr w14:val="tx1"/>
            </w14:solidFill>
          </w14:textFill>
        </w:rPr>
        <w:t>为</w:t>
      </w:r>
      <w:r>
        <w:rPr>
          <w:rFonts w:ascii="宋体" w:hAnsi="宋体" w:eastAsia="宋体" w:cs="Times New Roman"/>
          <w:color w:val="000000" w:themeColor="text1"/>
          <w14:textFill>
            <w14:solidFill>
              <w14:schemeClr w14:val="tx1"/>
            </w14:solidFill>
          </w14:textFill>
        </w:rPr>
        <w:t>径向多项式的阶次</w:t>
      </w:r>
      <w:r>
        <w:rPr>
          <w:rFonts w:hint="eastAsia" w:ascii="宋体" w:hAnsi="宋体" w:eastAsia="宋体" w:cs="Times New Roman"/>
          <w:color w:val="000000" w:themeColor="text1"/>
          <w14:textFill>
            <w14:solidFill>
              <w14:schemeClr w14:val="tx1"/>
            </w14:solidFill>
          </w14:textFill>
        </w:rPr>
        <w:t>，</w:t>
      </w:r>
      <w:r>
        <w:rPr>
          <w:rFonts w:ascii="Times New Roman" w:hAnsi="Times New Roman" w:eastAsia="宋体" w:cs="Times New Roman"/>
          <w:i/>
          <w:color w:val="000000" w:themeColor="text1"/>
          <w14:textFill>
            <w14:solidFill>
              <w14:schemeClr w14:val="tx1"/>
            </w14:solidFill>
          </w14:textFill>
        </w:rPr>
        <w:t>m</w:t>
      </w:r>
      <w:r>
        <w:rPr>
          <w:rFonts w:hint="eastAsia" w:ascii="宋体" w:hAnsi="宋体" w:eastAsia="宋体" w:cs="Times New Roman"/>
          <w:color w:val="000000" w:themeColor="text1"/>
          <w14:textFill>
            <w14:solidFill>
              <w14:schemeClr w14:val="tx1"/>
            </w14:solidFill>
          </w14:textFill>
        </w:rPr>
        <w:t>为</w:t>
      </w:r>
      <w:r>
        <w:rPr>
          <w:rFonts w:ascii="宋体" w:hAnsi="宋体" w:eastAsia="宋体" w:cs="Times New Roman"/>
          <w:color w:val="000000" w:themeColor="text1"/>
          <w14:textFill>
            <w14:solidFill>
              <w14:schemeClr w14:val="tx1"/>
            </w14:solidFill>
          </w14:textFill>
        </w:rPr>
        <w:t>方位角频率</w:t>
      </w:r>
      <w:r>
        <w:rPr>
          <w:rFonts w:hint="eastAsia" w:ascii="宋体" w:hAnsi="宋体" w:eastAsia="宋体" w:cs="Times New Roman"/>
          <w:color w:val="000000" w:themeColor="text1"/>
          <w14:textFill>
            <w14:solidFill>
              <w14:schemeClr w14:val="tx1"/>
            </w14:solidFill>
          </w14:textFill>
        </w:rPr>
        <w:t>，</w:t>
      </w:r>
      <w:r>
        <w:rPr>
          <w:rFonts w:ascii="Times New Roman" w:hAnsi="Times New Roman" w:eastAsia="宋体" w:cs="Times New Roman"/>
          <w:i/>
          <w:color w:val="000000" w:themeColor="text1"/>
          <w14:textFill>
            <w14:solidFill>
              <w14:schemeClr w14:val="tx1"/>
            </w14:solidFill>
          </w14:textFill>
        </w:rPr>
        <w:t>n</w:t>
      </w:r>
      <w:r>
        <w:rPr>
          <w:rFonts w:ascii="宋体" w:hAnsi="宋体" w:eastAsia="宋体" w:cs="Times New Roman"/>
          <w:color w:val="000000" w:themeColor="text1"/>
          <w14:textFill>
            <w14:solidFill>
              <w14:schemeClr w14:val="tx1"/>
            </w14:solidFill>
          </w14:textFill>
        </w:rPr>
        <w:t>和</w:t>
      </w:r>
      <w:r>
        <w:rPr>
          <w:rFonts w:ascii="Times New Roman" w:hAnsi="Times New Roman" w:eastAsia="宋体" w:cs="Times New Roman"/>
          <w:i/>
          <w:color w:val="000000" w:themeColor="text1"/>
          <w14:textFill>
            <w14:solidFill>
              <w14:schemeClr w14:val="tx1"/>
            </w14:solidFill>
          </w14:textFill>
        </w:rPr>
        <w:t>m</w:t>
      </w:r>
      <w:r>
        <w:rPr>
          <w:rFonts w:hint="eastAsia" w:ascii="宋体" w:hAnsi="宋体" w:eastAsia="宋体" w:cs="Times New Roman"/>
          <w:color w:val="000000" w:themeColor="text1"/>
          <w14:textFill>
            <w14:solidFill>
              <w14:schemeClr w14:val="tx1"/>
            </w14:solidFill>
          </w14:textFill>
        </w:rPr>
        <w:t>均</w:t>
      </w:r>
      <w:r>
        <w:rPr>
          <w:rFonts w:ascii="宋体" w:hAnsi="宋体" w:eastAsia="宋体" w:cs="Times New Roman"/>
          <w:color w:val="000000" w:themeColor="text1"/>
          <w14:textFill>
            <w14:solidFill>
              <w14:schemeClr w14:val="tx1"/>
            </w14:solidFill>
          </w14:textFill>
        </w:rPr>
        <w:t>为非负整数，</w:t>
      </w:r>
      <w:r>
        <w:rPr>
          <w:rFonts w:hint="eastAsia" w:ascii="宋体" w:hAnsi="宋体" w:eastAsia="宋体" w:cs="Times New Roman"/>
          <w:color w:val="000000" w:themeColor="text1"/>
          <w14:textFill>
            <w14:solidFill>
              <w14:schemeClr w14:val="tx1"/>
            </w14:solidFill>
          </w14:textFill>
        </w:rPr>
        <w:t>且</w:t>
      </w:r>
      <w:r>
        <w:rPr>
          <w:rFonts w:ascii="宋体" w:hAnsi="宋体" w:eastAsia="宋体" w:cs="Times New Roman"/>
          <w:color w:val="000000" w:themeColor="text1"/>
          <w14:textFill>
            <w14:solidFill>
              <w14:schemeClr w14:val="tx1"/>
            </w14:solidFill>
          </w14:textFill>
        </w:rPr>
        <w:t>满足</w:t>
      </w:r>
      <w:r>
        <w:rPr>
          <w:rFonts w:ascii="Times New Roman" w:hAnsi="Times New Roman" w:eastAsia="宋体" w:cs="Times New Roman"/>
          <w:i/>
          <w:color w:val="000000" w:themeColor="text1"/>
          <w14:textFill>
            <w14:solidFill>
              <w14:schemeClr w14:val="tx1"/>
            </w14:solidFill>
          </w14:textFill>
        </w:rPr>
        <w:t>n</w:t>
      </w:r>
      <w:r>
        <w:rPr>
          <w:rFonts w:ascii="Times New Roman" w:hAnsi="Times New Roman" w:eastAsia="宋体" w:cs="Times New Roman"/>
          <w:color w:val="000000" w:themeColor="text1"/>
          <w14:textFill>
            <w14:solidFill>
              <w14:schemeClr w14:val="tx1"/>
            </w14:solidFill>
          </w14:textFill>
        </w:rPr>
        <w:t>-</w:t>
      </w:r>
      <w:r>
        <w:rPr>
          <w:rFonts w:ascii="Times New Roman" w:hAnsi="Times New Roman" w:eastAsia="宋体" w:cs="Times New Roman"/>
          <w:i/>
          <w:color w:val="000000" w:themeColor="text1"/>
          <w14:textFill>
            <w14:solidFill>
              <w14:schemeClr w14:val="tx1"/>
            </w14:solidFill>
          </w14:textFill>
        </w:rPr>
        <w:t>m</w:t>
      </w:r>
      <w:r>
        <w:rPr>
          <w:rFonts w:ascii="Times New Roman" w:hAnsi="Times New Roman" w:eastAsia="宋体" w:cs="Times New Roman"/>
          <w:color w:val="000000" w:themeColor="text1"/>
          <w14:textFill>
            <w14:solidFill>
              <w14:schemeClr w14:val="tx1"/>
            </w14:solidFill>
          </w14:textFill>
        </w:rPr>
        <w:t>≥</w:t>
      </w:r>
      <w:r>
        <w:rPr>
          <w:rFonts w:hint="eastAsia" w:ascii="宋体" w:hAnsi="宋体" w:eastAsia="宋体" w:cs="Times New Roman"/>
          <w:color w:val="000000" w:themeColor="text1"/>
          <w14:textFill>
            <w14:solidFill>
              <w14:schemeClr w14:val="tx1"/>
            </w14:solidFill>
          </w14:textFill>
        </w:rPr>
        <w:t>0以及</w:t>
      </w:r>
      <w:r>
        <w:rPr>
          <w:rFonts w:hint="eastAsia" w:ascii="Times New Roman" w:hAnsi="Times New Roman" w:eastAsia="宋体" w:cs="Times New Roman"/>
          <w:i/>
          <w:color w:val="000000" w:themeColor="text1"/>
          <w14:textFill>
            <w14:solidFill>
              <w14:schemeClr w14:val="tx1"/>
            </w14:solidFill>
          </w14:textFill>
        </w:rPr>
        <w:t>n</w:t>
      </w:r>
      <w:r>
        <w:rPr>
          <w:rFonts w:hint="eastAsia" w:ascii="Times New Roman" w:hAnsi="Times New Roman" w:eastAsia="宋体" w:cs="Times New Roman"/>
          <w:color w:val="000000" w:themeColor="text1"/>
          <w14:textFill>
            <w14:solidFill>
              <w14:schemeClr w14:val="tx1"/>
            </w14:solidFill>
          </w14:textFill>
        </w:rPr>
        <w:t>-</w:t>
      </w:r>
      <w:r>
        <w:rPr>
          <w:rFonts w:hint="eastAsia" w:ascii="Times New Roman" w:hAnsi="Times New Roman" w:eastAsia="宋体" w:cs="Times New Roman"/>
          <w:i/>
          <w:color w:val="000000" w:themeColor="text1"/>
          <w14:textFill>
            <w14:solidFill>
              <w14:schemeClr w14:val="tx1"/>
            </w14:solidFill>
          </w14:textFill>
        </w:rPr>
        <w:t>m</w:t>
      </w:r>
      <w:r>
        <w:rPr>
          <w:rFonts w:ascii="宋体" w:hAnsi="宋体" w:eastAsia="宋体" w:cs="Times New Roman"/>
          <w:color w:val="000000" w:themeColor="text1"/>
          <w14:textFill>
            <w14:solidFill>
              <w14:schemeClr w14:val="tx1"/>
            </w14:solidFill>
          </w14:textFill>
        </w:rPr>
        <w:t>为偶数；</w:t>
      </w:r>
      <w:r>
        <w:rPr>
          <w:rFonts w:ascii="Times New Roman" w:hAnsi="Times New Roman" w:eastAsia="宋体" w:cs="Times New Roman"/>
          <w:i/>
          <w:color w:val="000000" w:themeColor="text1"/>
          <w14:textFill>
            <w14:solidFill>
              <w14:schemeClr w14:val="tx1"/>
            </w14:solidFill>
          </w14:textFill>
        </w:rPr>
        <w:t>j</w:t>
      </w:r>
      <w:r>
        <w:rPr>
          <w:rFonts w:ascii="Segoe UI" w:hAnsi="Segoe UI" w:cs="Segoe UI"/>
          <w:color w:val="0F1115"/>
          <w:shd w:val="clear" w:color="auto" w:fill="FFFFFF"/>
        </w:rPr>
        <w:t>为从 1 开始排序的模序数。Zernike多项式由特定的阶数</w:t>
      </w:r>
      <w:r>
        <w:rPr>
          <w:rFonts w:ascii="Times New Roman" w:hAnsi="Times New Roman" w:eastAsia="宋体" w:cs="Times New Roman"/>
          <w:i/>
          <w:color w:val="000000" w:themeColor="text1"/>
          <w14:textFill>
            <w14:solidFill>
              <w14:schemeClr w14:val="tx1"/>
            </w14:solidFill>
          </w14:textFill>
        </w:rPr>
        <w:t>n</w:t>
      </w:r>
      <w:r>
        <w:rPr>
          <w:rFonts w:ascii="宋体" w:hAnsi="宋体" w:eastAsia="宋体" w:cs="Times New Roman"/>
          <w:color w:val="000000" w:themeColor="text1"/>
          <w14:textFill>
            <w14:solidFill>
              <w14:schemeClr w14:val="tx1"/>
            </w14:solidFill>
          </w14:textFill>
        </w:rPr>
        <w:t>和方位角频率</w:t>
      </w:r>
      <w:r>
        <w:rPr>
          <w:rFonts w:ascii="Times New Roman" w:hAnsi="Times New Roman" w:eastAsia="宋体" w:cs="Times New Roman"/>
          <w:i/>
          <w:color w:val="000000" w:themeColor="text1"/>
          <w14:textFill>
            <w14:solidFill>
              <w14:schemeClr w14:val="tx1"/>
            </w14:solidFill>
          </w14:textFill>
        </w:rPr>
        <w:t>m</w:t>
      </w:r>
      <w:r>
        <w:rPr>
          <w:rFonts w:hint="eastAsia" w:ascii="宋体" w:hAnsi="宋体" w:eastAsia="宋体"/>
          <w:color w:val="000000" w:themeColor="text1"/>
          <w14:textFill>
            <w14:solidFill>
              <w14:schemeClr w14:val="tx1"/>
            </w14:solidFill>
          </w14:textFill>
        </w:rPr>
        <w:t>共同确定[3]。</w:t>
      </w:r>
    </w:p>
    <w:p w14:paraId="2D310EE7">
      <w:pPr>
        <w:pStyle w:val="65"/>
        <w:spacing w:line="300" w:lineRule="exact"/>
        <w:ind w:firstLine="0" w:firstLineChars="0"/>
        <w:rPr>
          <w:rFonts w:ascii="Times New Roman" w:hAnsi="Times New Roman"/>
          <w:b/>
          <w:color w:val="000000" w:themeColor="text1"/>
          <w14:textFill>
            <w14:solidFill>
              <w14:schemeClr w14:val="tx1"/>
            </w14:solidFill>
          </w14:textFill>
        </w:rPr>
      </w:pPr>
      <w:r>
        <w:rPr>
          <w:rFonts w:hint="eastAsia" w:ascii="Segoe UI" w:hAnsi="Segoe UI" w:cs="Segoe UI"/>
          <w:b/>
          <w:color w:val="000000" w:themeColor="text1"/>
          <w:shd w:val="clear" w:color="auto" w:fill="FFFFFF"/>
          <w14:textFill>
            <w14:solidFill>
              <w14:schemeClr w14:val="tx1"/>
            </w14:solidFill>
          </w14:textFill>
        </w:rPr>
        <w:t>2</w:t>
      </w:r>
      <w:r>
        <w:rPr>
          <w:rFonts w:ascii="Segoe UI" w:hAnsi="Segoe UI" w:cs="Segoe UI"/>
          <w:b/>
          <w:color w:val="000000" w:themeColor="text1"/>
          <w:shd w:val="clear" w:color="auto" w:fill="FFFFFF"/>
          <w14:textFill>
            <w14:solidFill>
              <w14:schemeClr w14:val="tx1"/>
            </w14:solidFill>
          </w14:textFill>
        </w:rPr>
        <w:t xml:space="preserve">.1.1 </w:t>
      </w:r>
      <w:r>
        <w:rPr>
          <w:rFonts w:hint="eastAsia" w:ascii="Times New Roman" w:hAnsi="Times New Roman"/>
          <w:b/>
          <w:color w:val="000000" w:themeColor="text1"/>
          <w14:textFill>
            <w14:solidFill>
              <w14:schemeClr w14:val="tx1"/>
            </w14:solidFill>
          </w14:textFill>
        </w:rPr>
        <w:t>球</w:t>
      </w:r>
      <w:r>
        <w:rPr>
          <w:rFonts w:ascii="Times New Roman" w:hAnsi="Times New Roman"/>
          <w:b/>
          <w:color w:val="000000" w:themeColor="text1"/>
          <w14:textFill>
            <w14:solidFill>
              <w14:schemeClr w14:val="tx1"/>
            </w14:solidFill>
          </w14:textFill>
        </w:rPr>
        <w:t>差</w:t>
      </w:r>
    </w:p>
    <w:p w14:paraId="75E27598">
      <w:pPr>
        <w:pStyle w:val="65"/>
        <w:spacing w:line="300" w:lineRule="exact"/>
        <w:ind w:firstLine="360"/>
        <w:rPr>
          <w:rFonts w:ascii="Segoe UI" w:hAnsi="Segoe UI" w:cs="Segoe UI"/>
          <w:color w:val="000000" w:themeColor="text1"/>
          <w14:textFill>
            <w14:solidFill>
              <w14:schemeClr w14:val="tx1"/>
            </w14:solidFill>
          </w14:textFill>
        </w:rPr>
      </w:pPr>
      <w:r>
        <w:rPr>
          <w:rFonts w:hint="eastAsia" w:cs="黑体" w:asciiTheme="minorEastAsia" w:hAnsiTheme="minorEastAsia"/>
          <w:color w:val="000000" w:themeColor="text1"/>
          <w:sz w:val="18"/>
          <w:szCs w:val="18"/>
          <w14:textFill>
            <w14:solidFill>
              <w14:schemeClr w14:val="tx1"/>
            </w14:solidFill>
          </w14:textFill>
        </w:rPr>
        <w:t>球差</w:t>
      </w:r>
      <w:r>
        <w:rPr>
          <w:rFonts w:ascii="Times New Roman" w:hAnsi="Times New Roman"/>
          <w:color w:val="000000" w:themeColor="text1"/>
          <w:sz w:val="18"/>
          <w:szCs w:val="18"/>
          <w14:textFill>
            <w14:solidFill>
              <w14:schemeClr w14:val="tx1"/>
            </w14:solidFill>
          </w14:textFill>
        </w:rPr>
        <w:t>Zernike</w:t>
      </w:r>
      <w:r>
        <w:rPr>
          <w:rFonts w:hint="eastAsia" w:cs="黑体" w:asciiTheme="minorEastAsia" w:hAnsiTheme="minorEastAsia"/>
          <w:color w:val="000000" w:themeColor="text1"/>
          <w:sz w:val="18"/>
          <w:szCs w:val="18"/>
          <w14:textFill>
            <w14:solidFill>
              <w14:schemeClr w14:val="tx1"/>
            </w14:solidFill>
          </w14:textFill>
        </w:rPr>
        <w:t>表达式</w:t>
      </w:r>
      <w:r>
        <w:rPr>
          <w:rFonts w:ascii="Segoe UI" w:hAnsi="Segoe UI" w:cs="Segoe UI"/>
          <w:color w:val="0F1115"/>
          <w:shd w:val="clear" w:color="auto" w:fill="FFFFFF"/>
        </w:rPr>
        <w:t>如表3所示，球差主要由轴上物点发出的光束从不同入射点穿过球面透镜引起。此时，透镜边缘光线与近轴光线聚焦点不重合，分布于光轴不同位置，在像面上形成圆形弥散斑。球差仅与孔径相关，属于轴对称像差，会导致中心视场和边缘视场的成像质量下降。</w:t>
      </w:r>
    </w:p>
    <w:p w14:paraId="32EEC2E4">
      <w:pPr>
        <w:pStyle w:val="65"/>
        <w:spacing w:line="300" w:lineRule="exact"/>
        <w:ind w:firstLine="0" w:firstLineChars="0"/>
        <w:jc w:val="center"/>
        <w:rPr>
          <w:rFonts w:ascii="Times New Roman" w:hAnsi="Times New Roman"/>
          <w:color w:val="000000" w:themeColor="text1"/>
          <w:sz w:val="18"/>
          <w:szCs w:val="18"/>
          <w14:textFill>
            <w14:solidFill>
              <w14:schemeClr w14:val="tx1"/>
            </w14:solidFill>
          </w14:textFill>
        </w:rPr>
      </w:pPr>
      <w:bookmarkStart w:id="9" w:name="OLE_LINK13"/>
      <w:r>
        <w:rPr>
          <w:rFonts w:ascii="Times New Roman" w:hAnsi="Times New Roman"/>
          <w:color w:val="000000" w:themeColor="text1"/>
          <w:sz w:val="18"/>
          <w:szCs w:val="18"/>
          <w14:textFill>
            <w14:solidFill>
              <w14:schemeClr w14:val="tx1"/>
            </w14:solidFill>
          </w14:textFill>
        </w:rPr>
        <w:t>表</w:t>
      </w:r>
      <w:r>
        <w:rPr>
          <w:rFonts w:hint="eastAsia" w:ascii="Times New Roman" w:hAnsi="Times New Roman"/>
          <w:color w:val="000000" w:themeColor="text1"/>
          <w:sz w:val="18"/>
          <w:szCs w:val="18"/>
          <w14:textFill>
            <w14:solidFill>
              <w14:schemeClr w14:val="tx1"/>
            </w14:solidFill>
          </w14:textFill>
        </w:rPr>
        <w:t xml:space="preserve">3 </w:t>
      </w:r>
      <w:r>
        <w:rPr>
          <w:rFonts w:hint="eastAsia" w:cs="黑体" w:asciiTheme="minorEastAsia" w:hAnsiTheme="minorEastAsia"/>
          <w:color w:val="000000" w:themeColor="text1"/>
          <w:sz w:val="18"/>
          <w:szCs w:val="18"/>
          <w14:textFill>
            <w14:solidFill>
              <w14:schemeClr w14:val="tx1"/>
            </w14:solidFill>
          </w14:textFill>
        </w:rPr>
        <w:t>球差</w:t>
      </w:r>
      <w:r>
        <w:rPr>
          <w:rFonts w:ascii="Times New Roman" w:hAnsi="Times New Roman"/>
          <w:color w:val="000000" w:themeColor="text1"/>
          <w:sz w:val="18"/>
          <w:szCs w:val="18"/>
          <w14:textFill>
            <w14:solidFill>
              <w14:schemeClr w14:val="tx1"/>
            </w14:solidFill>
          </w14:textFill>
        </w:rPr>
        <w:t>Zernike</w:t>
      </w:r>
      <w:r>
        <w:rPr>
          <w:rFonts w:hint="eastAsia" w:cs="黑体" w:asciiTheme="minorEastAsia" w:hAnsiTheme="minorEastAsia"/>
          <w:color w:val="000000" w:themeColor="text1"/>
          <w:sz w:val="18"/>
          <w:szCs w:val="18"/>
          <w14:textFill>
            <w14:solidFill>
              <w14:schemeClr w14:val="tx1"/>
            </w14:solidFill>
          </w14:textFill>
        </w:rPr>
        <w:t>表达式</w:t>
      </w:r>
    </w:p>
    <w:bookmarkEnd w:id="9"/>
    <w:tbl>
      <w:tblPr>
        <w:tblStyle w:val="22"/>
        <w:tblW w:w="0" w:type="auto"/>
        <w:tblInd w:w="0"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709"/>
        <w:gridCol w:w="1134"/>
        <w:gridCol w:w="851"/>
        <w:gridCol w:w="4536"/>
        <w:gridCol w:w="992"/>
      </w:tblGrid>
      <w:tr w14:paraId="70842B2B">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PrEx>
        <w:tc>
          <w:tcPr>
            <w:tcW w:w="709" w:type="dxa"/>
            <w:tcBorders>
              <w:bottom w:val="single" w:color="auto" w:sz="4" w:space="0"/>
            </w:tcBorders>
            <w:vAlign w:val="center"/>
          </w:tcPr>
          <w:p w14:paraId="566F1739">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eastAsia="仿宋"/>
                <w:i/>
                <w:iCs/>
                <w:color w:val="000000" w:themeColor="text1"/>
                <w:kern w:val="0"/>
                <w:sz w:val="18"/>
                <w:szCs w:val="18"/>
                <w14:textFill>
                  <w14:solidFill>
                    <w14:schemeClr w14:val="tx1"/>
                  </w14:solidFill>
                </w14:textFill>
              </w:rPr>
              <w:t>j</w:t>
            </w:r>
          </w:p>
        </w:tc>
        <w:tc>
          <w:tcPr>
            <w:tcW w:w="1134" w:type="dxa"/>
            <w:tcBorders>
              <w:bottom w:val="single" w:color="auto" w:sz="4" w:space="0"/>
            </w:tcBorders>
            <w:vAlign w:val="center"/>
          </w:tcPr>
          <w:p w14:paraId="7EDABCB2">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eastAsia="仿宋"/>
                <w:i/>
                <w:iCs/>
                <w:color w:val="000000" w:themeColor="text1"/>
                <w:kern w:val="0"/>
                <w:sz w:val="18"/>
                <w:szCs w:val="18"/>
                <w14:textFill>
                  <w14:solidFill>
                    <w14:schemeClr w14:val="tx1"/>
                  </w14:solidFill>
                </w14:textFill>
              </w:rPr>
              <w:t>n</w:t>
            </w:r>
          </w:p>
        </w:tc>
        <w:tc>
          <w:tcPr>
            <w:tcW w:w="851" w:type="dxa"/>
            <w:tcBorders>
              <w:bottom w:val="single" w:color="auto" w:sz="4" w:space="0"/>
            </w:tcBorders>
            <w:vAlign w:val="center"/>
          </w:tcPr>
          <w:p w14:paraId="2885F473">
            <w:pPr>
              <w:pStyle w:val="65"/>
              <w:spacing w:line="300" w:lineRule="exact"/>
              <w:ind w:firstLine="0" w:firstLineChars="0"/>
              <w:jc w:val="center"/>
              <w:rPr>
                <w:rFonts w:ascii="Times New Roman" w:hAnsi="Times New Roman"/>
                <w:i/>
                <w:iCs/>
                <w:color w:val="000000" w:themeColor="text1"/>
                <w:kern w:val="0"/>
                <w:sz w:val="20"/>
                <w:szCs w:val="20"/>
                <w14:textFill>
                  <w14:solidFill>
                    <w14:schemeClr w14:val="tx1"/>
                  </w14:solidFill>
                </w14:textFill>
              </w:rPr>
            </w:pPr>
            <w:r>
              <w:rPr>
                <w:rFonts w:hint="eastAsia" w:ascii="Times New Roman" w:hAnsi="Times New Roman"/>
                <w:i/>
                <w:iCs/>
                <w:color w:val="000000" w:themeColor="text1"/>
                <w:kern w:val="0"/>
                <w:sz w:val="20"/>
                <w:szCs w:val="20"/>
                <w14:textFill>
                  <w14:solidFill>
                    <w14:schemeClr w14:val="tx1"/>
                  </w14:solidFill>
                </w14:textFill>
              </w:rPr>
              <w:t>m</w:t>
            </w:r>
          </w:p>
        </w:tc>
        <w:tc>
          <w:tcPr>
            <w:tcW w:w="4536" w:type="dxa"/>
            <w:tcBorders>
              <w:bottom w:val="single" w:color="auto" w:sz="4" w:space="0"/>
            </w:tcBorders>
            <w:vAlign w:val="center"/>
          </w:tcPr>
          <w:p w14:paraId="35FF95F4">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eastAsia="仿宋"/>
                <w:color w:val="000000" w:themeColor="text1"/>
                <w:kern w:val="2"/>
                <w:position w:val="-10"/>
                <w:sz w:val="21"/>
                <w:szCs w:val="21"/>
                <w14:textFill>
                  <w14:solidFill>
                    <w14:schemeClr w14:val="tx1"/>
                  </w14:solidFill>
                </w14:textFill>
                <w14:ligatures w14:val="standardContextual"/>
              </w:rPr>
              <w:object>
                <v:shape id="_x0000_i1025" o:spt="75" type="#_x0000_t75" style="height:16.15pt;width:28.2pt;" o:ole="t" filled="f" o:preferrelative="t" stroked="f" coordsize="21600,21600">
                  <v:path/>
                  <v:fill on="f" focussize="0,0"/>
                  <v:stroke on="f" joinstyle="miter"/>
                  <v:imagedata r:id="rId11" o:title=""/>
                  <o:lock v:ext="edit" aspectratio="t"/>
                  <w10:wrap type="none"/>
                  <w10:anchorlock/>
                </v:shape>
                <o:OLEObject Type="Embed" ProgID="Equation.DSMT4" ShapeID="_x0000_i1025" DrawAspect="Content" ObjectID="_1468075725" r:id="rId10">
                  <o:LockedField>false</o:LockedField>
                </o:OLEObject>
              </w:object>
            </w:r>
          </w:p>
        </w:tc>
        <w:tc>
          <w:tcPr>
            <w:tcW w:w="992" w:type="dxa"/>
            <w:tcBorders>
              <w:bottom w:val="single" w:color="auto" w:sz="4" w:space="0"/>
            </w:tcBorders>
            <w:vAlign w:val="center"/>
          </w:tcPr>
          <w:p w14:paraId="0F9C0BFA">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hint="eastAsia" w:ascii="宋体" w:hAnsi="宋体"/>
                <w:color w:val="000000" w:themeColor="text1"/>
                <w:kern w:val="0"/>
                <w:sz w:val="15"/>
                <w:szCs w:val="15"/>
                <w14:textFill>
                  <w14:solidFill>
                    <w14:schemeClr w14:val="tx1"/>
                  </w14:solidFill>
                </w14:textFill>
              </w:rPr>
              <w:t>像差</w:t>
            </w:r>
          </w:p>
        </w:tc>
      </w:tr>
      <w:tr w14:paraId="4C742AA0">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09" w:type="dxa"/>
            <w:tcBorders>
              <w:top w:val="single" w:color="auto" w:sz="4" w:space="0"/>
              <w:bottom w:val="nil"/>
            </w:tcBorders>
          </w:tcPr>
          <w:p w14:paraId="1978F70D">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4</w:t>
            </w:r>
          </w:p>
        </w:tc>
        <w:tc>
          <w:tcPr>
            <w:tcW w:w="1134" w:type="dxa"/>
            <w:tcBorders>
              <w:top w:val="single" w:color="auto" w:sz="4" w:space="0"/>
              <w:bottom w:val="nil"/>
            </w:tcBorders>
          </w:tcPr>
          <w:p w14:paraId="50AA6CE3">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2</w:t>
            </w:r>
          </w:p>
        </w:tc>
        <w:tc>
          <w:tcPr>
            <w:tcW w:w="851" w:type="dxa"/>
            <w:tcBorders>
              <w:top w:val="single" w:color="auto" w:sz="4" w:space="0"/>
              <w:bottom w:val="nil"/>
            </w:tcBorders>
          </w:tcPr>
          <w:p w14:paraId="35201F06">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0</w:t>
            </w:r>
          </w:p>
        </w:tc>
        <w:tc>
          <w:tcPr>
            <w:tcW w:w="4536" w:type="dxa"/>
            <w:tcBorders>
              <w:top w:val="single" w:color="auto" w:sz="4" w:space="0"/>
              <w:bottom w:val="nil"/>
            </w:tcBorders>
          </w:tcPr>
          <w:p w14:paraId="2C530BDD">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color w:val="000000" w:themeColor="text1"/>
                <w:kern w:val="2"/>
                <w:position w:val="-16"/>
                <w:sz w:val="21"/>
                <w:szCs w:val="21"/>
                <w14:textFill>
                  <w14:solidFill>
                    <w14:schemeClr w14:val="tx1"/>
                  </w14:solidFill>
                </w14:textFill>
                <w14:ligatures w14:val="standardContextual"/>
              </w:rPr>
              <w:object>
                <v:shape id="_x0000_i1026" o:spt="75" type="#_x0000_t75" style="height:21.3pt;width:43.8pt;" o:ole="t" filled="f" o:preferrelative="t" stroked="f" coordsize="21600,21600">
                  <v:path/>
                  <v:fill on="f" focussize="0,0"/>
                  <v:stroke on="f" joinstyle="miter"/>
                  <v:imagedata r:id="rId13" o:title=""/>
                  <o:lock v:ext="edit" aspectratio="t"/>
                  <w10:wrap type="none"/>
                  <w10:anchorlock/>
                </v:shape>
                <o:OLEObject Type="Embed" ProgID="Equation.DSMT4" ShapeID="_x0000_i1026" DrawAspect="Content" ObjectID="_1468075726" r:id="rId12">
                  <o:LockedField>false</o:LockedField>
                </o:OLEObject>
              </w:object>
            </w:r>
          </w:p>
        </w:tc>
        <w:tc>
          <w:tcPr>
            <w:tcW w:w="992" w:type="dxa"/>
            <w:tcBorders>
              <w:top w:val="single" w:color="auto" w:sz="4" w:space="0"/>
              <w:bottom w:val="nil"/>
            </w:tcBorders>
          </w:tcPr>
          <w:p w14:paraId="1A6C6BE7">
            <w:pPr>
              <w:autoSpaceDE w:val="0"/>
              <w:autoSpaceDN w:val="0"/>
              <w:adjustRightInd w:val="0"/>
              <w:snapToGrid w:val="0"/>
              <w:spacing w:line="300" w:lineRule="exact"/>
              <w:jc w:val="center"/>
              <w:rPr>
                <w:rFonts w:ascii="Times New Roman" w:hAnsi="Times New Roman"/>
                <w:color w:val="000000" w:themeColor="text1"/>
                <w:kern w:val="0"/>
                <w:sz w:val="20"/>
                <w:szCs w:val="20"/>
                <w14:textFill>
                  <w14:solidFill>
                    <w14:schemeClr w14:val="tx1"/>
                  </w14:solidFill>
                </w14:textFill>
                <w14:ligatures w14:val="none"/>
              </w:rPr>
            </w:pP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离焦</w:t>
            </w:r>
          </w:p>
        </w:tc>
      </w:tr>
      <w:tr w14:paraId="46304D9D">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09" w:type="dxa"/>
            <w:tcBorders>
              <w:top w:val="nil"/>
              <w:bottom w:val="nil"/>
            </w:tcBorders>
          </w:tcPr>
          <w:p w14:paraId="1F940E53">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11</w:t>
            </w:r>
          </w:p>
        </w:tc>
        <w:tc>
          <w:tcPr>
            <w:tcW w:w="1134" w:type="dxa"/>
            <w:tcBorders>
              <w:top w:val="nil"/>
              <w:bottom w:val="nil"/>
            </w:tcBorders>
          </w:tcPr>
          <w:p w14:paraId="0DF64399">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4</w:t>
            </w:r>
          </w:p>
        </w:tc>
        <w:tc>
          <w:tcPr>
            <w:tcW w:w="851" w:type="dxa"/>
            <w:tcBorders>
              <w:top w:val="nil"/>
              <w:bottom w:val="nil"/>
            </w:tcBorders>
          </w:tcPr>
          <w:p w14:paraId="3B8BF5F6">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0</w:t>
            </w:r>
          </w:p>
        </w:tc>
        <w:tc>
          <w:tcPr>
            <w:tcW w:w="4536" w:type="dxa"/>
            <w:tcBorders>
              <w:top w:val="nil"/>
              <w:bottom w:val="nil"/>
            </w:tcBorders>
          </w:tcPr>
          <w:p w14:paraId="0367ACBF">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color w:val="000000" w:themeColor="text1"/>
                <w:kern w:val="2"/>
                <w:position w:val="-16"/>
                <w:sz w:val="21"/>
                <w:szCs w:val="21"/>
                <w14:textFill>
                  <w14:solidFill>
                    <w14:schemeClr w14:val="tx1"/>
                  </w14:solidFill>
                </w14:textFill>
                <w14:ligatures w14:val="standardContextual"/>
              </w:rPr>
              <w:object>
                <v:shape id="_x0000_i1027" o:spt="75" type="#_x0000_t75" style="height:21.3pt;width:65.65pt;" o:ole="t" filled="f" o:preferrelative="t" stroked="f" coordsize="21600,21600">
                  <v:path/>
                  <v:fill on="f" focussize="0,0"/>
                  <v:stroke on="f" joinstyle="miter"/>
                  <v:imagedata r:id="rId15" o:title=""/>
                  <o:lock v:ext="edit" aspectratio="t"/>
                  <w10:wrap type="none"/>
                  <w10:anchorlock/>
                </v:shape>
                <o:OLEObject Type="Embed" ProgID="Equation.DSMT4" ShapeID="_x0000_i1027" DrawAspect="Content" ObjectID="_1468075727" r:id="rId14">
                  <o:LockedField>false</o:LockedField>
                </o:OLEObject>
              </w:object>
            </w:r>
          </w:p>
        </w:tc>
        <w:tc>
          <w:tcPr>
            <w:tcW w:w="992" w:type="dxa"/>
            <w:tcBorders>
              <w:top w:val="nil"/>
              <w:bottom w:val="nil"/>
            </w:tcBorders>
          </w:tcPr>
          <w:p w14:paraId="25B90638">
            <w:pPr>
              <w:autoSpaceDE w:val="0"/>
              <w:autoSpaceDN w:val="0"/>
              <w:adjustRightInd w:val="0"/>
              <w:snapToGrid w:val="0"/>
              <w:spacing w:line="300" w:lineRule="exact"/>
              <w:jc w:val="center"/>
              <w:rPr>
                <w:rFonts w:ascii="Times New Roman" w:hAnsi="Times New Roman"/>
                <w:color w:val="000000" w:themeColor="text1"/>
                <w:kern w:val="0"/>
                <w:sz w:val="20"/>
                <w:szCs w:val="20"/>
                <w14:textFill>
                  <w14:solidFill>
                    <w14:schemeClr w14:val="tx1"/>
                  </w14:solidFill>
                </w14:textFill>
                <w14:ligatures w14:val="none"/>
              </w:rPr>
            </w:pP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初阶球差</w:t>
            </w:r>
          </w:p>
        </w:tc>
      </w:tr>
      <w:tr w14:paraId="0ACFF5B7">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09" w:type="dxa"/>
            <w:tcBorders>
              <w:top w:val="nil"/>
              <w:bottom w:val="nil"/>
            </w:tcBorders>
          </w:tcPr>
          <w:p w14:paraId="461E4D83">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22</w:t>
            </w:r>
          </w:p>
        </w:tc>
        <w:tc>
          <w:tcPr>
            <w:tcW w:w="1134" w:type="dxa"/>
            <w:tcBorders>
              <w:top w:val="nil"/>
              <w:bottom w:val="nil"/>
            </w:tcBorders>
          </w:tcPr>
          <w:p w14:paraId="13906D63">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6</w:t>
            </w:r>
          </w:p>
        </w:tc>
        <w:tc>
          <w:tcPr>
            <w:tcW w:w="851" w:type="dxa"/>
            <w:tcBorders>
              <w:top w:val="nil"/>
              <w:bottom w:val="nil"/>
            </w:tcBorders>
          </w:tcPr>
          <w:p w14:paraId="26C13DCB">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0</w:t>
            </w:r>
          </w:p>
        </w:tc>
        <w:tc>
          <w:tcPr>
            <w:tcW w:w="4536" w:type="dxa"/>
            <w:tcBorders>
              <w:top w:val="nil"/>
              <w:bottom w:val="nil"/>
            </w:tcBorders>
          </w:tcPr>
          <w:p w14:paraId="5E6C4B84">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color w:val="000000" w:themeColor="text1"/>
                <w:kern w:val="2"/>
                <w:position w:val="-16"/>
                <w:sz w:val="21"/>
                <w:szCs w:val="21"/>
                <w14:textFill>
                  <w14:solidFill>
                    <w14:schemeClr w14:val="tx1"/>
                  </w14:solidFill>
                </w14:textFill>
                <w14:ligatures w14:val="standardContextual"/>
              </w:rPr>
              <w:object>
                <v:shape id="_x0000_i1028" o:spt="75" type="#_x0000_t75" style="height:21.3pt;width:95.6pt;" o:ole="t" filled="f" o:preferrelative="t" stroked="f" coordsize="21600,21600">
                  <v:path/>
                  <v:fill on="f" focussize="0,0"/>
                  <v:stroke on="f" joinstyle="miter"/>
                  <v:imagedata r:id="rId17" o:title=""/>
                  <o:lock v:ext="edit" aspectratio="t"/>
                  <w10:wrap type="none"/>
                  <w10:anchorlock/>
                </v:shape>
                <o:OLEObject Type="Embed" ProgID="Equation.DSMT4" ShapeID="_x0000_i1028" DrawAspect="Content" ObjectID="_1468075728" r:id="rId16">
                  <o:LockedField>false</o:LockedField>
                </o:OLEObject>
              </w:object>
            </w:r>
          </w:p>
        </w:tc>
        <w:tc>
          <w:tcPr>
            <w:tcW w:w="992" w:type="dxa"/>
            <w:tcBorders>
              <w:top w:val="nil"/>
              <w:bottom w:val="nil"/>
            </w:tcBorders>
          </w:tcPr>
          <w:p w14:paraId="5DCC89D1">
            <w:pPr>
              <w:autoSpaceDE w:val="0"/>
              <w:autoSpaceDN w:val="0"/>
              <w:adjustRightInd w:val="0"/>
              <w:snapToGrid w:val="0"/>
              <w:spacing w:line="300" w:lineRule="exact"/>
              <w:jc w:val="center"/>
              <w:rPr>
                <w:rFonts w:ascii="Times New Roman" w:hAnsi="Times New Roman"/>
                <w:color w:val="000000" w:themeColor="text1"/>
                <w:kern w:val="0"/>
                <w:sz w:val="20"/>
                <w:szCs w:val="20"/>
                <w14:textFill>
                  <w14:solidFill>
                    <w14:schemeClr w14:val="tx1"/>
                  </w14:solidFill>
                </w14:textFill>
                <w14:ligatures w14:val="none"/>
              </w:rPr>
            </w:pP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二阶球差</w:t>
            </w:r>
          </w:p>
        </w:tc>
      </w:tr>
      <w:tr w14:paraId="580D56E3">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09" w:type="dxa"/>
            <w:tcBorders>
              <w:top w:val="nil"/>
            </w:tcBorders>
          </w:tcPr>
          <w:p w14:paraId="4095BBB6">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37</w:t>
            </w:r>
          </w:p>
        </w:tc>
        <w:tc>
          <w:tcPr>
            <w:tcW w:w="1134" w:type="dxa"/>
            <w:tcBorders>
              <w:top w:val="nil"/>
            </w:tcBorders>
          </w:tcPr>
          <w:p w14:paraId="4B4F0FB5">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8</w:t>
            </w:r>
          </w:p>
        </w:tc>
        <w:tc>
          <w:tcPr>
            <w:tcW w:w="851" w:type="dxa"/>
            <w:tcBorders>
              <w:top w:val="nil"/>
            </w:tcBorders>
          </w:tcPr>
          <w:p w14:paraId="331A5D62">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0</w:t>
            </w:r>
          </w:p>
        </w:tc>
        <w:tc>
          <w:tcPr>
            <w:tcW w:w="4536" w:type="dxa"/>
            <w:tcBorders>
              <w:top w:val="nil"/>
            </w:tcBorders>
          </w:tcPr>
          <w:p w14:paraId="157D4F26">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color w:val="000000" w:themeColor="text1"/>
                <w:kern w:val="2"/>
                <w:position w:val="-16"/>
                <w:sz w:val="21"/>
                <w:szCs w:val="21"/>
                <w14:textFill>
                  <w14:solidFill>
                    <w14:schemeClr w14:val="tx1"/>
                  </w14:solidFill>
                </w14:textFill>
                <w14:ligatures w14:val="standardContextual"/>
              </w:rPr>
              <w:object>
                <v:shape id="_x0000_i1029" o:spt="75" type="#_x0000_t75" style="height:21.3pt;width:118.1pt;" o:ole="t" filled="f" o:preferrelative="t" stroked="f" coordsize="21600,21600">
                  <v:path/>
                  <v:fill on="f" focussize="0,0"/>
                  <v:stroke on="f" joinstyle="miter"/>
                  <v:imagedata r:id="rId19" o:title=""/>
                  <o:lock v:ext="edit" aspectratio="t"/>
                  <w10:wrap type="none"/>
                  <w10:anchorlock/>
                </v:shape>
                <o:OLEObject Type="Embed" ProgID="Equation.DSMT4" ShapeID="_x0000_i1029" DrawAspect="Content" ObjectID="_1468075729" r:id="rId18">
                  <o:LockedField>false</o:LockedField>
                </o:OLEObject>
              </w:object>
            </w:r>
          </w:p>
        </w:tc>
        <w:tc>
          <w:tcPr>
            <w:tcW w:w="992" w:type="dxa"/>
            <w:tcBorders>
              <w:top w:val="nil"/>
            </w:tcBorders>
          </w:tcPr>
          <w:p w14:paraId="7E4C8167">
            <w:pPr>
              <w:autoSpaceDE w:val="0"/>
              <w:autoSpaceDN w:val="0"/>
              <w:adjustRightInd w:val="0"/>
              <w:snapToGrid w:val="0"/>
              <w:spacing w:line="300" w:lineRule="exact"/>
              <w:jc w:val="center"/>
              <w:rPr>
                <w:rFonts w:ascii="Times New Roman" w:hAnsi="Times New Roman"/>
                <w:color w:val="000000" w:themeColor="text1"/>
                <w:kern w:val="0"/>
                <w:sz w:val="20"/>
                <w:szCs w:val="20"/>
                <w14:textFill>
                  <w14:solidFill>
                    <w14:schemeClr w14:val="tx1"/>
                  </w14:solidFill>
                </w14:textFill>
                <w14:ligatures w14:val="none"/>
              </w:rPr>
            </w:pP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三阶球差</w:t>
            </w:r>
          </w:p>
        </w:tc>
      </w:tr>
    </w:tbl>
    <w:p w14:paraId="1D8BCDFC">
      <w:pPr>
        <w:pStyle w:val="65"/>
        <w:spacing w:line="300" w:lineRule="exact"/>
        <w:ind w:firstLine="0" w:firstLineChars="0"/>
        <w:rPr>
          <w:rFonts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2</w:t>
      </w:r>
      <w:r>
        <w:rPr>
          <w:rFonts w:ascii="Times New Roman" w:hAnsi="Times New Roman"/>
          <w:color w:val="000000" w:themeColor="text1"/>
          <w14:textFill>
            <w14:solidFill>
              <w14:schemeClr w14:val="tx1"/>
            </w14:solidFill>
          </w14:textFill>
        </w:rPr>
        <w:t xml:space="preserve">.1.2 </w:t>
      </w:r>
      <w:r>
        <w:rPr>
          <w:rFonts w:hint="eastAsia" w:ascii="Times New Roman" w:hAnsi="Times New Roman"/>
          <w:color w:val="000000" w:themeColor="text1"/>
          <w14:textFill>
            <w14:solidFill>
              <w14:schemeClr w14:val="tx1"/>
            </w14:solidFill>
          </w14:textFill>
        </w:rPr>
        <w:t>慧</w:t>
      </w:r>
      <w:r>
        <w:rPr>
          <w:rFonts w:ascii="Times New Roman" w:hAnsi="Times New Roman"/>
          <w:color w:val="000000" w:themeColor="text1"/>
          <w14:textFill>
            <w14:solidFill>
              <w14:schemeClr w14:val="tx1"/>
            </w14:solidFill>
          </w14:textFill>
        </w:rPr>
        <w:t>差</w:t>
      </w:r>
      <w:bookmarkStart w:id="10" w:name="OLE_LINK9"/>
    </w:p>
    <w:bookmarkEnd w:id="10"/>
    <w:p w14:paraId="0BC63E16">
      <w:pPr>
        <w:pStyle w:val="65"/>
        <w:spacing w:line="300" w:lineRule="exact"/>
        <w:ind w:firstLine="420" w:firstLineChars="0"/>
        <w:rPr>
          <w:rFonts w:ascii="Segoe UI" w:hAnsi="Segoe UI" w:cs="Segoe UI"/>
          <w:color w:val="000000" w:themeColor="text1"/>
          <w14:textFill>
            <w14:solidFill>
              <w14:schemeClr w14:val="tx1"/>
            </w14:solidFill>
          </w14:textFill>
        </w:rPr>
      </w:pPr>
      <w:r>
        <w:rPr>
          <w:rFonts w:hint="eastAsia" w:cs="黑体" w:asciiTheme="minorEastAsia" w:hAnsiTheme="minorEastAsia"/>
          <w:color w:val="000000" w:themeColor="text1"/>
          <w:sz w:val="18"/>
          <w:szCs w:val="18"/>
          <w14:textFill>
            <w14:solidFill>
              <w14:schemeClr w14:val="tx1"/>
            </w14:solidFill>
          </w14:textFill>
        </w:rPr>
        <w:t>慧差</w:t>
      </w:r>
      <w:r>
        <w:rPr>
          <w:rFonts w:ascii="Times New Roman" w:hAnsi="Times New Roman"/>
          <w:color w:val="000000" w:themeColor="text1"/>
          <w:sz w:val="18"/>
          <w:szCs w:val="18"/>
          <w14:textFill>
            <w14:solidFill>
              <w14:schemeClr w14:val="tx1"/>
            </w14:solidFill>
          </w14:textFill>
        </w:rPr>
        <w:t>Zernike</w:t>
      </w:r>
      <w:r>
        <w:rPr>
          <w:rFonts w:hint="eastAsia" w:cs="黑体" w:asciiTheme="minorEastAsia" w:hAnsiTheme="minorEastAsia"/>
          <w:color w:val="000000" w:themeColor="text1"/>
          <w:sz w:val="18"/>
          <w:szCs w:val="18"/>
          <w14:textFill>
            <w14:solidFill>
              <w14:schemeClr w14:val="tx1"/>
            </w14:solidFill>
          </w14:textFill>
        </w:rPr>
        <w:t>表达式</w:t>
      </w:r>
      <w:r>
        <w:rPr>
          <w:rFonts w:ascii="Segoe UI" w:hAnsi="Segoe UI" w:cs="Segoe UI"/>
          <w:color w:val="0F1115"/>
          <w:shd w:val="clear" w:color="auto" w:fill="FFFFFF"/>
        </w:rPr>
        <w:t>如表4所示，彗差是由于轴外物点发出的锥形光束经光学系统后，无法在理想像面完美成像所致。通常表现为偏离光轴的光线（尤其是远轴光线）聚焦位置不一致，形成类似彗星状带尾光斑。彗差会严重影响大视场、大孔径系统的边缘成像质量</w:t>
      </w:r>
      <w:r>
        <w:rPr>
          <w:rFonts w:hint="eastAsia" w:ascii="Segoe UI" w:hAnsi="Segoe UI" w:cs="Segoe UI"/>
          <w:color w:val="000000" w:themeColor="text1"/>
          <w14:textFill>
            <w14:solidFill>
              <w14:schemeClr w14:val="tx1"/>
            </w14:solidFill>
          </w14:textFill>
        </w:rPr>
        <w:t>。</w:t>
      </w:r>
    </w:p>
    <w:p w14:paraId="1DD3F13B">
      <w:pPr>
        <w:pStyle w:val="65"/>
        <w:spacing w:line="300" w:lineRule="exact"/>
        <w:ind w:firstLine="0" w:firstLineChars="0"/>
        <w:jc w:val="center"/>
        <w:rPr>
          <w:rFonts w:cs="黑体" w:asciiTheme="minorEastAsia" w:hAnsiTheme="minorEastAsia"/>
          <w:color w:val="000000" w:themeColor="text1"/>
          <w:sz w:val="18"/>
          <w:szCs w:val="18"/>
          <w14:textFill>
            <w14:solidFill>
              <w14:schemeClr w14:val="tx1"/>
            </w14:solidFill>
          </w14:textFill>
        </w:rPr>
      </w:pPr>
      <w:r>
        <w:rPr>
          <w:rFonts w:ascii="Times New Roman" w:hAnsi="Times New Roman"/>
          <w:color w:val="000000" w:themeColor="text1"/>
          <w:sz w:val="18"/>
          <w:szCs w:val="18"/>
          <w14:textFill>
            <w14:solidFill>
              <w14:schemeClr w14:val="tx1"/>
            </w14:solidFill>
          </w14:textFill>
        </w:rPr>
        <w:t>表</w:t>
      </w:r>
      <w:r>
        <w:rPr>
          <w:rFonts w:hint="eastAsia" w:ascii="Times New Roman" w:hAnsi="Times New Roman"/>
          <w:color w:val="000000" w:themeColor="text1"/>
          <w:sz w:val="18"/>
          <w:szCs w:val="18"/>
          <w14:textFill>
            <w14:solidFill>
              <w14:schemeClr w14:val="tx1"/>
            </w14:solidFill>
          </w14:textFill>
        </w:rPr>
        <w:t>4</w:t>
      </w:r>
      <w:r>
        <w:rPr>
          <w:rFonts w:hint="eastAsia" w:cs="黑体" w:asciiTheme="minorEastAsia" w:hAnsiTheme="minorEastAsia"/>
          <w:color w:val="000000" w:themeColor="text1"/>
          <w:sz w:val="18"/>
          <w:szCs w:val="18"/>
          <w14:textFill>
            <w14:solidFill>
              <w14:schemeClr w14:val="tx1"/>
            </w14:solidFill>
          </w14:textFill>
        </w:rPr>
        <w:t xml:space="preserve"> 慧差</w:t>
      </w:r>
      <w:r>
        <w:rPr>
          <w:rFonts w:ascii="Times New Roman" w:hAnsi="Times New Roman"/>
          <w:color w:val="000000" w:themeColor="text1"/>
          <w:sz w:val="18"/>
          <w:szCs w:val="18"/>
          <w14:textFill>
            <w14:solidFill>
              <w14:schemeClr w14:val="tx1"/>
            </w14:solidFill>
          </w14:textFill>
        </w:rPr>
        <w:t>Zernike</w:t>
      </w:r>
      <w:r>
        <w:rPr>
          <w:rFonts w:hint="eastAsia" w:cs="黑体" w:asciiTheme="minorEastAsia" w:hAnsiTheme="minorEastAsia"/>
          <w:color w:val="000000" w:themeColor="text1"/>
          <w:sz w:val="18"/>
          <w:szCs w:val="18"/>
          <w14:textFill>
            <w14:solidFill>
              <w14:schemeClr w14:val="tx1"/>
            </w14:solidFill>
          </w14:textFill>
        </w:rPr>
        <w:t>表达式</w:t>
      </w:r>
    </w:p>
    <w:tbl>
      <w:tblPr>
        <w:tblStyle w:val="22"/>
        <w:tblW w:w="0" w:type="auto"/>
        <w:tblInd w:w="0"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709"/>
        <w:gridCol w:w="1134"/>
        <w:gridCol w:w="851"/>
        <w:gridCol w:w="4536"/>
        <w:gridCol w:w="992"/>
      </w:tblGrid>
      <w:tr w14:paraId="5A4F78A8">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09" w:type="dxa"/>
            <w:tcBorders>
              <w:bottom w:val="single" w:color="auto" w:sz="4" w:space="0"/>
            </w:tcBorders>
            <w:vAlign w:val="center"/>
          </w:tcPr>
          <w:p w14:paraId="101AADD5">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eastAsia="仿宋"/>
                <w:i/>
                <w:iCs/>
                <w:color w:val="000000" w:themeColor="text1"/>
                <w:kern w:val="0"/>
                <w:sz w:val="18"/>
                <w:szCs w:val="18"/>
                <w14:textFill>
                  <w14:solidFill>
                    <w14:schemeClr w14:val="tx1"/>
                  </w14:solidFill>
                </w14:textFill>
              </w:rPr>
              <w:t>j</w:t>
            </w:r>
          </w:p>
        </w:tc>
        <w:tc>
          <w:tcPr>
            <w:tcW w:w="1134" w:type="dxa"/>
            <w:tcBorders>
              <w:bottom w:val="single" w:color="auto" w:sz="4" w:space="0"/>
            </w:tcBorders>
            <w:vAlign w:val="center"/>
          </w:tcPr>
          <w:p w14:paraId="6A8B729B">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eastAsia="仿宋"/>
                <w:i/>
                <w:iCs/>
                <w:color w:val="000000" w:themeColor="text1"/>
                <w:kern w:val="0"/>
                <w:sz w:val="18"/>
                <w:szCs w:val="18"/>
                <w14:textFill>
                  <w14:solidFill>
                    <w14:schemeClr w14:val="tx1"/>
                  </w14:solidFill>
                </w14:textFill>
              </w:rPr>
              <w:t>n</w:t>
            </w:r>
          </w:p>
        </w:tc>
        <w:tc>
          <w:tcPr>
            <w:tcW w:w="851" w:type="dxa"/>
            <w:tcBorders>
              <w:bottom w:val="single" w:color="auto" w:sz="4" w:space="0"/>
            </w:tcBorders>
            <w:vAlign w:val="center"/>
          </w:tcPr>
          <w:p w14:paraId="02B8A74A">
            <w:pPr>
              <w:pStyle w:val="65"/>
              <w:spacing w:line="300" w:lineRule="exact"/>
              <w:ind w:firstLine="0" w:firstLineChars="0"/>
              <w:jc w:val="center"/>
              <w:rPr>
                <w:rFonts w:ascii="Times New Roman" w:hAnsi="Times New Roman"/>
                <w:i/>
                <w:iCs/>
                <w:color w:val="000000" w:themeColor="text1"/>
                <w:kern w:val="0"/>
                <w:sz w:val="20"/>
                <w:szCs w:val="20"/>
                <w14:textFill>
                  <w14:solidFill>
                    <w14:schemeClr w14:val="tx1"/>
                  </w14:solidFill>
                </w14:textFill>
              </w:rPr>
            </w:pPr>
            <w:r>
              <w:rPr>
                <w:rFonts w:hint="eastAsia" w:ascii="Times New Roman" w:hAnsi="Times New Roman"/>
                <w:i/>
                <w:iCs/>
                <w:color w:val="000000" w:themeColor="text1"/>
                <w:kern w:val="0"/>
                <w:sz w:val="20"/>
                <w:szCs w:val="20"/>
                <w14:textFill>
                  <w14:solidFill>
                    <w14:schemeClr w14:val="tx1"/>
                  </w14:solidFill>
                </w14:textFill>
              </w:rPr>
              <w:t>m</w:t>
            </w:r>
          </w:p>
        </w:tc>
        <w:tc>
          <w:tcPr>
            <w:tcW w:w="4536" w:type="dxa"/>
            <w:tcBorders>
              <w:bottom w:val="single" w:color="auto" w:sz="4" w:space="0"/>
            </w:tcBorders>
            <w:vAlign w:val="center"/>
          </w:tcPr>
          <w:p w14:paraId="00F6627B">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eastAsia="仿宋"/>
                <w:color w:val="000000" w:themeColor="text1"/>
                <w:kern w:val="2"/>
                <w:position w:val="-10"/>
                <w:sz w:val="21"/>
                <w:szCs w:val="21"/>
                <w14:textFill>
                  <w14:solidFill>
                    <w14:schemeClr w14:val="tx1"/>
                  </w14:solidFill>
                </w14:textFill>
                <w14:ligatures w14:val="standardContextual"/>
              </w:rPr>
              <w:object>
                <v:shape id="_x0000_i1030" o:spt="75" type="#_x0000_t75" style="height:16.15pt;width:28.2pt;" o:ole="t" filled="f" o:preferrelative="t" stroked="f" coordsize="21600,21600">
                  <v:path/>
                  <v:fill on="f" focussize="0,0"/>
                  <v:stroke on="f" joinstyle="miter"/>
                  <v:imagedata r:id="rId11" o:title=""/>
                  <o:lock v:ext="edit" aspectratio="t"/>
                  <w10:wrap type="none"/>
                  <w10:anchorlock/>
                </v:shape>
                <o:OLEObject Type="Embed" ProgID="Equation.DSMT4" ShapeID="_x0000_i1030" DrawAspect="Content" ObjectID="_1468075730" r:id="rId20">
                  <o:LockedField>false</o:LockedField>
                </o:OLEObject>
              </w:object>
            </w:r>
          </w:p>
        </w:tc>
        <w:tc>
          <w:tcPr>
            <w:tcW w:w="992" w:type="dxa"/>
            <w:tcBorders>
              <w:bottom w:val="single" w:color="auto" w:sz="4" w:space="0"/>
            </w:tcBorders>
            <w:vAlign w:val="center"/>
          </w:tcPr>
          <w:p w14:paraId="072CBCB1">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hint="eastAsia" w:ascii="宋体" w:hAnsi="宋体"/>
                <w:color w:val="000000" w:themeColor="text1"/>
                <w:kern w:val="0"/>
                <w:sz w:val="15"/>
                <w:szCs w:val="15"/>
                <w14:textFill>
                  <w14:solidFill>
                    <w14:schemeClr w14:val="tx1"/>
                  </w14:solidFill>
                </w14:textFill>
              </w:rPr>
              <w:t>像差</w:t>
            </w:r>
          </w:p>
        </w:tc>
      </w:tr>
      <w:tr w14:paraId="10A89D87">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09" w:type="dxa"/>
            <w:tcBorders>
              <w:top w:val="single" w:color="auto" w:sz="4" w:space="0"/>
              <w:bottom w:val="nil"/>
            </w:tcBorders>
          </w:tcPr>
          <w:p w14:paraId="35D4B21C">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7</w:t>
            </w:r>
          </w:p>
        </w:tc>
        <w:tc>
          <w:tcPr>
            <w:tcW w:w="1134" w:type="dxa"/>
            <w:tcBorders>
              <w:top w:val="single" w:color="auto" w:sz="4" w:space="0"/>
              <w:bottom w:val="nil"/>
            </w:tcBorders>
          </w:tcPr>
          <w:p w14:paraId="3BC1A980">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3</w:t>
            </w:r>
          </w:p>
        </w:tc>
        <w:tc>
          <w:tcPr>
            <w:tcW w:w="851" w:type="dxa"/>
            <w:tcBorders>
              <w:top w:val="single" w:color="auto" w:sz="4" w:space="0"/>
              <w:bottom w:val="nil"/>
            </w:tcBorders>
          </w:tcPr>
          <w:p w14:paraId="0F90585D">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1</w:t>
            </w:r>
          </w:p>
        </w:tc>
        <w:tc>
          <w:tcPr>
            <w:tcW w:w="4536" w:type="dxa"/>
            <w:tcBorders>
              <w:top w:val="single" w:color="auto" w:sz="4" w:space="0"/>
              <w:bottom w:val="nil"/>
            </w:tcBorders>
          </w:tcPr>
          <w:p w14:paraId="2F9A987D">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color w:val="000000" w:themeColor="text1"/>
                <w:kern w:val="2"/>
                <w:position w:val="-16"/>
                <w:sz w:val="21"/>
                <w:szCs w:val="21"/>
                <w14:textFill>
                  <w14:solidFill>
                    <w14:schemeClr w14:val="tx1"/>
                  </w14:solidFill>
                </w14:textFill>
                <w14:ligatures w14:val="standardContextual"/>
              </w:rPr>
              <w:object>
                <v:shape id="_x0000_i1031" o:spt="75" type="#_x0000_t75" style="height:21.3pt;width:70.85pt;" o:ole="t" filled="f" o:preferrelative="t" stroked="f" coordsize="21600,21600">
                  <v:path/>
                  <v:fill on="f" focussize="0,0"/>
                  <v:stroke on="f" joinstyle="miter"/>
                  <v:imagedata r:id="rId22" o:title=""/>
                  <o:lock v:ext="edit" aspectratio="t"/>
                  <w10:wrap type="none"/>
                  <w10:anchorlock/>
                </v:shape>
                <o:OLEObject Type="Embed" ProgID="Equation.DSMT4" ShapeID="_x0000_i1031" DrawAspect="Content" ObjectID="_1468075731" r:id="rId21">
                  <o:LockedField>false</o:LockedField>
                </o:OLEObject>
              </w:object>
            </w:r>
          </w:p>
        </w:tc>
        <w:tc>
          <w:tcPr>
            <w:tcW w:w="992" w:type="dxa"/>
            <w:tcBorders>
              <w:top w:val="single" w:color="auto" w:sz="4" w:space="0"/>
              <w:bottom w:val="nil"/>
            </w:tcBorders>
          </w:tcPr>
          <w:p w14:paraId="58D8CFCC">
            <w:pPr>
              <w:autoSpaceDE w:val="0"/>
              <w:autoSpaceDN w:val="0"/>
              <w:adjustRightInd w:val="0"/>
              <w:snapToGrid w:val="0"/>
              <w:spacing w:line="300" w:lineRule="exact"/>
              <w:jc w:val="center"/>
              <w:rPr>
                <w:rFonts w:ascii="Times New Roman" w:hAnsi="Times New Roman"/>
                <w:color w:val="000000" w:themeColor="text1"/>
                <w:kern w:val="0"/>
                <w:sz w:val="20"/>
                <w:szCs w:val="20"/>
                <w14:textFill>
                  <w14:solidFill>
                    <w14:schemeClr w14:val="tx1"/>
                  </w14:solidFill>
                </w14:textFill>
                <w14:ligatures w14:val="none"/>
              </w:rPr>
            </w:pP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初阶</w:t>
            </w:r>
            <w:r>
              <w:rPr>
                <w:rFonts w:hint="eastAsia" w:ascii="Times New Roman" w:hAnsi="Times New Roman" w:eastAsia="宋体" w:cs="Times New Roman"/>
                <w:i/>
                <w:iCs/>
                <w:color w:val="000000" w:themeColor="text1"/>
                <w:kern w:val="0"/>
                <w:sz w:val="15"/>
                <w:szCs w:val="15"/>
                <w14:textFill>
                  <w14:solidFill>
                    <w14:schemeClr w14:val="tx1"/>
                  </w14:solidFill>
                </w14:textFill>
                <w14:ligatures w14:val="none"/>
              </w:rPr>
              <w:t>y</w:t>
            </w: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慧差</w:t>
            </w:r>
          </w:p>
        </w:tc>
      </w:tr>
      <w:tr w14:paraId="6324BB0A">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09" w:type="dxa"/>
            <w:tcBorders>
              <w:top w:val="nil"/>
              <w:bottom w:val="nil"/>
            </w:tcBorders>
          </w:tcPr>
          <w:p w14:paraId="2FB00468">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8</w:t>
            </w:r>
          </w:p>
        </w:tc>
        <w:tc>
          <w:tcPr>
            <w:tcW w:w="1134" w:type="dxa"/>
            <w:tcBorders>
              <w:top w:val="nil"/>
              <w:bottom w:val="nil"/>
            </w:tcBorders>
          </w:tcPr>
          <w:p w14:paraId="0EA5E4BF">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3</w:t>
            </w:r>
          </w:p>
        </w:tc>
        <w:tc>
          <w:tcPr>
            <w:tcW w:w="851" w:type="dxa"/>
            <w:tcBorders>
              <w:top w:val="nil"/>
              <w:bottom w:val="nil"/>
            </w:tcBorders>
          </w:tcPr>
          <w:p w14:paraId="0D453A7F">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1</w:t>
            </w:r>
          </w:p>
        </w:tc>
        <w:tc>
          <w:tcPr>
            <w:tcW w:w="4536" w:type="dxa"/>
            <w:tcBorders>
              <w:top w:val="nil"/>
              <w:bottom w:val="nil"/>
            </w:tcBorders>
          </w:tcPr>
          <w:p w14:paraId="33E1DC13">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color w:val="000000" w:themeColor="text1"/>
                <w:kern w:val="2"/>
                <w:position w:val="-16"/>
                <w:sz w:val="21"/>
                <w:szCs w:val="21"/>
                <w14:textFill>
                  <w14:solidFill>
                    <w14:schemeClr w14:val="tx1"/>
                  </w14:solidFill>
                </w14:textFill>
                <w14:ligatures w14:val="standardContextual"/>
              </w:rPr>
              <w:object>
                <v:shape id="_x0000_i1032" o:spt="75" type="#_x0000_t75" style="height:21.3pt;width:68.55pt;" o:ole="t" filled="f" o:preferrelative="t" stroked="f" coordsize="21600,21600">
                  <v:path/>
                  <v:fill on="f" focussize="0,0"/>
                  <v:stroke on="f" joinstyle="miter"/>
                  <v:imagedata r:id="rId24" o:title=""/>
                  <o:lock v:ext="edit" aspectratio="t"/>
                  <w10:wrap type="none"/>
                  <w10:anchorlock/>
                </v:shape>
                <o:OLEObject Type="Embed" ProgID="Equation.DSMT4" ShapeID="_x0000_i1032" DrawAspect="Content" ObjectID="_1468075732" r:id="rId23">
                  <o:LockedField>false</o:LockedField>
                </o:OLEObject>
              </w:object>
            </w:r>
          </w:p>
        </w:tc>
        <w:tc>
          <w:tcPr>
            <w:tcW w:w="992" w:type="dxa"/>
            <w:tcBorders>
              <w:top w:val="nil"/>
              <w:bottom w:val="nil"/>
            </w:tcBorders>
          </w:tcPr>
          <w:p w14:paraId="7AC498BE">
            <w:pPr>
              <w:autoSpaceDE w:val="0"/>
              <w:autoSpaceDN w:val="0"/>
              <w:adjustRightInd w:val="0"/>
              <w:snapToGrid w:val="0"/>
              <w:spacing w:line="300" w:lineRule="exact"/>
              <w:jc w:val="center"/>
              <w:rPr>
                <w:rFonts w:ascii="Times New Roman" w:hAnsi="Times New Roman"/>
                <w:color w:val="000000" w:themeColor="text1"/>
                <w:kern w:val="0"/>
                <w:sz w:val="20"/>
                <w:szCs w:val="20"/>
                <w14:textFill>
                  <w14:solidFill>
                    <w14:schemeClr w14:val="tx1"/>
                  </w14:solidFill>
                </w14:textFill>
                <w14:ligatures w14:val="none"/>
              </w:rPr>
            </w:pP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初阶</w:t>
            </w:r>
            <w:r>
              <w:rPr>
                <w:rFonts w:hint="eastAsia" w:ascii="Times New Roman" w:hAnsi="Times New Roman" w:eastAsia="宋体" w:cs="Times New Roman"/>
                <w:i/>
                <w:iCs/>
                <w:color w:val="000000" w:themeColor="text1"/>
                <w:kern w:val="0"/>
                <w:sz w:val="15"/>
                <w:szCs w:val="15"/>
                <w14:textFill>
                  <w14:solidFill>
                    <w14:schemeClr w14:val="tx1"/>
                  </w14:solidFill>
                </w14:textFill>
                <w14:ligatures w14:val="none"/>
              </w:rPr>
              <w:t>x</w:t>
            </w: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慧差</w:t>
            </w:r>
          </w:p>
        </w:tc>
      </w:tr>
      <w:tr w14:paraId="01F45109">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09" w:type="dxa"/>
            <w:tcBorders>
              <w:top w:val="nil"/>
              <w:bottom w:val="nil"/>
            </w:tcBorders>
          </w:tcPr>
          <w:p w14:paraId="13285EF4">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16</w:t>
            </w:r>
          </w:p>
        </w:tc>
        <w:tc>
          <w:tcPr>
            <w:tcW w:w="1134" w:type="dxa"/>
            <w:tcBorders>
              <w:top w:val="nil"/>
              <w:bottom w:val="nil"/>
            </w:tcBorders>
          </w:tcPr>
          <w:p w14:paraId="0ECF74D6">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5</w:t>
            </w:r>
          </w:p>
        </w:tc>
        <w:tc>
          <w:tcPr>
            <w:tcW w:w="851" w:type="dxa"/>
            <w:tcBorders>
              <w:top w:val="nil"/>
              <w:bottom w:val="nil"/>
            </w:tcBorders>
          </w:tcPr>
          <w:p w14:paraId="47C1E014">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1</w:t>
            </w:r>
          </w:p>
        </w:tc>
        <w:tc>
          <w:tcPr>
            <w:tcW w:w="4536" w:type="dxa"/>
            <w:tcBorders>
              <w:top w:val="nil"/>
              <w:bottom w:val="nil"/>
            </w:tcBorders>
          </w:tcPr>
          <w:p w14:paraId="73BE2ACA">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color w:val="000000" w:themeColor="text1"/>
                <w:kern w:val="2"/>
                <w:position w:val="-16"/>
                <w:sz w:val="21"/>
                <w:szCs w:val="21"/>
                <w14:textFill>
                  <w14:solidFill>
                    <w14:schemeClr w14:val="tx1"/>
                  </w14:solidFill>
                </w14:textFill>
                <w14:ligatures w14:val="standardContextual"/>
              </w:rPr>
              <w:object>
                <v:shape id="_x0000_i1033" o:spt="75" type="#_x0000_t75" style="height:21.3pt;width:95.05pt;" o:ole="t" filled="f" o:preferrelative="t" stroked="f" coordsize="21600,21600">
                  <v:path/>
                  <v:fill on="f" focussize="0,0"/>
                  <v:stroke on="f" joinstyle="miter"/>
                  <v:imagedata r:id="rId26" o:title=""/>
                  <o:lock v:ext="edit" aspectratio="t"/>
                  <w10:wrap type="none"/>
                  <w10:anchorlock/>
                </v:shape>
                <o:OLEObject Type="Embed" ProgID="Equation.DSMT4" ShapeID="_x0000_i1033" DrawAspect="Content" ObjectID="_1468075733" r:id="rId25">
                  <o:LockedField>false</o:LockedField>
                </o:OLEObject>
              </w:object>
            </w:r>
          </w:p>
        </w:tc>
        <w:tc>
          <w:tcPr>
            <w:tcW w:w="992" w:type="dxa"/>
            <w:tcBorders>
              <w:top w:val="nil"/>
              <w:bottom w:val="nil"/>
            </w:tcBorders>
          </w:tcPr>
          <w:p w14:paraId="617C8B2E">
            <w:pPr>
              <w:autoSpaceDE w:val="0"/>
              <w:autoSpaceDN w:val="0"/>
              <w:adjustRightInd w:val="0"/>
              <w:snapToGrid w:val="0"/>
              <w:spacing w:line="300" w:lineRule="exact"/>
              <w:jc w:val="center"/>
              <w:rPr>
                <w:rFonts w:ascii="Times New Roman" w:hAnsi="Times New Roman"/>
                <w:color w:val="000000" w:themeColor="text1"/>
                <w:kern w:val="0"/>
                <w:sz w:val="20"/>
                <w:szCs w:val="20"/>
                <w14:textFill>
                  <w14:solidFill>
                    <w14:schemeClr w14:val="tx1"/>
                  </w14:solidFill>
                </w14:textFill>
                <w14:ligatures w14:val="none"/>
              </w:rPr>
            </w:pP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二阶</w:t>
            </w:r>
            <w:r>
              <w:rPr>
                <w:rFonts w:hint="eastAsia" w:ascii="Times New Roman" w:hAnsi="Times New Roman" w:eastAsia="宋体" w:cs="Times New Roman"/>
                <w:i/>
                <w:iCs/>
                <w:color w:val="000000" w:themeColor="text1"/>
                <w:kern w:val="0"/>
                <w:sz w:val="15"/>
                <w:szCs w:val="15"/>
                <w14:textFill>
                  <w14:solidFill>
                    <w14:schemeClr w14:val="tx1"/>
                  </w14:solidFill>
                </w14:textFill>
                <w14:ligatures w14:val="none"/>
              </w:rPr>
              <w:t>x</w:t>
            </w: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慧差</w:t>
            </w:r>
          </w:p>
        </w:tc>
      </w:tr>
      <w:tr w14:paraId="1A87F180">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09" w:type="dxa"/>
            <w:tcBorders>
              <w:top w:val="nil"/>
              <w:bottom w:val="single" w:color="auto" w:sz="4" w:space="0"/>
            </w:tcBorders>
          </w:tcPr>
          <w:p w14:paraId="14D57A46">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17</w:t>
            </w:r>
          </w:p>
        </w:tc>
        <w:tc>
          <w:tcPr>
            <w:tcW w:w="1134" w:type="dxa"/>
            <w:tcBorders>
              <w:top w:val="nil"/>
              <w:bottom w:val="single" w:color="auto" w:sz="4" w:space="0"/>
            </w:tcBorders>
          </w:tcPr>
          <w:p w14:paraId="5CC08527">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5</w:t>
            </w:r>
          </w:p>
        </w:tc>
        <w:tc>
          <w:tcPr>
            <w:tcW w:w="851" w:type="dxa"/>
            <w:tcBorders>
              <w:top w:val="nil"/>
              <w:bottom w:val="single" w:color="auto" w:sz="4" w:space="0"/>
            </w:tcBorders>
          </w:tcPr>
          <w:p w14:paraId="60C12313">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1</w:t>
            </w:r>
          </w:p>
        </w:tc>
        <w:tc>
          <w:tcPr>
            <w:tcW w:w="4536" w:type="dxa"/>
            <w:tcBorders>
              <w:top w:val="nil"/>
              <w:bottom w:val="single" w:color="auto" w:sz="4" w:space="0"/>
            </w:tcBorders>
          </w:tcPr>
          <w:p w14:paraId="6C6B7E0B">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color w:val="000000" w:themeColor="text1"/>
                <w:kern w:val="2"/>
                <w:position w:val="-16"/>
                <w:sz w:val="21"/>
                <w:szCs w:val="21"/>
                <w14:textFill>
                  <w14:solidFill>
                    <w14:schemeClr w14:val="tx1"/>
                  </w14:solidFill>
                </w14:textFill>
                <w14:ligatures w14:val="standardContextual"/>
              </w:rPr>
              <w:object>
                <v:shape id="_x0000_i1034" o:spt="75" type="#_x0000_t75" style="height:21.3pt;width:97.35pt;" o:ole="t" filled="f" o:preferrelative="t" stroked="f" coordsize="21600,21600">
                  <v:path/>
                  <v:fill on="f" focussize="0,0"/>
                  <v:stroke on="f" joinstyle="miter"/>
                  <v:imagedata r:id="rId28" o:title=""/>
                  <o:lock v:ext="edit" aspectratio="t"/>
                  <w10:wrap type="none"/>
                  <w10:anchorlock/>
                </v:shape>
                <o:OLEObject Type="Embed" ProgID="Equation.DSMT4" ShapeID="_x0000_i1034" DrawAspect="Content" ObjectID="_1468075734" r:id="rId27">
                  <o:LockedField>false</o:LockedField>
                </o:OLEObject>
              </w:object>
            </w:r>
          </w:p>
        </w:tc>
        <w:tc>
          <w:tcPr>
            <w:tcW w:w="992" w:type="dxa"/>
            <w:tcBorders>
              <w:top w:val="nil"/>
              <w:bottom w:val="single" w:color="auto" w:sz="4" w:space="0"/>
            </w:tcBorders>
          </w:tcPr>
          <w:p w14:paraId="72CF6CA5">
            <w:pPr>
              <w:autoSpaceDE w:val="0"/>
              <w:autoSpaceDN w:val="0"/>
              <w:adjustRightInd w:val="0"/>
              <w:snapToGrid w:val="0"/>
              <w:spacing w:line="300" w:lineRule="exact"/>
              <w:jc w:val="center"/>
              <w:rPr>
                <w:rFonts w:ascii="Times New Roman" w:hAnsi="Times New Roman"/>
                <w:color w:val="000000" w:themeColor="text1"/>
                <w:kern w:val="0"/>
                <w:sz w:val="20"/>
                <w:szCs w:val="20"/>
                <w14:textFill>
                  <w14:solidFill>
                    <w14:schemeClr w14:val="tx1"/>
                  </w14:solidFill>
                </w14:textFill>
                <w14:ligatures w14:val="none"/>
              </w:rPr>
            </w:pP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二阶</w:t>
            </w:r>
            <w:r>
              <w:rPr>
                <w:rFonts w:hint="eastAsia" w:ascii="Times New Roman" w:hAnsi="Times New Roman" w:eastAsia="宋体" w:cs="Times New Roman"/>
                <w:i/>
                <w:iCs/>
                <w:color w:val="000000" w:themeColor="text1"/>
                <w:kern w:val="0"/>
                <w:sz w:val="15"/>
                <w:szCs w:val="15"/>
                <w14:textFill>
                  <w14:solidFill>
                    <w14:schemeClr w14:val="tx1"/>
                  </w14:solidFill>
                </w14:textFill>
                <w14:ligatures w14:val="none"/>
              </w:rPr>
              <w:t>y</w:t>
            </w: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慧差</w:t>
            </w:r>
          </w:p>
        </w:tc>
      </w:tr>
    </w:tbl>
    <w:p w14:paraId="23150F94">
      <w:pPr>
        <w:pStyle w:val="65"/>
        <w:spacing w:line="300" w:lineRule="exact"/>
        <w:ind w:firstLine="0" w:firstLineChars="0"/>
        <w:rPr>
          <w:rFonts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2</w:t>
      </w:r>
      <w:r>
        <w:rPr>
          <w:rFonts w:ascii="Times New Roman" w:hAnsi="Times New Roman"/>
          <w:color w:val="000000" w:themeColor="text1"/>
          <w14:textFill>
            <w14:solidFill>
              <w14:schemeClr w14:val="tx1"/>
            </w14:solidFill>
          </w14:textFill>
        </w:rPr>
        <w:t>.1.3 像散</w:t>
      </w:r>
    </w:p>
    <w:p w14:paraId="5B5641F3">
      <w:pPr>
        <w:pStyle w:val="65"/>
        <w:spacing w:line="300" w:lineRule="exact"/>
        <w:ind w:firstLine="420" w:firstLineChars="0"/>
        <w:rPr>
          <w:rFonts w:ascii="Segoe UI" w:hAnsi="Segoe UI" w:cs="Segoe UI"/>
          <w:color w:val="000000" w:themeColor="text1"/>
          <w14:textFill>
            <w14:solidFill>
              <w14:schemeClr w14:val="tx1"/>
            </w14:solidFill>
          </w14:textFill>
        </w:rPr>
      </w:pPr>
      <w:r>
        <w:rPr>
          <w:rFonts w:hint="eastAsia" w:cs="黑体" w:asciiTheme="minorEastAsia" w:hAnsiTheme="minorEastAsia"/>
          <w:color w:val="000000" w:themeColor="text1"/>
          <w:sz w:val="18"/>
          <w:szCs w:val="18"/>
          <w14:textFill>
            <w14:solidFill>
              <w14:schemeClr w14:val="tx1"/>
            </w14:solidFill>
          </w14:textFill>
        </w:rPr>
        <w:t>像散</w:t>
      </w:r>
      <w:r>
        <w:rPr>
          <w:rFonts w:ascii="Times New Roman" w:hAnsi="Times New Roman"/>
          <w:color w:val="000000" w:themeColor="text1"/>
          <w:sz w:val="18"/>
          <w:szCs w:val="18"/>
          <w14:textFill>
            <w14:solidFill>
              <w14:schemeClr w14:val="tx1"/>
            </w14:solidFill>
          </w14:textFill>
        </w:rPr>
        <w:t>Zernike</w:t>
      </w:r>
      <w:r>
        <w:rPr>
          <w:rFonts w:hint="eastAsia" w:cs="黑体" w:asciiTheme="minorEastAsia" w:hAnsiTheme="minorEastAsia"/>
          <w:color w:val="000000" w:themeColor="text1"/>
          <w:sz w:val="18"/>
          <w:szCs w:val="18"/>
          <w14:textFill>
            <w14:solidFill>
              <w14:schemeClr w14:val="tx1"/>
            </w14:solidFill>
          </w14:textFill>
        </w:rPr>
        <w:t>表达式</w:t>
      </w:r>
      <w:r>
        <w:rPr>
          <w:rFonts w:hint="eastAsia" w:ascii="Times New Roman" w:hAnsi="Times New Roman"/>
          <w:color w:val="000000" w:themeColor="text1"/>
          <w14:textFill>
            <w14:solidFill>
              <w14:schemeClr w14:val="tx1"/>
            </w14:solidFill>
          </w14:textFill>
        </w:rPr>
        <w:t>如表5所示，</w:t>
      </w:r>
      <w:r>
        <w:rPr>
          <w:rFonts w:ascii="Segoe UI" w:hAnsi="Segoe UI" w:cs="Segoe UI"/>
          <w:color w:val="0F1115"/>
          <w:shd w:val="clear" w:color="auto" w:fill="FFFFFF"/>
        </w:rPr>
        <w:t>像散是因光束经光学元件后产生方向性分离所致。主光线在系统中传播时，其横向与纵向分量在光轴不同位置分别聚焦，形成子午焦线和弧矢焦线，造成子午与弧矢方向的光斑直径不一致。尽管每个物点可获得清晰像点，但整个像面不处于同一平面，而是位于一回转曲面，导致图像在不同方向上的清晰度不均</w:t>
      </w:r>
      <w:r>
        <w:rPr>
          <w:rFonts w:hint="eastAsia" w:ascii="Segoe UI" w:hAnsi="Segoe UI" w:cs="Segoe UI"/>
          <w:color w:val="000000" w:themeColor="text1"/>
          <w14:textFill>
            <w14:solidFill>
              <w14:schemeClr w14:val="tx1"/>
            </w14:solidFill>
          </w14:textFill>
        </w:rPr>
        <w:t>。</w:t>
      </w:r>
    </w:p>
    <w:p w14:paraId="6E701C74">
      <w:pPr>
        <w:pStyle w:val="65"/>
        <w:spacing w:line="300" w:lineRule="exact"/>
        <w:ind w:firstLine="0" w:firstLineChars="0"/>
        <w:jc w:val="center"/>
        <w:rPr>
          <w:rFonts w:ascii="Times New Roman" w:hAnsi="Times New Roman"/>
          <w:color w:val="000000" w:themeColor="text1"/>
          <w:sz w:val="18"/>
          <w:szCs w:val="18"/>
          <w14:textFill>
            <w14:solidFill>
              <w14:schemeClr w14:val="tx1"/>
            </w14:solidFill>
          </w14:textFill>
        </w:rPr>
      </w:pPr>
      <w:r>
        <w:rPr>
          <w:rFonts w:hint="eastAsia" w:cs="黑体" w:asciiTheme="minorEastAsia" w:hAnsiTheme="minorEastAsia"/>
          <w:color w:val="000000" w:themeColor="text1"/>
          <w:sz w:val="18"/>
          <w:szCs w:val="18"/>
          <w14:textFill>
            <w14:solidFill>
              <w14:schemeClr w14:val="tx1"/>
            </w14:solidFill>
          </w14:textFill>
        </w:rPr>
        <w:t>表</w:t>
      </w:r>
      <w:r>
        <w:rPr>
          <w:rFonts w:hint="eastAsia" w:ascii="Times New Roman" w:hAnsi="Times New Roman"/>
          <w:color w:val="000000" w:themeColor="text1"/>
          <w:sz w:val="18"/>
          <w:szCs w:val="18"/>
          <w14:textFill>
            <w14:solidFill>
              <w14:schemeClr w14:val="tx1"/>
            </w14:solidFill>
          </w14:textFill>
        </w:rPr>
        <w:t xml:space="preserve">5 </w:t>
      </w:r>
      <w:r>
        <w:rPr>
          <w:rFonts w:hint="eastAsia" w:cs="黑体" w:asciiTheme="minorEastAsia" w:hAnsiTheme="minorEastAsia"/>
          <w:color w:val="000000" w:themeColor="text1"/>
          <w:sz w:val="18"/>
          <w:szCs w:val="18"/>
          <w14:textFill>
            <w14:solidFill>
              <w14:schemeClr w14:val="tx1"/>
            </w14:solidFill>
          </w14:textFill>
        </w:rPr>
        <w:t>像散</w:t>
      </w:r>
      <w:r>
        <w:rPr>
          <w:rFonts w:ascii="Times New Roman" w:hAnsi="Times New Roman"/>
          <w:color w:val="000000" w:themeColor="text1"/>
          <w:sz w:val="18"/>
          <w:szCs w:val="18"/>
          <w14:textFill>
            <w14:solidFill>
              <w14:schemeClr w14:val="tx1"/>
            </w14:solidFill>
          </w14:textFill>
        </w:rPr>
        <w:t>Zernike</w:t>
      </w:r>
      <w:r>
        <w:rPr>
          <w:rFonts w:hint="eastAsia" w:cs="黑体" w:asciiTheme="minorEastAsia" w:hAnsiTheme="minorEastAsia"/>
          <w:color w:val="000000" w:themeColor="text1"/>
          <w:sz w:val="18"/>
          <w:szCs w:val="18"/>
          <w14:textFill>
            <w14:solidFill>
              <w14:schemeClr w14:val="tx1"/>
            </w14:solidFill>
          </w14:textFill>
        </w:rPr>
        <w:t>表达式</w:t>
      </w:r>
    </w:p>
    <w:tbl>
      <w:tblPr>
        <w:tblStyle w:val="22"/>
        <w:tblW w:w="0" w:type="auto"/>
        <w:tblInd w:w="0"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709"/>
        <w:gridCol w:w="1134"/>
        <w:gridCol w:w="851"/>
        <w:gridCol w:w="4252"/>
        <w:gridCol w:w="1276"/>
      </w:tblGrid>
      <w:tr w14:paraId="1FE5F9F6">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09" w:type="dxa"/>
            <w:tcBorders>
              <w:bottom w:val="single" w:color="auto" w:sz="4" w:space="0"/>
            </w:tcBorders>
            <w:vAlign w:val="center"/>
          </w:tcPr>
          <w:p w14:paraId="3312F75D">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eastAsia="仿宋"/>
                <w:i/>
                <w:iCs/>
                <w:color w:val="000000" w:themeColor="text1"/>
                <w:kern w:val="0"/>
                <w:sz w:val="18"/>
                <w:szCs w:val="18"/>
                <w14:textFill>
                  <w14:solidFill>
                    <w14:schemeClr w14:val="tx1"/>
                  </w14:solidFill>
                </w14:textFill>
              </w:rPr>
              <w:t>j</w:t>
            </w:r>
          </w:p>
        </w:tc>
        <w:tc>
          <w:tcPr>
            <w:tcW w:w="1134" w:type="dxa"/>
            <w:tcBorders>
              <w:bottom w:val="single" w:color="auto" w:sz="4" w:space="0"/>
            </w:tcBorders>
            <w:vAlign w:val="center"/>
          </w:tcPr>
          <w:p w14:paraId="79A8866B">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eastAsia="仿宋"/>
                <w:i/>
                <w:iCs/>
                <w:color w:val="000000" w:themeColor="text1"/>
                <w:kern w:val="0"/>
                <w:sz w:val="18"/>
                <w:szCs w:val="18"/>
                <w14:textFill>
                  <w14:solidFill>
                    <w14:schemeClr w14:val="tx1"/>
                  </w14:solidFill>
                </w14:textFill>
              </w:rPr>
              <w:t>n</w:t>
            </w:r>
          </w:p>
        </w:tc>
        <w:tc>
          <w:tcPr>
            <w:tcW w:w="851" w:type="dxa"/>
            <w:tcBorders>
              <w:bottom w:val="single" w:color="auto" w:sz="4" w:space="0"/>
            </w:tcBorders>
            <w:vAlign w:val="center"/>
          </w:tcPr>
          <w:p w14:paraId="5139BCB1">
            <w:pPr>
              <w:pStyle w:val="65"/>
              <w:spacing w:line="300" w:lineRule="exact"/>
              <w:ind w:firstLine="0" w:firstLineChars="0"/>
              <w:jc w:val="center"/>
              <w:rPr>
                <w:rFonts w:ascii="Times New Roman" w:hAnsi="Times New Roman"/>
                <w:i/>
                <w:iCs/>
                <w:color w:val="000000" w:themeColor="text1"/>
                <w:kern w:val="0"/>
                <w:sz w:val="20"/>
                <w:szCs w:val="20"/>
                <w14:textFill>
                  <w14:solidFill>
                    <w14:schemeClr w14:val="tx1"/>
                  </w14:solidFill>
                </w14:textFill>
              </w:rPr>
            </w:pPr>
            <w:r>
              <w:rPr>
                <w:rFonts w:hint="eastAsia" w:ascii="Times New Roman" w:hAnsi="Times New Roman"/>
                <w:i/>
                <w:iCs/>
                <w:color w:val="000000" w:themeColor="text1"/>
                <w:kern w:val="0"/>
                <w:sz w:val="20"/>
                <w:szCs w:val="20"/>
                <w14:textFill>
                  <w14:solidFill>
                    <w14:schemeClr w14:val="tx1"/>
                  </w14:solidFill>
                </w14:textFill>
              </w:rPr>
              <w:t>m</w:t>
            </w:r>
          </w:p>
        </w:tc>
        <w:tc>
          <w:tcPr>
            <w:tcW w:w="4252" w:type="dxa"/>
            <w:tcBorders>
              <w:bottom w:val="single" w:color="auto" w:sz="4" w:space="0"/>
            </w:tcBorders>
            <w:vAlign w:val="center"/>
          </w:tcPr>
          <w:p w14:paraId="2F08BC07">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eastAsia="仿宋"/>
                <w:color w:val="000000" w:themeColor="text1"/>
                <w:kern w:val="2"/>
                <w:position w:val="-10"/>
                <w:sz w:val="21"/>
                <w:szCs w:val="21"/>
                <w14:textFill>
                  <w14:solidFill>
                    <w14:schemeClr w14:val="tx1"/>
                  </w14:solidFill>
                </w14:textFill>
                <w14:ligatures w14:val="standardContextual"/>
              </w:rPr>
              <w:object>
                <v:shape id="_x0000_i1035" o:spt="75" type="#_x0000_t75" style="height:16.15pt;width:28.2pt;" o:ole="t" filled="f" o:preferrelative="t" stroked="f" coordsize="21600,21600">
                  <v:path/>
                  <v:fill on="f" focussize="0,0"/>
                  <v:stroke on="f" joinstyle="miter"/>
                  <v:imagedata r:id="rId11" o:title=""/>
                  <o:lock v:ext="edit" aspectratio="t"/>
                  <w10:wrap type="none"/>
                  <w10:anchorlock/>
                </v:shape>
                <o:OLEObject Type="Embed" ProgID="Equation.DSMT4" ShapeID="_x0000_i1035" DrawAspect="Content" ObjectID="_1468075735" r:id="rId29">
                  <o:LockedField>false</o:LockedField>
                </o:OLEObject>
              </w:object>
            </w:r>
          </w:p>
        </w:tc>
        <w:tc>
          <w:tcPr>
            <w:tcW w:w="1276" w:type="dxa"/>
            <w:tcBorders>
              <w:bottom w:val="single" w:color="auto" w:sz="4" w:space="0"/>
            </w:tcBorders>
            <w:vAlign w:val="center"/>
          </w:tcPr>
          <w:p w14:paraId="7D221754">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hint="eastAsia" w:ascii="宋体" w:hAnsi="宋体"/>
                <w:color w:val="000000" w:themeColor="text1"/>
                <w:kern w:val="0"/>
                <w:sz w:val="15"/>
                <w:szCs w:val="15"/>
                <w14:textFill>
                  <w14:solidFill>
                    <w14:schemeClr w14:val="tx1"/>
                  </w14:solidFill>
                </w14:textFill>
              </w:rPr>
              <w:t>像差</w:t>
            </w:r>
          </w:p>
        </w:tc>
      </w:tr>
      <w:tr w14:paraId="6BDC6100">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09" w:type="dxa"/>
            <w:tcBorders>
              <w:top w:val="single" w:color="auto" w:sz="4" w:space="0"/>
              <w:bottom w:val="nil"/>
            </w:tcBorders>
          </w:tcPr>
          <w:p w14:paraId="54B3235D">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5</w:t>
            </w:r>
          </w:p>
        </w:tc>
        <w:tc>
          <w:tcPr>
            <w:tcW w:w="1134" w:type="dxa"/>
            <w:tcBorders>
              <w:top w:val="single" w:color="auto" w:sz="4" w:space="0"/>
              <w:bottom w:val="nil"/>
            </w:tcBorders>
          </w:tcPr>
          <w:p w14:paraId="77608E2F">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2</w:t>
            </w:r>
          </w:p>
        </w:tc>
        <w:tc>
          <w:tcPr>
            <w:tcW w:w="851" w:type="dxa"/>
            <w:tcBorders>
              <w:top w:val="single" w:color="auto" w:sz="4" w:space="0"/>
              <w:bottom w:val="nil"/>
            </w:tcBorders>
          </w:tcPr>
          <w:p w14:paraId="4E3B9463">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2</w:t>
            </w:r>
          </w:p>
        </w:tc>
        <w:tc>
          <w:tcPr>
            <w:tcW w:w="4252" w:type="dxa"/>
            <w:tcBorders>
              <w:top w:val="single" w:color="auto" w:sz="4" w:space="0"/>
              <w:bottom w:val="nil"/>
            </w:tcBorders>
          </w:tcPr>
          <w:p w14:paraId="5EB888C8">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color w:val="000000" w:themeColor="text1"/>
                <w:kern w:val="2"/>
                <w:position w:val="-8"/>
                <w:sz w:val="21"/>
                <w:szCs w:val="21"/>
                <w14:textFill>
                  <w14:solidFill>
                    <w14:schemeClr w14:val="tx1"/>
                  </w14:solidFill>
                </w14:textFill>
                <w14:ligatures w14:val="standardContextual"/>
              </w:rPr>
              <w:object>
                <v:shape id="_x0000_i1036" o:spt="75" type="#_x0000_t75" style="height:16.15pt;width:43.8pt;" o:ole="t" filled="f" o:preferrelative="t" stroked="f" coordsize="21600,21600">
                  <v:path/>
                  <v:fill on="f" focussize="0,0"/>
                  <v:stroke on="f" joinstyle="miter"/>
                  <v:imagedata r:id="rId31" o:title=""/>
                  <o:lock v:ext="edit" aspectratio="t"/>
                  <w10:wrap type="none"/>
                  <w10:anchorlock/>
                </v:shape>
                <o:OLEObject Type="Embed" ProgID="Equation.DSMT4" ShapeID="_x0000_i1036" DrawAspect="Content" ObjectID="_1468075736" r:id="rId30">
                  <o:LockedField>false</o:LockedField>
                </o:OLEObject>
              </w:object>
            </w:r>
          </w:p>
        </w:tc>
        <w:tc>
          <w:tcPr>
            <w:tcW w:w="1276" w:type="dxa"/>
            <w:tcBorders>
              <w:top w:val="single" w:color="auto" w:sz="4" w:space="0"/>
              <w:bottom w:val="nil"/>
            </w:tcBorders>
          </w:tcPr>
          <w:p w14:paraId="6864534B">
            <w:pPr>
              <w:autoSpaceDE w:val="0"/>
              <w:autoSpaceDN w:val="0"/>
              <w:adjustRightInd w:val="0"/>
              <w:snapToGrid w:val="0"/>
              <w:spacing w:line="300" w:lineRule="exact"/>
              <w:jc w:val="center"/>
              <w:rPr>
                <w:rFonts w:ascii="Times New Roman" w:hAnsi="Times New Roman"/>
                <w:color w:val="000000" w:themeColor="text1"/>
                <w:kern w:val="0"/>
                <w:sz w:val="20"/>
                <w:szCs w:val="20"/>
                <w14:textFill>
                  <w14:solidFill>
                    <w14:schemeClr w14:val="tx1"/>
                  </w14:solidFill>
                </w14:textFill>
                <w14:ligatures w14:val="none"/>
              </w:rPr>
            </w:pP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45</w:t>
            </w:r>
            <w:r>
              <w:rPr>
                <w:rFonts w:ascii="Times New Roman" w:hAnsi="Times New Roman" w:eastAsia="宋体" w:cs="Times New Roman"/>
                <w:color w:val="000000" w:themeColor="text1"/>
                <w:kern w:val="0"/>
                <w:sz w:val="15"/>
                <w:szCs w:val="15"/>
                <w14:textFill>
                  <w14:solidFill>
                    <w14:schemeClr w14:val="tx1"/>
                  </w14:solidFill>
                </w14:textFill>
                <w14:ligatures w14:val="none"/>
              </w:rPr>
              <w:t>˚</w:t>
            </w: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一阶像散</w:t>
            </w:r>
          </w:p>
        </w:tc>
      </w:tr>
      <w:tr w14:paraId="1B34AE87">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09" w:type="dxa"/>
            <w:tcBorders>
              <w:top w:val="nil"/>
              <w:bottom w:val="nil"/>
            </w:tcBorders>
          </w:tcPr>
          <w:p w14:paraId="00822767">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6</w:t>
            </w:r>
          </w:p>
        </w:tc>
        <w:tc>
          <w:tcPr>
            <w:tcW w:w="1134" w:type="dxa"/>
            <w:tcBorders>
              <w:top w:val="nil"/>
              <w:bottom w:val="nil"/>
            </w:tcBorders>
          </w:tcPr>
          <w:p w14:paraId="1C2E4B33">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2</w:t>
            </w:r>
          </w:p>
        </w:tc>
        <w:tc>
          <w:tcPr>
            <w:tcW w:w="851" w:type="dxa"/>
            <w:tcBorders>
              <w:top w:val="nil"/>
              <w:bottom w:val="nil"/>
            </w:tcBorders>
          </w:tcPr>
          <w:p w14:paraId="3707A085">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2</w:t>
            </w:r>
          </w:p>
        </w:tc>
        <w:tc>
          <w:tcPr>
            <w:tcW w:w="4252" w:type="dxa"/>
            <w:tcBorders>
              <w:top w:val="nil"/>
              <w:bottom w:val="nil"/>
            </w:tcBorders>
          </w:tcPr>
          <w:p w14:paraId="3AA5EE1D">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color w:val="000000" w:themeColor="text1"/>
                <w:kern w:val="2"/>
                <w:position w:val="-8"/>
                <w:sz w:val="21"/>
                <w:szCs w:val="21"/>
                <w14:textFill>
                  <w14:solidFill>
                    <w14:schemeClr w14:val="tx1"/>
                  </w14:solidFill>
                </w14:textFill>
                <w14:ligatures w14:val="standardContextual"/>
              </w:rPr>
              <w:object>
                <v:shape id="_x0000_i1037" o:spt="75" type="#_x0000_t75" style="height:16.15pt;width:43.8pt;" o:ole="t" filled="f" o:preferrelative="t" stroked="f" coordsize="21600,21600">
                  <v:path/>
                  <v:fill on="f" focussize="0,0"/>
                  <v:stroke on="f" joinstyle="miter"/>
                  <v:imagedata r:id="rId33" o:title=""/>
                  <o:lock v:ext="edit" aspectratio="t"/>
                  <w10:wrap type="none"/>
                  <w10:anchorlock/>
                </v:shape>
                <o:OLEObject Type="Embed" ProgID="Equation.DSMT4" ShapeID="_x0000_i1037" DrawAspect="Content" ObjectID="_1468075737" r:id="rId32">
                  <o:LockedField>false</o:LockedField>
                </o:OLEObject>
              </w:object>
            </w:r>
          </w:p>
        </w:tc>
        <w:tc>
          <w:tcPr>
            <w:tcW w:w="1276" w:type="dxa"/>
            <w:tcBorders>
              <w:top w:val="nil"/>
              <w:bottom w:val="nil"/>
            </w:tcBorders>
          </w:tcPr>
          <w:p w14:paraId="0AAC9DF6">
            <w:pPr>
              <w:autoSpaceDE w:val="0"/>
              <w:autoSpaceDN w:val="0"/>
              <w:adjustRightInd w:val="0"/>
              <w:snapToGrid w:val="0"/>
              <w:spacing w:line="300" w:lineRule="exact"/>
              <w:jc w:val="center"/>
              <w:rPr>
                <w:rFonts w:ascii="Times New Roman" w:hAnsi="Times New Roman"/>
                <w:color w:val="000000" w:themeColor="text1"/>
                <w:kern w:val="0"/>
                <w:sz w:val="20"/>
                <w:szCs w:val="20"/>
                <w14:textFill>
                  <w14:solidFill>
                    <w14:schemeClr w14:val="tx1"/>
                  </w14:solidFill>
                </w14:textFill>
                <w14:ligatures w14:val="none"/>
              </w:rPr>
            </w:pP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0</w:t>
            </w:r>
            <w:r>
              <w:rPr>
                <w:rFonts w:ascii="Times New Roman" w:hAnsi="Times New Roman" w:eastAsia="宋体" w:cs="Times New Roman"/>
                <w:color w:val="000000" w:themeColor="text1"/>
                <w:kern w:val="0"/>
                <w:sz w:val="15"/>
                <w:szCs w:val="15"/>
                <w14:textFill>
                  <w14:solidFill>
                    <w14:schemeClr w14:val="tx1"/>
                  </w14:solidFill>
                </w14:textFill>
                <w14:ligatures w14:val="none"/>
              </w:rPr>
              <w:t>˚</w:t>
            </w: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一阶像散</w:t>
            </w:r>
          </w:p>
        </w:tc>
      </w:tr>
      <w:tr w14:paraId="508F98D7">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09" w:type="dxa"/>
            <w:tcBorders>
              <w:top w:val="nil"/>
              <w:bottom w:val="nil"/>
            </w:tcBorders>
          </w:tcPr>
          <w:p w14:paraId="4F182172">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12</w:t>
            </w:r>
          </w:p>
        </w:tc>
        <w:tc>
          <w:tcPr>
            <w:tcW w:w="1134" w:type="dxa"/>
            <w:tcBorders>
              <w:top w:val="nil"/>
              <w:bottom w:val="nil"/>
            </w:tcBorders>
          </w:tcPr>
          <w:p w14:paraId="6BC7F94A">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4</w:t>
            </w:r>
          </w:p>
        </w:tc>
        <w:tc>
          <w:tcPr>
            <w:tcW w:w="851" w:type="dxa"/>
            <w:tcBorders>
              <w:top w:val="nil"/>
              <w:bottom w:val="nil"/>
            </w:tcBorders>
          </w:tcPr>
          <w:p w14:paraId="71B374C8">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2</w:t>
            </w:r>
          </w:p>
        </w:tc>
        <w:tc>
          <w:tcPr>
            <w:tcW w:w="4252" w:type="dxa"/>
            <w:tcBorders>
              <w:top w:val="nil"/>
              <w:bottom w:val="nil"/>
            </w:tcBorders>
          </w:tcPr>
          <w:p w14:paraId="0C9401E3">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color w:val="000000" w:themeColor="text1"/>
                <w:kern w:val="2"/>
                <w:position w:val="-16"/>
                <w:sz w:val="21"/>
                <w:szCs w:val="21"/>
                <w14:textFill>
                  <w14:solidFill>
                    <w14:schemeClr w14:val="tx1"/>
                  </w14:solidFill>
                </w14:textFill>
                <w14:ligatures w14:val="standardContextual"/>
              </w:rPr>
              <w:object>
                <v:shape id="_x0000_i1038" o:spt="75" type="#_x0000_t75" style="height:21.3pt;width:78.9pt;" o:ole="t" filled="f" o:preferrelative="t" stroked="f" coordsize="21600,21600">
                  <v:path/>
                  <v:fill on="f" focussize="0,0"/>
                  <v:stroke on="f" joinstyle="miter"/>
                  <v:imagedata r:id="rId35" o:title=""/>
                  <o:lock v:ext="edit" aspectratio="t"/>
                  <w10:wrap type="none"/>
                  <w10:anchorlock/>
                </v:shape>
                <o:OLEObject Type="Embed" ProgID="Equation.DSMT4" ShapeID="_x0000_i1038" DrawAspect="Content" ObjectID="_1468075738" r:id="rId34">
                  <o:LockedField>false</o:LockedField>
                </o:OLEObject>
              </w:object>
            </w:r>
          </w:p>
        </w:tc>
        <w:tc>
          <w:tcPr>
            <w:tcW w:w="1276" w:type="dxa"/>
            <w:tcBorders>
              <w:top w:val="nil"/>
              <w:bottom w:val="nil"/>
            </w:tcBorders>
          </w:tcPr>
          <w:p w14:paraId="2519243A">
            <w:pPr>
              <w:autoSpaceDE w:val="0"/>
              <w:autoSpaceDN w:val="0"/>
              <w:adjustRightInd w:val="0"/>
              <w:snapToGrid w:val="0"/>
              <w:spacing w:line="300" w:lineRule="exact"/>
              <w:jc w:val="center"/>
              <w:rPr>
                <w:rFonts w:ascii="Times New Roman" w:hAnsi="Times New Roman"/>
                <w:color w:val="000000" w:themeColor="text1"/>
                <w:kern w:val="0"/>
                <w:sz w:val="20"/>
                <w:szCs w:val="20"/>
                <w14:textFill>
                  <w14:solidFill>
                    <w14:schemeClr w14:val="tx1"/>
                  </w14:solidFill>
                </w14:textFill>
                <w14:ligatures w14:val="none"/>
              </w:rPr>
            </w:pP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0</w:t>
            </w:r>
            <w:r>
              <w:rPr>
                <w:rFonts w:ascii="Times New Roman" w:hAnsi="Times New Roman" w:eastAsia="宋体" w:cs="Times New Roman"/>
                <w:color w:val="000000" w:themeColor="text1"/>
                <w:kern w:val="0"/>
                <w:sz w:val="15"/>
                <w:szCs w:val="15"/>
                <w14:textFill>
                  <w14:solidFill>
                    <w14:schemeClr w14:val="tx1"/>
                  </w14:solidFill>
                </w14:textFill>
                <w14:ligatures w14:val="none"/>
              </w:rPr>
              <w:t>˚</w:t>
            </w: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二阶像散</w:t>
            </w:r>
          </w:p>
        </w:tc>
      </w:tr>
      <w:tr w14:paraId="0478D03C">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09" w:type="dxa"/>
            <w:tcBorders>
              <w:top w:val="nil"/>
              <w:bottom w:val="single" w:color="auto" w:sz="4" w:space="0"/>
            </w:tcBorders>
          </w:tcPr>
          <w:p w14:paraId="2FE74CCB">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13</w:t>
            </w:r>
          </w:p>
        </w:tc>
        <w:tc>
          <w:tcPr>
            <w:tcW w:w="1134" w:type="dxa"/>
            <w:tcBorders>
              <w:top w:val="nil"/>
              <w:bottom w:val="single" w:color="auto" w:sz="4" w:space="0"/>
            </w:tcBorders>
          </w:tcPr>
          <w:p w14:paraId="5779D5AC">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4</w:t>
            </w:r>
          </w:p>
        </w:tc>
        <w:tc>
          <w:tcPr>
            <w:tcW w:w="851" w:type="dxa"/>
            <w:tcBorders>
              <w:top w:val="nil"/>
              <w:bottom w:val="single" w:color="auto" w:sz="4" w:space="0"/>
            </w:tcBorders>
          </w:tcPr>
          <w:p w14:paraId="7806FDB9">
            <w:pPr>
              <w:pStyle w:val="65"/>
              <w:spacing w:line="300" w:lineRule="exact"/>
              <w:ind w:firstLine="0" w:firstLineChars="0"/>
              <w:jc w:val="center"/>
              <w:rPr>
                <w:rFonts w:ascii="Times New Roman" w:hAnsi="Times New Roman"/>
                <w:color w:val="000000" w:themeColor="text1"/>
                <w:kern w:val="0"/>
                <w:sz w:val="15"/>
                <w:szCs w:val="15"/>
                <w14:textFill>
                  <w14:solidFill>
                    <w14:schemeClr w14:val="tx1"/>
                  </w14:solidFill>
                </w14:textFill>
              </w:rPr>
            </w:pPr>
            <w:r>
              <w:rPr>
                <w:rFonts w:hint="eastAsia" w:ascii="Times New Roman" w:hAnsi="Times New Roman"/>
                <w:color w:val="000000" w:themeColor="text1"/>
                <w:kern w:val="0"/>
                <w:sz w:val="15"/>
                <w:szCs w:val="15"/>
                <w14:textFill>
                  <w14:solidFill>
                    <w14:schemeClr w14:val="tx1"/>
                  </w14:solidFill>
                </w14:textFill>
              </w:rPr>
              <w:t>2</w:t>
            </w:r>
          </w:p>
        </w:tc>
        <w:tc>
          <w:tcPr>
            <w:tcW w:w="4252" w:type="dxa"/>
            <w:tcBorders>
              <w:top w:val="nil"/>
              <w:bottom w:val="single" w:color="auto" w:sz="4" w:space="0"/>
            </w:tcBorders>
          </w:tcPr>
          <w:p w14:paraId="3F40A508">
            <w:pPr>
              <w:pStyle w:val="65"/>
              <w:spacing w:line="300" w:lineRule="exact"/>
              <w:ind w:firstLine="0" w:firstLineChars="0"/>
              <w:jc w:val="center"/>
              <w:rPr>
                <w:rFonts w:ascii="Times New Roman" w:hAnsi="Times New Roman"/>
                <w:color w:val="000000" w:themeColor="text1"/>
                <w:kern w:val="0"/>
                <w:sz w:val="20"/>
                <w:szCs w:val="20"/>
                <w14:textFill>
                  <w14:solidFill>
                    <w14:schemeClr w14:val="tx1"/>
                  </w14:solidFill>
                </w14:textFill>
              </w:rPr>
            </w:pPr>
            <w:r>
              <w:rPr>
                <w:rFonts w:ascii="Times New Roman" w:hAnsi="Times New Roman"/>
                <w:color w:val="000000" w:themeColor="text1"/>
                <w:kern w:val="2"/>
                <w:position w:val="-16"/>
                <w:sz w:val="21"/>
                <w:szCs w:val="21"/>
                <w14:textFill>
                  <w14:solidFill>
                    <w14:schemeClr w14:val="tx1"/>
                  </w14:solidFill>
                </w14:textFill>
                <w14:ligatures w14:val="standardContextual"/>
              </w:rPr>
              <w:object>
                <v:shape id="_x0000_i1039" o:spt="75" type="#_x0000_t75" style="height:21.3pt;width:78.35pt;" o:ole="t" filled="f" o:preferrelative="t" stroked="f" coordsize="21600,21600">
                  <v:path/>
                  <v:fill on="f" focussize="0,0"/>
                  <v:stroke on="f" joinstyle="miter"/>
                  <v:imagedata r:id="rId37" o:title=""/>
                  <o:lock v:ext="edit" aspectratio="t"/>
                  <w10:wrap type="none"/>
                  <w10:anchorlock/>
                </v:shape>
                <o:OLEObject Type="Embed" ProgID="Equation.DSMT4" ShapeID="_x0000_i1039" DrawAspect="Content" ObjectID="_1468075739" r:id="rId36">
                  <o:LockedField>false</o:LockedField>
                </o:OLEObject>
              </w:object>
            </w:r>
          </w:p>
        </w:tc>
        <w:tc>
          <w:tcPr>
            <w:tcW w:w="1276" w:type="dxa"/>
            <w:tcBorders>
              <w:top w:val="nil"/>
              <w:bottom w:val="single" w:color="auto" w:sz="4" w:space="0"/>
            </w:tcBorders>
          </w:tcPr>
          <w:p w14:paraId="2E080371">
            <w:pPr>
              <w:autoSpaceDE w:val="0"/>
              <w:autoSpaceDN w:val="0"/>
              <w:adjustRightInd w:val="0"/>
              <w:snapToGrid w:val="0"/>
              <w:spacing w:line="300" w:lineRule="exact"/>
              <w:jc w:val="center"/>
              <w:rPr>
                <w:rFonts w:ascii="Times New Roman" w:hAnsi="Times New Roman"/>
                <w:color w:val="000000" w:themeColor="text1"/>
                <w:kern w:val="0"/>
                <w:sz w:val="20"/>
                <w:szCs w:val="20"/>
                <w14:textFill>
                  <w14:solidFill>
                    <w14:schemeClr w14:val="tx1"/>
                  </w14:solidFill>
                </w14:textFill>
                <w14:ligatures w14:val="none"/>
              </w:rPr>
            </w:pP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45</w:t>
            </w:r>
            <w:r>
              <w:rPr>
                <w:rFonts w:ascii="Times New Roman" w:hAnsi="Times New Roman" w:eastAsia="宋体" w:cs="Times New Roman"/>
                <w:color w:val="000000" w:themeColor="text1"/>
                <w:kern w:val="0"/>
                <w:sz w:val="15"/>
                <w:szCs w:val="15"/>
                <w14:textFill>
                  <w14:solidFill>
                    <w14:schemeClr w14:val="tx1"/>
                  </w14:solidFill>
                </w14:textFill>
                <w14:ligatures w14:val="none"/>
              </w:rPr>
              <w:t>˚</w:t>
            </w:r>
            <w:r>
              <w:rPr>
                <w:rFonts w:hint="eastAsia" w:ascii="Times New Roman" w:hAnsi="Times New Roman" w:eastAsia="宋体" w:cs="Times New Roman"/>
                <w:color w:val="000000" w:themeColor="text1"/>
                <w:kern w:val="0"/>
                <w:sz w:val="15"/>
                <w:szCs w:val="15"/>
                <w14:textFill>
                  <w14:solidFill>
                    <w14:schemeClr w14:val="tx1"/>
                  </w14:solidFill>
                </w14:textFill>
                <w14:ligatures w14:val="none"/>
              </w:rPr>
              <w:t>二阶像散</w:t>
            </w:r>
          </w:p>
        </w:tc>
      </w:tr>
    </w:tbl>
    <w:p w14:paraId="2DACD174">
      <w:pPr>
        <w:pStyle w:val="62"/>
        <w:spacing w:before="62" w:beforeLines="20" w:after="62" w:afterLines="20" w:line="300" w:lineRule="exact"/>
        <w:jc w:val="both"/>
        <w:outlineLvl w:val="1"/>
        <w:rPr>
          <w:rFonts w:ascii="黑体" w:hAnsi="黑体"/>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2.2</w:t>
      </w:r>
      <w:r>
        <w:rPr>
          <w:rFonts w:hint="eastAsia" w:ascii="黑体" w:hAnsi="黑体"/>
          <w:color w:val="000000" w:themeColor="text1"/>
          <w14:textFill>
            <w14:solidFill>
              <w14:schemeClr w14:val="tx1"/>
            </w14:solidFill>
          </w14:textFill>
        </w:rPr>
        <w:t xml:space="preserve"> </w:t>
      </w:r>
      <w:bookmarkStart w:id="11" w:name="OLE_LINK8"/>
      <w:r>
        <w:rPr>
          <w:rFonts w:ascii="Times New Roman" w:hAnsi="Times New Roman"/>
          <w:color w:val="000000" w:themeColor="text1"/>
          <w14:textFill>
            <w14:solidFill>
              <w14:schemeClr w14:val="tx1"/>
            </w14:solidFill>
          </w14:textFill>
        </w:rPr>
        <w:t>Zernike</w:t>
      </w:r>
      <w:r>
        <w:rPr>
          <w:rFonts w:hint="eastAsia" w:ascii="黑体" w:hAnsi="黑体"/>
          <w:color w:val="000000" w:themeColor="text1"/>
          <w14:textFill>
            <w14:solidFill>
              <w14:schemeClr w14:val="tx1"/>
            </w14:solidFill>
          </w14:textFill>
        </w:rPr>
        <w:t>多项式</w:t>
      </w:r>
      <w:bookmarkEnd w:id="11"/>
      <w:r>
        <w:rPr>
          <w:rFonts w:hint="eastAsia" w:ascii="黑体" w:hAnsi="黑体"/>
          <w:color w:val="000000" w:themeColor="text1"/>
          <w14:textFill>
            <w14:solidFill>
              <w14:schemeClr w14:val="tx1"/>
            </w14:solidFill>
          </w14:textFill>
        </w:rPr>
        <w:t xml:space="preserve">进行波面拟合 </w:t>
      </w:r>
    </w:p>
    <w:p w14:paraId="39D61497">
      <w:pPr>
        <w:pStyle w:val="65"/>
        <w:spacing w:line="3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在光学系统分析中，波面拟合通过选取一组相互独立的基函数来逼近离散的波前像差数据。该方法旨在利用连续函数表征光学系统的波前误差分布。</w:t>
      </w:r>
      <w:r>
        <w:rPr>
          <w:color w:val="000000" w:themeColor="text1"/>
          <w14:textFill>
            <w14:solidFill>
              <w14:schemeClr w14:val="tx1"/>
            </w14:solidFill>
          </w14:textFill>
        </w:rPr>
        <w:t>Zernike多项式因其在单位圆上的正交性和旋转对称性，成为工程实践中广泛采用的基函数。</w:t>
      </w:r>
    </w:p>
    <w:p w14:paraId="64E0ADD5">
      <w:pPr>
        <w:pStyle w:val="65"/>
        <w:spacing w:line="3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为尽可能减少负面因素对拟合精度的影响，确保结果的准确性，采用</w:t>
      </w:r>
      <w:r>
        <w:rPr>
          <w:color w:val="000000" w:themeColor="text1"/>
          <w14:textFill>
            <w14:solidFill>
              <w14:schemeClr w14:val="tx1"/>
            </w14:solidFill>
          </w14:textFill>
        </w:rPr>
        <w:t>Zernike多项式进行波面拟合时应遵循以下原则[1]：</w:t>
      </w:r>
    </w:p>
    <w:p w14:paraId="1A79C170">
      <w:pPr>
        <w:pStyle w:val="65"/>
        <w:spacing w:line="3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1）在干涉波面拟合过程中，适当增加采样点数量并优化</w:t>
      </w:r>
      <w:r>
        <w:rPr>
          <w:color w:val="000000" w:themeColor="text1"/>
          <w14:textFill>
            <w14:solidFill>
              <w14:schemeClr w14:val="tx1"/>
            </w14:solidFill>
          </w14:textFill>
        </w:rPr>
        <w:t>Zernike多项式的阶次选择，能够有效提升拟合精度，在保持各阶系数独立性的同时增强拟合稳定性。</w:t>
      </w:r>
    </w:p>
    <w:p w14:paraId="4BFE9F3B">
      <w:pPr>
        <w:pStyle w:val="65"/>
        <w:spacing w:line="300" w:lineRule="exact"/>
        <w:ind w:firstLine="42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）在采样点数量固定的情况下，增加</w:t>
      </w:r>
      <w:r>
        <w:rPr>
          <w:color w:val="000000" w:themeColor="text1"/>
          <w14:textFill>
            <w14:solidFill>
              <w14:schemeClr w14:val="tx1"/>
            </w14:solidFill>
          </w14:textFill>
        </w:rPr>
        <w:t>Zernike模式阶次可以提高波面拟合精度，但需满足模式阶数不超过干涉条纹总数的约束条件。</w:t>
      </w:r>
    </w:p>
    <w:p w14:paraId="022F8775">
      <w:pPr>
        <w:pStyle w:val="65"/>
        <w:spacing w:line="300" w:lineRule="exact"/>
        <w:ind w:firstLine="42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）采样密度并非决定拟合效果的唯一关键因素。在有限采样条件下，通过合理配置</w:t>
      </w:r>
      <w:r>
        <w:rPr>
          <w:color w:val="000000" w:themeColor="text1"/>
          <w14:textFill>
            <w14:solidFill>
              <w14:schemeClr w14:val="tx1"/>
            </w14:solidFill>
          </w14:textFill>
        </w:rPr>
        <w:t>Zernike多项式阶次，仍可实现高精度的波面解析；而过量的采样数据可能因噪声累积，反而降低重构算法的稳定性。</w:t>
      </w:r>
    </w:p>
    <w:p w14:paraId="746C51FE">
      <w:pPr>
        <w:pStyle w:val="65"/>
        <w:spacing w:line="3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4）当</w:t>
      </w:r>
      <w:r>
        <w:rPr>
          <w:color w:val="000000" w:themeColor="text1"/>
          <w14:textFill>
            <w14:solidFill>
              <w14:schemeClr w14:val="tx1"/>
            </w14:solidFill>
          </w14:textFill>
        </w:rPr>
        <w:t>Zernike模式阶次与干涉条纹数量相当时，虽能维持较高的相位重构准确度，但面形误差可能呈现畸变。此时，基于Zernike展开的平面度评估方法会面临模式混叠效应，导致面形检测的置信度降低。</w:t>
      </w:r>
    </w:p>
    <w:p w14:paraId="7A9269D8">
      <w:pPr>
        <w:pStyle w:val="65"/>
        <w:spacing w:line="3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5）在干涉测量中，若</w:t>
      </w:r>
      <w:r>
        <w:rPr>
          <w:color w:val="000000" w:themeColor="text1"/>
          <w14:textFill>
            <w14:solidFill>
              <w14:schemeClr w14:val="tx1"/>
            </w14:solidFill>
          </w14:textFill>
        </w:rPr>
        <w:t>Zernike模式阶次超过光瞳区域条纹密度的阈值，将引发相位重构波动并导致面形评估偏差。因此，在波前解析算法中，需使模式阶次与实际条纹特征相匹配，Zernike展开阶次不应超过实际条纹数。</w:t>
      </w:r>
    </w:p>
    <w:p w14:paraId="5DF37BE1">
      <w:pPr>
        <w:pStyle w:val="65"/>
        <w:spacing w:line="3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利用</w:t>
      </w:r>
      <w:r>
        <w:rPr>
          <w:color w:val="000000" w:themeColor="text1"/>
          <w14:textFill>
            <w14:solidFill>
              <w14:schemeClr w14:val="tx1"/>
            </w14:solidFill>
          </w14:textFill>
        </w:rPr>
        <w:t>Zernike多项式高效地拟合光学系统的波前误差并分析像差分布，再将其与最小二乘拟合、正则化方法等优化算法相结合，可显著提升波面拟合的精度和稳定性。</w:t>
      </w:r>
    </w:p>
    <w:p w14:paraId="59EEE917">
      <w:pPr>
        <w:pStyle w:val="65"/>
        <w:spacing w:line="300" w:lineRule="exact"/>
        <w:ind w:firstLine="420"/>
        <w:rPr>
          <w:rFonts w:ascii="Times New Roman" w:hAnsi="Times New Roman"/>
          <w:color w:val="000000" w:themeColor="text1"/>
          <w14:textFill>
            <w14:solidFill>
              <w14:schemeClr w14:val="tx1"/>
            </w14:solidFill>
          </w14:textFill>
        </w:rPr>
      </w:pPr>
      <w:r>
        <w:rPr>
          <w:rFonts w:hint="eastAsia"/>
          <w:color w:val="000000" w:themeColor="text1"/>
          <w14:textFill>
            <w14:solidFill>
              <w14:schemeClr w14:val="tx1"/>
            </w14:solidFill>
          </w14:textFill>
        </w:rPr>
        <w:t>近年来，相关研究取得了诸多进展：赵齐等人</w:t>
      </w:r>
      <w:r>
        <w:rPr>
          <w:color w:val="000000" w:themeColor="text1"/>
          <w14:textFill>
            <w14:solidFill>
              <w14:schemeClr w14:val="tx1"/>
            </w14:solidFill>
          </w14:textFill>
        </w:rPr>
        <w:t>[4]提出了一种构造非圆域Zernike正交基底函数的新方法，解决了非圆域波面拟合中Zernike多项式失去正交特性及拟合系数交叉耦合的问题；张艺蓝等人[5]利用琼斯表示法，研究了基于条纹Zernike多项式的离轴自由曲面光学系统偏振像差解析方法，通过建立反射式自由曲面光学架构的偏振像差数学模型，重点分析了低阶系数项对离轴视场偏振像差空间分布的影响；赖欣等人[6]提出了一种基于Zernike多项式拟合的自适应包裹卡尔曼滤波相位解缠算法，用于分析波前像差，该算法无需依</w:t>
      </w:r>
      <w:r>
        <w:rPr>
          <w:rFonts w:hint="eastAsia"/>
          <w:color w:val="000000" w:themeColor="text1"/>
          <w14:textFill>
            <w14:solidFill>
              <w14:schemeClr w14:val="tx1"/>
            </w14:solidFill>
          </w14:textFill>
        </w:rPr>
        <w:t>据干涉图调整不同观测噪声，而是利用预测值和量测值自适应地调整量测噪声协方差矩阵；</w:t>
      </w:r>
      <w:r>
        <w:rPr>
          <w:color w:val="000000" w:themeColor="text1"/>
          <w14:textFill>
            <w14:solidFill>
              <w14:schemeClr w14:val="tx1"/>
            </w14:solidFill>
          </w14:textFill>
        </w:rPr>
        <w:t>KIM Y[7]针对硬件不完善的问题，基于Zernike多项式展开的像差分析技术，通过物面扫描定位最佳焦平面后，将聚焦光强分布数据映射为多项式系数空间，有效分离并量化了光学系统中的各类像差成分；YANG D等人[8]提出了一种适用于非圆形瞳孔的模态波前重建方法，该方法利用Schwarz-Christoffel映射将非圆形波前共形转换为圆盘形域，使得转换后的圆形波面能够由Zernike圆多项式进行拟合；FU Y等人[9]提出</w:t>
      </w:r>
      <w:r>
        <w:rPr>
          <w:rFonts w:hint="eastAsia"/>
          <w:color w:val="000000" w:themeColor="text1"/>
          <w14:textFill>
            <w14:solidFill>
              <w14:schemeClr w14:val="tx1"/>
            </w14:solidFill>
          </w14:textFill>
        </w:rPr>
        <w:t>了极坐标系下基于</w:t>
      </w:r>
      <w:r>
        <w:rPr>
          <w:color w:val="000000" w:themeColor="text1"/>
          <w14:textFill>
            <w14:solidFill>
              <w14:schemeClr w14:val="tx1"/>
            </w14:solidFill>
          </w14:textFill>
        </w:rPr>
        <w:t>Zernike偏导多项式的波面重建方法，通过提取前36项Zernike多项式在极坐标下的切向与径向偏导数以构建格拉姆矩阵方程，从耦合混叠的梯度数据中解耦出线性无关的Zernike复原系数。</w:t>
      </w:r>
    </w:p>
    <w:p w14:paraId="04CF9527">
      <w:pPr>
        <w:pStyle w:val="62"/>
        <w:spacing w:before="93" w:beforeLines="30" w:after="62" w:afterLines="20" w:line="300" w:lineRule="exact"/>
        <w:jc w:val="both"/>
        <w:outlineLvl w:val="1"/>
        <w:rPr>
          <w:rFonts w:ascii="黑体" w:hAnsi="黑体"/>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2.3</w:t>
      </w:r>
      <w:r>
        <w:rPr>
          <w:rFonts w:hint="eastAsia" w:ascii="黑体" w:hAnsi="黑体"/>
          <w:color w:val="000000" w:themeColor="text1"/>
          <w14:textFill>
            <w14:solidFill>
              <w14:schemeClr w14:val="tx1"/>
            </w14:solidFill>
          </w14:textFill>
        </w:rPr>
        <w:t xml:space="preserve"> 大气湍流与波前重构</w:t>
      </w:r>
    </w:p>
    <w:p w14:paraId="2A999D49">
      <w:pPr>
        <w:pStyle w:val="62"/>
        <w:spacing w:before="31" w:beforeLines="10" w:after="62" w:afterLines="20" w:line="300" w:lineRule="exact"/>
        <w:jc w:val="both"/>
        <w:outlineLvl w:val="1"/>
        <w:rPr>
          <w:rFonts w:ascii="Times New Roman" w:hAnsi="Times New Roman" w:eastAsia="宋体"/>
          <w:b/>
          <w:color w:val="000000" w:themeColor="text1"/>
          <w14:textFill>
            <w14:solidFill>
              <w14:schemeClr w14:val="tx1"/>
            </w14:solidFill>
          </w14:textFill>
        </w:rPr>
      </w:pPr>
      <w:r>
        <w:rPr>
          <w:rFonts w:ascii="Times New Roman" w:hAnsi="Times New Roman" w:eastAsia="宋体"/>
          <w:b/>
          <w:color w:val="000000" w:themeColor="text1"/>
          <w14:textFill>
            <w14:solidFill>
              <w14:schemeClr w14:val="tx1"/>
            </w14:solidFill>
          </w14:textFill>
        </w:rPr>
        <w:t xml:space="preserve">2.3.1 </w:t>
      </w:r>
      <w:r>
        <w:rPr>
          <w:rFonts w:hint="eastAsia" w:ascii="Times New Roman" w:hAnsi="Times New Roman" w:eastAsia="宋体"/>
          <w:b/>
          <w:color w:val="000000" w:themeColor="text1"/>
          <w14:textFill>
            <w14:solidFill>
              <w14:schemeClr w14:val="tx1"/>
            </w14:solidFill>
          </w14:textFill>
        </w:rPr>
        <w:t>模拟大气湍流引起的波前畸变</w:t>
      </w:r>
    </w:p>
    <w:p w14:paraId="0A8DB804">
      <w:pPr>
        <w:pStyle w:val="65"/>
        <w:spacing w:line="300" w:lineRule="exact"/>
        <w:ind w:firstLine="420"/>
        <w:textAlignment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光在大气中传播时，会受到湍流影响，出现光强波动、光束漂移、扩展和角度起伏等现象，导致到达目标的光功率密度下降，从而影响强光对远程目标的作用效果。因此，研究光在湍流大气中的传输特性并进行仿真分析尤为重要。仿真分析的关键问题之一在于模拟大气湍流对光学系统的影响，特别是模拟由大气湍流引起的相位畸变，即相位屏。</w:t>
      </w:r>
    </w:p>
    <w:p w14:paraId="79D923F4">
      <w:pPr>
        <w:pStyle w:val="65"/>
        <w:spacing w:line="300" w:lineRule="exact"/>
        <w:ind w:firstLine="420"/>
        <w:textAlignment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对于局部均匀各向同性湍流，在高雷诺数且尺度足够小的条件下，均匀湍流的平衡状态可基于以下3个假设</w:t>
      </w:r>
      <w:r>
        <w:rPr>
          <w:color w:val="000000" w:themeColor="text1"/>
          <w14:textFill>
            <w14:solidFill>
              <w14:schemeClr w14:val="tx1"/>
            </w14:solidFill>
          </w14:textFill>
        </w:rPr>
        <w:t>[10]：</w:t>
      </w:r>
    </w:p>
    <w:p w14:paraId="1A4531D1">
      <w:pPr>
        <w:pStyle w:val="65"/>
        <w:spacing w:line="300" w:lineRule="exact"/>
        <w:ind w:firstLine="420"/>
        <w:textAlignment w:val="center"/>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）各向同性假设：小尺度湍流在统计特征上呈现各方向均匀性。</w:t>
      </w:r>
    </w:p>
    <w:p w14:paraId="6B94E13C">
      <w:pPr>
        <w:pStyle w:val="65"/>
        <w:spacing w:line="300" w:lineRule="exact"/>
        <w:ind w:firstLine="420"/>
        <w:textAlignment w:val="center"/>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）能量耗散主导的普遍性：小尺度湍流运动的统计特性由能耗率</w:t>
      </w:r>
      <w:r>
        <w:rPr>
          <w:rFonts w:hint="eastAsia"/>
          <w:i/>
          <w:color w:val="000000" w:themeColor="text1"/>
          <w14:textFill>
            <w14:solidFill>
              <w14:schemeClr w14:val="tx1"/>
            </w14:solidFill>
          </w14:textFill>
        </w:rPr>
        <w:t>ε</w:t>
      </w:r>
      <w:r>
        <w:rPr>
          <w:rFonts w:hint="eastAsia"/>
          <w:color w:val="000000" w:themeColor="text1"/>
          <w14:textFill>
            <w14:solidFill>
              <w14:schemeClr w14:val="tx1"/>
            </w14:solidFill>
          </w14:textFill>
        </w:rPr>
        <w:t>和粘性系数</w:t>
      </w:r>
      <w:r>
        <w:rPr>
          <w:rFonts w:hint="eastAsia"/>
          <w:i/>
          <w:color w:val="000000" w:themeColor="text1"/>
          <w14:textFill>
            <w14:solidFill>
              <w14:schemeClr w14:val="tx1"/>
            </w14:solidFill>
          </w14:textFill>
        </w:rPr>
        <w:t>ν</w:t>
      </w:r>
      <w:r>
        <w:rPr>
          <w:rFonts w:hint="eastAsia"/>
          <w:color w:val="000000" w:themeColor="text1"/>
          <w14:textFill>
            <w14:solidFill>
              <w14:schemeClr w14:val="tx1"/>
            </w14:solidFill>
          </w14:textFill>
        </w:rPr>
        <w:t>共同决定。</w:t>
      </w:r>
    </w:p>
    <w:p w14:paraId="4991B17C">
      <w:pPr>
        <w:pStyle w:val="65"/>
        <w:spacing w:line="300" w:lineRule="exact"/>
        <w:ind w:firstLine="420"/>
        <w:textAlignment w:val="center"/>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）大尺度统计独立性：大尺度湍流运动的统计特性具有由能量耗散率唯一决定的普适形式，且与动力粘度</w:t>
      </w:r>
      <w:r>
        <w:rPr>
          <w:rFonts w:hint="eastAsia"/>
          <w:i/>
          <w:color w:val="000000" w:themeColor="text1"/>
          <w14:textFill>
            <w14:solidFill>
              <w14:schemeClr w14:val="tx1"/>
            </w14:solidFill>
          </w14:textFill>
        </w:rPr>
        <w:t>ν</w:t>
      </w:r>
      <w:r>
        <w:rPr>
          <w:rFonts w:hint="eastAsia"/>
          <w:color w:val="000000" w:themeColor="text1"/>
          <w14:textFill>
            <w14:solidFill>
              <w14:schemeClr w14:val="tx1"/>
            </w14:solidFill>
          </w14:textFill>
        </w:rPr>
        <w:t>无关。</w:t>
      </w:r>
    </w:p>
    <w:p w14:paraId="7552B118">
      <w:pPr>
        <w:pStyle w:val="65"/>
        <w:spacing w:line="300" w:lineRule="exact"/>
        <w:ind w:firstLine="420"/>
        <w:textAlignment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满足上述假设的理想湍流称为</w:t>
      </w:r>
      <w:r>
        <w:rPr>
          <w:color w:val="000000" w:themeColor="text1"/>
          <w14:textFill>
            <w14:solidFill>
              <w14:schemeClr w14:val="tx1"/>
            </w14:solidFill>
          </w14:textFill>
        </w:rPr>
        <w:t>Kolmogorov湍流。Kolmogorov湍流引起的波前畸变可通过正交化手段，在圆形区域内利用Zernike多项式序列进行有效分解与表达。该过程通常借助Zernike模式间的统计相关性，并基于Karhunen-Loève函数（K-L函数）展开实现，一般流程如下[11]：</w:t>
      </w:r>
    </w:p>
    <w:p w14:paraId="0060D7C4">
      <w:pPr>
        <w:pStyle w:val="65"/>
        <w:spacing w:line="300" w:lineRule="exact"/>
        <w:ind w:firstLine="420"/>
        <w:textAlignment w:val="center"/>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Zernike多项式阶次选择与协方差计算：首先根据应用需求确定待模拟的Zernike模式的最高阶次，随后基于统计学原理建立对应阶次Zernike基函数间的协方差矩阵</w:t>
      </w:r>
      <w:r>
        <w:rPr>
          <w:b/>
          <w:i/>
          <w:color w:val="000000" w:themeColor="text1"/>
          <w14:textFill>
            <w14:solidFill>
              <w14:schemeClr w14:val="tx1"/>
            </w14:solidFill>
          </w14:textFill>
        </w:rPr>
        <w:t>C</w:t>
      </w:r>
      <w:r>
        <w:rPr>
          <w:color w:val="000000" w:themeColor="text1"/>
          <w14:textFill>
            <w14:solidFill>
              <w14:schemeClr w14:val="tx1"/>
            </w14:solidFill>
          </w14:textFill>
        </w:rPr>
        <w:t>，该矩阵用于量化各阶像差模式之间的相关性特征。</w:t>
      </w:r>
    </w:p>
    <w:p w14:paraId="1E421900">
      <w:pPr>
        <w:pStyle w:val="65"/>
        <w:spacing w:line="300" w:lineRule="exact"/>
        <w:ind w:firstLine="420"/>
        <w:textAlignment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2）协方差矩阵特征分解与谱解析：基于矩阵谱分解理论，对协方差矩阵</w:t>
      </w:r>
      <w:r>
        <w:rPr>
          <w:b/>
          <w:i/>
          <w:color w:val="000000" w:themeColor="text1"/>
          <w14:textFill>
            <w14:solidFill>
              <w14:schemeClr w14:val="tx1"/>
            </w14:solidFill>
          </w14:textFill>
        </w:rPr>
        <w:t>C</w:t>
      </w:r>
      <w:r>
        <w:rPr>
          <w:color w:val="000000" w:themeColor="text1"/>
          <w14:textFill>
            <w14:solidFill>
              <w14:schemeClr w14:val="tx1"/>
            </w14:solidFill>
          </w14:textFill>
        </w:rPr>
        <w:t>进行正交分解，得到</w:t>
      </w:r>
      <w:r>
        <w:rPr>
          <w:b/>
          <w:i/>
          <w:color w:val="000000" w:themeColor="text1"/>
          <w14:textFill>
            <w14:solidFill>
              <w14:schemeClr w14:val="tx1"/>
            </w14:solidFill>
          </w14:textFill>
        </w:rPr>
        <w:t>C</w:t>
      </w:r>
      <w:r>
        <w:rPr>
          <w:color w:val="000000" w:themeColor="text1"/>
          <w14:textFill>
            <w14:solidFill>
              <w14:schemeClr w14:val="tx1"/>
            </w14:solidFill>
          </w14:textFill>
        </w:rPr>
        <w:t>=</w:t>
      </w:r>
      <w:r>
        <w:rPr>
          <w:b/>
          <w:i/>
          <w:color w:val="000000" w:themeColor="text1"/>
          <w14:textFill>
            <w14:solidFill>
              <w14:schemeClr w14:val="tx1"/>
            </w14:solidFill>
          </w14:textFill>
        </w:rPr>
        <w:t>VSV</w:t>
      </w:r>
      <w:r>
        <w:rPr>
          <w:rFonts w:ascii="Calibri" w:hAnsi="Calibri" w:cs="Calibri"/>
          <w:color w:val="000000" w:themeColor="text1"/>
          <w14:textFill>
            <w14:solidFill>
              <w14:schemeClr w14:val="tx1"/>
            </w14:solidFill>
          </w14:textFill>
        </w:rPr>
        <w:t>ᵀ</w:t>
      </w:r>
      <w:r>
        <w:rPr>
          <w:color w:val="000000" w:themeColor="text1"/>
          <w14:textFill>
            <w14:solidFill>
              <w14:schemeClr w14:val="tx1"/>
            </w14:solidFill>
          </w14:textFill>
        </w:rPr>
        <w:t>。其中，</w:t>
      </w:r>
      <w:r>
        <w:rPr>
          <w:b/>
          <w:i/>
          <w:color w:val="000000" w:themeColor="text1"/>
          <w14:textFill>
            <w14:solidFill>
              <w14:schemeClr w14:val="tx1"/>
            </w14:solidFill>
          </w14:textFill>
        </w:rPr>
        <w:t>S</w:t>
      </w:r>
      <w:r>
        <w:rPr>
          <w:color w:val="000000" w:themeColor="text1"/>
          <w14:textFill>
            <w14:solidFill>
              <w14:schemeClr w14:val="tx1"/>
            </w14:solidFill>
          </w14:textFill>
        </w:rPr>
        <w:t>为包含特征值（表征各模式能量分布）的对角矩阵，</w:t>
      </w:r>
      <w:r>
        <w:rPr>
          <w:b/>
          <w:i/>
          <w:color w:val="000000" w:themeColor="text1"/>
          <w14:textFill>
            <w14:solidFill>
              <w14:schemeClr w14:val="tx1"/>
            </w14:solidFill>
          </w14:textFill>
        </w:rPr>
        <w:t>V</w:t>
      </w:r>
      <w:r>
        <w:rPr>
          <w:color w:val="000000" w:themeColor="text1"/>
          <w14:textFill>
            <w14:solidFill>
              <w14:schemeClr w14:val="tx1"/>
            </w14:solidFill>
          </w14:textFill>
        </w:rPr>
        <w:t>为由标准正交特征向量构成的酉矩阵，其列向量对应Karhunen-Loève展开的基函数系数。此分解过程将原始相关变量转换为统计无关的独立模态。</w:t>
      </w:r>
    </w:p>
    <w:p w14:paraId="68C5E193">
      <w:pPr>
        <w:pStyle w:val="65"/>
        <w:spacing w:line="300" w:lineRule="exact"/>
        <w:ind w:firstLine="420"/>
        <w:textAlignment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3）基于协方差矩阵的系数生成：首先构造一个服从多元正态分布的随机向量</w:t>
      </w:r>
      <w:r>
        <w:rPr>
          <w:b/>
          <w:i/>
          <w:color w:val="000000" w:themeColor="text1"/>
          <w14:textFill>
            <w14:solidFill>
              <w14:schemeClr w14:val="tx1"/>
            </w14:solidFill>
          </w14:textFill>
        </w:rPr>
        <w:t>B</w:t>
      </w:r>
      <w:r>
        <w:rPr>
          <w:color w:val="000000" w:themeColor="text1"/>
          <w14:textFill>
            <w14:solidFill>
              <w14:schemeClr w14:val="tx1"/>
            </w14:solidFill>
          </w14:textFill>
        </w:rPr>
        <w:t>，其数学期望为零，协方差结构由矩阵S确定。随后通过线性变换</w:t>
      </w:r>
      <w:r>
        <w:rPr>
          <w:b/>
          <w:i/>
          <w:color w:val="000000" w:themeColor="text1"/>
          <w14:textFill>
            <w14:solidFill>
              <w14:schemeClr w14:val="tx1"/>
            </w14:solidFill>
          </w14:textFill>
        </w:rPr>
        <w:t>A</w:t>
      </w:r>
      <w:r>
        <w:rPr>
          <w:color w:val="000000" w:themeColor="text1"/>
          <w14:textFill>
            <w14:solidFill>
              <w14:schemeClr w14:val="tx1"/>
            </w14:solidFill>
          </w14:textFill>
        </w:rPr>
        <w:t>=</w:t>
      </w:r>
      <w:r>
        <w:rPr>
          <w:b/>
          <w:i/>
          <w:color w:val="000000" w:themeColor="text1"/>
          <w14:textFill>
            <w14:solidFill>
              <w14:schemeClr w14:val="tx1"/>
            </w14:solidFill>
          </w14:textFill>
        </w:rPr>
        <w:t>VB</w:t>
      </w:r>
      <w:r>
        <w:rPr>
          <w:color w:val="000000" w:themeColor="text1"/>
          <w14:textFill>
            <w14:solidFill>
              <w14:schemeClr w14:val="tx1"/>
            </w14:solidFill>
          </w14:textFill>
        </w:rPr>
        <w:t>将随机向量转换至系数空间，得到的向量</w:t>
      </w:r>
      <w:r>
        <w:rPr>
          <w:b/>
          <w:i/>
          <w:color w:val="000000" w:themeColor="text1"/>
          <w14:textFill>
            <w14:solidFill>
              <w14:schemeClr w14:val="tx1"/>
            </w14:solidFill>
          </w14:textFill>
        </w:rPr>
        <w:t>A</w:t>
      </w:r>
      <w:r>
        <w:rPr>
          <w:color w:val="000000" w:themeColor="text1"/>
          <w14:textFill>
            <w14:solidFill>
              <w14:schemeClr w14:val="tx1"/>
            </w14:solidFill>
          </w14:textFill>
        </w:rPr>
        <w:t>即为满足要求的Zernike多项式展开系数。</w:t>
      </w:r>
    </w:p>
    <w:p w14:paraId="77506FDE">
      <w:pPr>
        <w:pStyle w:val="65"/>
        <w:spacing w:line="300" w:lineRule="exact"/>
        <w:ind w:firstLine="420"/>
        <w:textAlignment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在自由空间光通信系统中，基于</w:t>
      </w:r>
      <w:r>
        <w:rPr>
          <w:color w:val="000000" w:themeColor="text1"/>
          <w14:textFill>
            <w14:solidFill>
              <w14:schemeClr w14:val="tx1"/>
            </w14:solidFill>
          </w14:textFill>
        </w:rPr>
        <w:t>Zernike多项式构建波前畸变的数学模型，能够精确重构大气湍流对光束传输路径及相位特征的扰动效应。该方法不仅有助于深入分析和解释波前畸变的成因，还能为自适应光学系统提供预补偿量值，其校正残差具有良好的误差可控性。</w:t>
      </w:r>
    </w:p>
    <w:p w14:paraId="5C1D0D61">
      <w:pPr>
        <w:pStyle w:val="62"/>
        <w:spacing w:before="62" w:beforeLines="20" w:after="62" w:afterLines="20" w:line="300" w:lineRule="exact"/>
        <w:jc w:val="both"/>
        <w:outlineLvl w:val="1"/>
        <w:rPr>
          <w:rFonts w:ascii="Times New Roman" w:hAnsi="Times New Roman" w:eastAsia="宋体"/>
          <w:b/>
          <w:color w:val="000000" w:themeColor="text1"/>
          <w14:textFill>
            <w14:solidFill>
              <w14:schemeClr w14:val="tx1"/>
            </w14:solidFill>
          </w14:textFill>
        </w:rPr>
      </w:pPr>
      <w:r>
        <w:rPr>
          <w:rFonts w:ascii="Times New Roman" w:hAnsi="Times New Roman" w:eastAsia="宋体"/>
          <w:b/>
          <w:color w:val="000000" w:themeColor="text1"/>
          <w14:textFill>
            <w14:solidFill>
              <w14:schemeClr w14:val="tx1"/>
            </w14:solidFill>
          </w14:textFill>
        </w:rPr>
        <w:t>2.3.2 Zernike</w:t>
      </w:r>
      <w:r>
        <w:rPr>
          <w:rFonts w:hint="eastAsia" w:ascii="Times New Roman" w:hAnsi="Times New Roman" w:eastAsia="宋体"/>
          <w:b/>
          <w:color w:val="000000" w:themeColor="text1"/>
          <w14:textFill>
            <w14:solidFill>
              <w14:schemeClr w14:val="tx1"/>
            </w14:solidFill>
          </w14:textFill>
        </w:rPr>
        <w:t>多项式进行波前重构</w:t>
      </w:r>
    </w:p>
    <w:p w14:paraId="6E8FFDFD">
      <w:pPr>
        <w:pStyle w:val="65"/>
        <w:spacing w:line="300" w:lineRule="exact"/>
        <w:ind w:firstLine="420"/>
        <w:textAlignment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光信号中的相位信息蕴含着介质的多种物理参量特征。在单色相干照明条件下，物体波前可分解为振幅与相位两个维度，采用复振幅表征方法可实现其完整的数学描述。然而，受限于光电探测器的物理特性，相位分量无法直接获取。波前重构技术通过相位恢复算法，建立相位梯度与光强分布的定量映射关系，完成从不可测相位到可记录光强信息的物理量转换，是提升光学成像系统性能的关键技术之一</w:t>
      </w:r>
      <w:r>
        <w:rPr>
          <w:rFonts w:ascii="宋体" w:hAnsi="宋体"/>
          <w:color w:val="000000" w:themeColor="text1"/>
          <w14:textFill>
            <w14:solidFill>
              <w14:schemeClr w14:val="tx1"/>
            </w14:solidFill>
          </w14:textFill>
        </w:rPr>
        <w:t>[12]。</w:t>
      </w:r>
    </w:p>
    <w:p w14:paraId="250FD61D">
      <w:pPr>
        <w:pStyle w:val="65"/>
        <w:spacing w:line="300" w:lineRule="exact"/>
        <w:ind w:firstLine="420"/>
        <w:textAlignment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由于光学系统的孔径通常为圆形，本文在圆形孔径内进行分析。将波前像差函数</w:t>
      </w:r>
      <m:oMath>
        <m:r>
          <m:rPr/>
          <w:rPr>
            <w:rFonts w:ascii="Cambria Math" w:hAnsi="Cambria Math"/>
            <w:color w:val="000000" w:themeColor="text1"/>
            <w14:textFill>
              <w14:solidFill>
                <w14:schemeClr w14:val="tx1"/>
              </w14:solidFill>
            </w14:textFill>
          </w:rPr>
          <m:t>ϕ</m:t>
        </m:r>
        <m:d>
          <m:dPr>
            <m:ctrlPr>
              <w:rPr>
                <w:rFonts w:ascii="Cambria Math" w:hAnsi="Cambria Math"/>
                <w:i/>
                <w:color w:val="000000" w:themeColor="text1"/>
                <w14:textFill>
                  <w14:solidFill>
                    <w14:schemeClr w14:val="tx1"/>
                  </w14:solidFill>
                </w14:textFill>
              </w:rPr>
            </m:ctrlPr>
          </m:dPr>
          <m:e>
            <m:r>
              <m:rPr/>
              <w:rPr>
                <w:rFonts w:ascii="Cambria Math" w:hAnsi="Cambria Math"/>
                <w:color w:val="000000" w:themeColor="text1"/>
                <w14:textFill>
                  <w14:solidFill>
                    <w14:schemeClr w14:val="tx1"/>
                  </w14:solidFill>
                </w14:textFill>
              </w:rPr>
              <m:t>x,y</m:t>
            </m:r>
            <m:ctrlPr>
              <w:rPr>
                <w:rFonts w:ascii="Cambria Math" w:hAnsi="Cambria Math"/>
                <w:i/>
                <w:color w:val="000000" w:themeColor="text1"/>
                <w14:textFill>
                  <w14:solidFill>
                    <w14:schemeClr w14:val="tx1"/>
                  </w14:solidFill>
                </w14:textFill>
              </w:rPr>
            </m:ctrlPr>
          </m:e>
        </m:d>
      </m:oMath>
      <w:r>
        <w:rPr>
          <w:rFonts w:hint="eastAsia" w:ascii="Times New Roman" w:hAnsi="Times New Roman"/>
          <w:color w:val="000000" w:themeColor="text1"/>
          <w14:textFill>
            <w14:solidFill>
              <w14:schemeClr w14:val="tx1"/>
            </w14:solidFill>
          </w14:textFill>
        </w:rPr>
        <w:t>展开为系数</w:t>
      </w:r>
      <m:oMath>
        <m:sSub>
          <m:sSubPr>
            <m:ctrlPr>
              <w:rPr>
                <w:rFonts w:ascii="Cambria Math" w:hAnsi="Cambria Math"/>
                <w:i/>
                <w:color w:val="000000" w:themeColor="text1"/>
                <w14:textFill>
                  <w14:solidFill>
                    <w14:schemeClr w14:val="tx1"/>
                  </w14:solidFill>
                </w14:textFill>
              </w:rPr>
            </m:ctrlPr>
          </m:sSubPr>
          <m:e>
            <m:r>
              <m:rPr/>
              <w:rPr>
                <w:rFonts w:ascii="Cambria Math" w:hAnsi="Cambria Math"/>
                <w:color w:val="000000" w:themeColor="text1"/>
                <w14:textFill>
                  <w14:solidFill>
                    <w14:schemeClr w14:val="tx1"/>
                  </w14:solidFill>
                </w14:textFill>
              </w:rPr>
              <m:t>a</m:t>
            </m:r>
            <m:ctrlPr>
              <w:rPr>
                <w:rFonts w:ascii="Cambria Math" w:hAnsi="Cambria Math"/>
                <w:i/>
                <w:color w:val="000000" w:themeColor="text1"/>
                <w14:textFill>
                  <w14:solidFill>
                    <w14:schemeClr w14:val="tx1"/>
                  </w14:solidFill>
                </w14:textFill>
              </w:rPr>
            </m:ctrlPr>
          </m:e>
          <m:sub>
            <m:r>
              <m:rPr/>
              <w:rPr>
                <w:rFonts w:ascii="Cambria Math" w:hAnsi="Cambria Math"/>
                <w:color w:val="000000" w:themeColor="text1"/>
                <w14:textFill>
                  <w14:solidFill>
                    <w14:schemeClr w14:val="tx1"/>
                  </w14:solidFill>
                </w14:textFill>
              </w:rPr>
              <m:t>k</m:t>
            </m:r>
            <m:ctrlPr>
              <w:rPr>
                <w:rFonts w:ascii="Cambria Math" w:hAnsi="Cambria Math"/>
                <w:i/>
                <w:color w:val="000000" w:themeColor="text1"/>
                <w14:textFill>
                  <w14:solidFill>
                    <w14:schemeClr w14:val="tx1"/>
                  </w14:solidFill>
                </w14:textFill>
              </w:rPr>
            </m:ctrlPr>
          </m:sub>
        </m:sSub>
      </m:oMath>
      <w:r>
        <w:rPr>
          <w:rFonts w:ascii="宋体" w:hAnsi="宋体"/>
          <w:color w:val="000000" w:themeColor="text1"/>
          <w14:textFill>
            <w14:solidFill>
              <w14:schemeClr w14:val="tx1"/>
            </w14:solidFill>
          </w14:textFill>
        </w:rPr>
        <w:t>与Zernike多项式的线性组合[13]，利用Shack-Hartmann波前传感器获取的波前梯度信息建立线性代数方程，通过矩阵运算求解Zernike基函数的系数。具体而言，对波前像差函数分别求</w:t>
      </w:r>
      <w:r>
        <w:rPr>
          <w:rFonts w:ascii="宋体" w:hAnsi="宋体"/>
          <w:i/>
          <w:color w:val="000000" w:themeColor="text1"/>
          <w14:textFill>
            <w14:solidFill>
              <w14:schemeClr w14:val="tx1"/>
            </w14:solidFill>
          </w14:textFill>
        </w:rPr>
        <w:t>x</w:t>
      </w:r>
      <w:r>
        <w:rPr>
          <w:rFonts w:ascii="宋体" w:hAnsi="宋体"/>
          <w:color w:val="000000" w:themeColor="text1"/>
          <w14:textFill>
            <w14:solidFill>
              <w14:schemeClr w14:val="tx1"/>
            </w14:solidFill>
          </w14:textFill>
        </w:rPr>
        <w:t>和</w:t>
      </w:r>
      <w:r>
        <w:rPr>
          <w:rFonts w:ascii="宋体" w:hAnsi="宋体"/>
          <w:i/>
          <w:color w:val="000000" w:themeColor="text1"/>
          <w14:textFill>
            <w14:solidFill>
              <w14:schemeClr w14:val="tx1"/>
            </w14:solidFill>
          </w14:textFill>
        </w:rPr>
        <w:t>y</w:t>
      </w:r>
      <w:r>
        <w:rPr>
          <w:rFonts w:ascii="宋体" w:hAnsi="宋体"/>
          <w:color w:val="000000" w:themeColor="text1"/>
          <w14:textFill>
            <w14:solidFill>
              <w14:schemeClr w14:val="tx1"/>
            </w14:solidFill>
          </w14:textFill>
        </w:rPr>
        <w:t>的偏导，得到第j个子孔径内</w:t>
      </w:r>
      <w:r>
        <w:rPr>
          <w:rFonts w:ascii="宋体" w:hAnsi="宋体"/>
          <w:i/>
          <w:color w:val="000000" w:themeColor="text1"/>
          <w14:textFill>
            <w14:solidFill>
              <w14:schemeClr w14:val="tx1"/>
            </w14:solidFill>
          </w14:textFill>
        </w:rPr>
        <w:t>x</w:t>
      </w:r>
      <w:r>
        <w:rPr>
          <w:rFonts w:ascii="宋体" w:hAnsi="宋体"/>
          <w:color w:val="000000" w:themeColor="text1"/>
          <w14:textFill>
            <w14:solidFill>
              <w14:schemeClr w14:val="tx1"/>
            </w14:solidFill>
          </w14:textFill>
        </w:rPr>
        <w:t>和</w:t>
      </w:r>
      <w:r>
        <w:rPr>
          <w:rFonts w:ascii="宋体" w:hAnsi="宋体"/>
          <w:i/>
          <w:color w:val="000000" w:themeColor="text1"/>
          <w14:textFill>
            <w14:solidFill>
              <w14:schemeClr w14:val="tx1"/>
            </w14:solidFill>
          </w14:textFill>
        </w:rPr>
        <w:t>y</w:t>
      </w:r>
      <w:r>
        <w:rPr>
          <w:rFonts w:ascii="宋体" w:hAnsi="宋体"/>
          <w:color w:val="000000" w:themeColor="text1"/>
          <w14:textFill>
            <w14:solidFill>
              <w14:schemeClr w14:val="tx1"/>
            </w14:solidFill>
          </w14:textFill>
        </w:rPr>
        <w:t>方向的波前相位平均斜率</w:t>
      </w:r>
      <m:oMath>
        <m:sSub>
          <m:sSubPr>
            <m:ctrlPr>
              <w:rPr>
                <w:rFonts w:ascii="Cambria Math" w:hAnsi="Cambria Math"/>
                <w:i/>
                <w:iCs/>
                <w:color w:val="000000" w:themeColor="text1"/>
                <w14:textFill>
                  <w14:solidFill>
                    <w14:schemeClr w14:val="tx1"/>
                  </w14:solidFill>
                </w14:textFill>
              </w:rPr>
            </m:ctrlPr>
          </m:sSubPr>
          <m:e>
            <m:r>
              <m:rPr/>
              <w:rPr>
                <w:rFonts w:ascii="Cambria Math" w:hAnsi="Cambria Math"/>
                <w:color w:val="000000" w:themeColor="text1"/>
                <w14:textFill>
                  <w14:solidFill>
                    <w14:schemeClr w14:val="tx1"/>
                  </w14:solidFill>
                </w14:textFill>
              </w:rPr>
              <m:t>G</m:t>
            </m:r>
            <m:ctrlPr>
              <w:rPr>
                <w:rFonts w:ascii="Cambria Math" w:hAnsi="Cambria Math"/>
                <w:i/>
                <w:iCs/>
                <w:color w:val="000000" w:themeColor="text1"/>
                <w14:textFill>
                  <w14:solidFill>
                    <w14:schemeClr w14:val="tx1"/>
                  </w14:solidFill>
                </w14:textFill>
              </w:rPr>
            </m:ctrlPr>
          </m:e>
          <m:sub>
            <m:r>
              <m:rPr/>
              <w:rPr>
                <w:rFonts w:ascii="Cambria Math" w:hAnsi="Cambria Math"/>
                <w:color w:val="000000" w:themeColor="text1"/>
                <w14:textFill>
                  <w14:solidFill>
                    <w14:schemeClr w14:val="tx1"/>
                  </w14:solidFill>
                </w14:textFill>
              </w:rPr>
              <m:t>jx</m:t>
            </m:r>
            <m:ctrlPr>
              <w:rPr>
                <w:rFonts w:ascii="Cambria Math" w:hAnsi="Cambria Math"/>
                <w:i/>
                <w:iCs/>
                <w:color w:val="000000" w:themeColor="text1"/>
                <w14:textFill>
                  <w14:solidFill>
                    <w14:schemeClr w14:val="tx1"/>
                  </w14:solidFill>
                </w14:textFill>
              </w:rPr>
            </m:ctrlPr>
          </m:sub>
        </m:sSub>
      </m:oMath>
      <w:r>
        <w:rPr>
          <w:color w:val="000000" w:themeColor="text1"/>
          <w14:textFill>
            <w14:solidFill>
              <w14:schemeClr w14:val="tx1"/>
            </w14:solidFill>
          </w14:textFill>
        </w:rPr>
        <w:t>和</w:t>
      </w:r>
      <m:oMath>
        <m:sSub>
          <m:sSubPr>
            <m:ctrlPr>
              <w:rPr>
                <w:rFonts w:ascii="Cambria Math" w:hAnsi="Cambria Math"/>
                <w:i/>
                <w:iCs/>
                <w:color w:val="000000" w:themeColor="text1"/>
                <w14:textFill>
                  <w14:solidFill>
                    <w14:schemeClr w14:val="tx1"/>
                  </w14:solidFill>
                </w14:textFill>
              </w:rPr>
            </m:ctrlPr>
          </m:sSubPr>
          <m:e>
            <m:r>
              <m:rPr/>
              <w:rPr>
                <w:rFonts w:ascii="Cambria Math" w:hAnsi="Cambria Math"/>
                <w:color w:val="000000" w:themeColor="text1"/>
                <w14:textFill>
                  <w14:solidFill>
                    <w14:schemeClr w14:val="tx1"/>
                  </w14:solidFill>
                </w14:textFill>
              </w:rPr>
              <m:t>G</m:t>
            </m:r>
            <m:ctrlPr>
              <w:rPr>
                <w:rFonts w:ascii="Cambria Math" w:hAnsi="Cambria Math"/>
                <w:i/>
                <w:iCs/>
                <w:color w:val="000000" w:themeColor="text1"/>
                <w14:textFill>
                  <w14:solidFill>
                    <w14:schemeClr w14:val="tx1"/>
                  </w14:solidFill>
                </w14:textFill>
              </w:rPr>
            </m:ctrlPr>
          </m:e>
          <m:sub>
            <m:r>
              <m:rPr/>
              <w:rPr>
                <w:rFonts w:ascii="Cambria Math" w:hAnsi="Cambria Math"/>
                <w:color w:val="000000" w:themeColor="text1"/>
                <w14:textFill>
                  <w14:solidFill>
                    <w14:schemeClr w14:val="tx1"/>
                  </w14:solidFill>
                </w14:textFill>
              </w:rPr>
              <m:t>jy</m:t>
            </m:r>
            <m:ctrlPr>
              <w:rPr>
                <w:rFonts w:ascii="Cambria Math" w:hAnsi="Cambria Math"/>
                <w:i/>
                <w:iCs/>
                <w:color w:val="000000" w:themeColor="text1"/>
                <w14:textFill>
                  <w14:solidFill>
                    <w14:schemeClr w14:val="tx1"/>
                  </w14:solidFill>
                </w14:textFill>
              </w:rPr>
            </m:ctrlPr>
          </m:sub>
        </m:sSub>
      </m:oMath>
      <w:r>
        <w:rPr>
          <w:rFonts w:hint="eastAsia" w:ascii="Times New Roman" w:hAnsi="Times New Roman"/>
          <w:color w:val="000000" w:themeColor="text1"/>
          <w:vertAlign w:val="superscript"/>
          <w14:textFill>
            <w14:solidFill>
              <w14:schemeClr w14:val="tx1"/>
            </w14:solidFill>
          </w14:textFill>
        </w:rPr>
        <w:t xml:space="preserve"> </w:t>
      </w:r>
      <w:r>
        <w:rPr>
          <w:rFonts w:ascii="宋体" w:hAnsi="宋体"/>
          <w:color w:val="000000" w:themeColor="text1"/>
          <w14:textFill>
            <w14:solidFill>
              <w14:schemeClr w14:val="tx1"/>
            </w14:solidFill>
          </w14:textFill>
        </w:rPr>
        <w:t>[13]。利用传感器测量到的波前斜率数据</w:t>
      </w:r>
      <m:oMath>
        <m:sSub>
          <m:sSubPr>
            <m:ctrlPr>
              <w:rPr>
                <w:rFonts w:ascii="Cambria Math" w:hAnsi="Cambria Math"/>
                <w:i/>
                <w:iCs/>
                <w:color w:val="000000" w:themeColor="text1"/>
                <w14:textFill>
                  <w14:solidFill>
                    <w14:schemeClr w14:val="tx1"/>
                  </w14:solidFill>
                </w14:textFill>
              </w:rPr>
            </m:ctrlPr>
          </m:sSubPr>
          <m:e>
            <m:r>
              <m:rPr/>
              <w:rPr>
                <w:rFonts w:ascii="Cambria Math" w:hAnsi="Cambria Math"/>
                <w:color w:val="000000" w:themeColor="text1"/>
                <w14:textFill>
                  <w14:solidFill>
                    <w14:schemeClr w14:val="tx1"/>
                  </w14:solidFill>
                </w14:textFill>
              </w:rPr>
              <m:t>G</m:t>
            </m:r>
            <m:ctrlPr>
              <w:rPr>
                <w:rFonts w:ascii="Cambria Math" w:hAnsi="Cambria Math"/>
                <w:i/>
                <w:iCs/>
                <w:color w:val="000000" w:themeColor="text1"/>
                <w14:textFill>
                  <w14:solidFill>
                    <w14:schemeClr w14:val="tx1"/>
                  </w14:solidFill>
                </w14:textFill>
              </w:rPr>
            </m:ctrlPr>
          </m:e>
          <m:sub>
            <m:r>
              <m:rPr/>
              <w:rPr>
                <w:rFonts w:ascii="Cambria Math" w:hAnsi="Cambria Math"/>
                <w:color w:val="000000" w:themeColor="text1"/>
                <w14:textFill>
                  <w14:solidFill>
                    <w14:schemeClr w14:val="tx1"/>
                  </w14:solidFill>
                </w14:textFill>
              </w:rPr>
              <m:t>jx</m:t>
            </m:r>
            <m:ctrlPr>
              <w:rPr>
                <w:rFonts w:ascii="Cambria Math" w:hAnsi="Cambria Math"/>
                <w:i/>
                <w:iCs/>
                <w:color w:val="000000" w:themeColor="text1"/>
                <w14:textFill>
                  <w14:solidFill>
                    <w14:schemeClr w14:val="tx1"/>
                  </w14:solidFill>
                </w14:textFill>
              </w:rPr>
            </m:ctrlPr>
          </m:sub>
        </m:sSub>
      </m:oMath>
      <w:r>
        <w:rPr>
          <w:color w:val="000000" w:themeColor="text1"/>
          <w14:textFill>
            <w14:solidFill>
              <w14:schemeClr w14:val="tx1"/>
            </w14:solidFill>
          </w14:textFill>
        </w:rPr>
        <w:t>和</w:t>
      </w:r>
      <m:oMath>
        <m:sSub>
          <m:sSubPr>
            <m:ctrlPr>
              <w:rPr>
                <w:rFonts w:ascii="Cambria Math" w:hAnsi="Cambria Math"/>
                <w:i/>
                <w:iCs/>
                <w:color w:val="000000" w:themeColor="text1"/>
                <w14:textFill>
                  <w14:solidFill>
                    <w14:schemeClr w14:val="tx1"/>
                  </w14:solidFill>
                </w14:textFill>
              </w:rPr>
            </m:ctrlPr>
          </m:sSubPr>
          <m:e>
            <m:r>
              <m:rPr/>
              <w:rPr>
                <w:rFonts w:ascii="Cambria Math" w:hAnsi="Cambria Math"/>
                <w:color w:val="000000" w:themeColor="text1"/>
                <w14:textFill>
                  <w14:solidFill>
                    <w14:schemeClr w14:val="tx1"/>
                  </w14:solidFill>
                </w14:textFill>
              </w:rPr>
              <m:t>G</m:t>
            </m:r>
            <m:ctrlPr>
              <w:rPr>
                <w:rFonts w:ascii="Cambria Math" w:hAnsi="Cambria Math"/>
                <w:i/>
                <w:iCs/>
                <w:color w:val="000000" w:themeColor="text1"/>
                <w14:textFill>
                  <w14:solidFill>
                    <w14:schemeClr w14:val="tx1"/>
                  </w14:solidFill>
                </w14:textFill>
              </w:rPr>
            </m:ctrlPr>
          </m:e>
          <m:sub>
            <m:r>
              <m:rPr/>
              <w:rPr>
                <w:rFonts w:ascii="Cambria Math" w:hAnsi="Cambria Math"/>
                <w:color w:val="000000" w:themeColor="text1"/>
                <w14:textFill>
                  <w14:solidFill>
                    <w14:schemeClr w14:val="tx1"/>
                  </w14:solidFill>
                </w14:textFill>
              </w:rPr>
              <m:t>jy</m:t>
            </m:r>
            <m:ctrlPr>
              <w:rPr>
                <w:rFonts w:ascii="Cambria Math" w:hAnsi="Cambria Math"/>
                <w:i/>
                <w:iCs/>
                <w:color w:val="000000" w:themeColor="text1"/>
                <w14:textFill>
                  <w14:solidFill>
                    <w14:schemeClr w14:val="tx1"/>
                  </w14:solidFill>
                </w14:textFill>
              </w:rPr>
            </m:ctrlPr>
          </m:sub>
        </m:sSub>
      </m:oMath>
      <w:r>
        <w:rPr>
          <w:rFonts w:ascii="宋体" w:hAnsi="宋体"/>
          <w:color w:val="000000" w:themeColor="text1"/>
          <w14:textFill>
            <w14:solidFill>
              <w14:schemeClr w14:val="tx1"/>
            </w14:solidFill>
          </w14:textFill>
        </w:rPr>
        <w:t>，可建立如下线性方程：</w:t>
      </w:r>
    </w:p>
    <w:p w14:paraId="4BB2E2E1">
      <w:pPr>
        <w:pStyle w:val="28"/>
        <w:spacing w:before="0" w:beforeLines="0" w:after="0" w:afterLines="0" w:line="300" w:lineRule="exact"/>
        <w:rPr>
          <w:b/>
          <w:bCs/>
          <w:iCs/>
          <w:color w:val="000000" w:themeColor="text1"/>
          <w14:textFill>
            <w14:solidFill>
              <w14:schemeClr w14:val="tx1"/>
            </w14:solidFill>
          </w14:textFill>
        </w:rPr>
      </w:pPr>
      <m:oMathPara>
        <m:oMathParaPr>
          <m:jc m:val="left"/>
        </m:oMathParaPr>
        <m:oMath>
          <m:r>
            <m:rPr>
              <m:sty m:val="b"/>
            </m:rPr>
            <w:rPr>
              <w:rFonts w:ascii="Cambria Math" w:hAnsi="Cambria Math"/>
              <w:color w:val="000000" w:themeColor="text1"/>
              <w14:textFill>
                <w14:solidFill>
                  <w14:schemeClr w14:val="tx1"/>
                </w14:solidFill>
              </w14:textFill>
            </w:rPr>
            <m:t xml:space="preserve">                  </m:t>
          </m:r>
          <m:r>
            <m:rPr>
              <m:sty m:val="bi"/>
            </m:rPr>
            <w:rPr>
              <w:rFonts w:ascii="Cambria Math" w:hAnsi="Cambria Math"/>
              <w:color w:val="000000" w:themeColor="text1"/>
              <w14:textFill>
                <w14:solidFill>
                  <w14:schemeClr w14:val="tx1"/>
                </w14:solidFill>
              </w14:textFill>
            </w:rPr>
            <m:t>G</m:t>
          </m:r>
          <m:r>
            <m:rPr>
              <m:sty m:val="b"/>
            </m:rPr>
            <w:rPr>
              <w:rFonts w:ascii="Cambria Math" w:hAnsi="Cambria Math"/>
              <w:color w:val="000000" w:themeColor="text1"/>
              <w14:textFill>
                <w14:solidFill>
                  <w14:schemeClr w14:val="tx1"/>
                </w14:solidFill>
              </w14:textFill>
            </w:rPr>
            <m:t>=</m:t>
          </m:r>
          <m:r>
            <m:rPr>
              <m:sty m:val="bi"/>
            </m:rPr>
            <w:rPr>
              <w:rFonts w:ascii="Cambria Math" w:hAnsi="Cambria Math"/>
              <w:color w:val="000000" w:themeColor="text1"/>
              <w14:textFill>
                <w14:solidFill>
                  <w14:schemeClr w14:val="tx1"/>
                </w14:solidFill>
              </w14:textFill>
            </w:rPr>
            <m:t>F</m:t>
          </m:r>
          <m:r>
            <m:rPr>
              <m:sty m:val="b"/>
            </m:rPr>
            <w:rPr>
              <w:rFonts w:ascii="Cambria Math" w:hAnsi="Cambria Math"/>
              <w:color w:val="000000" w:themeColor="text1"/>
              <w14:textFill>
                <w14:solidFill>
                  <w14:schemeClr w14:val="tx1"/>
                </w14:solidFill>
              </w14:textFill>
            </w:rPr>
            <m:t>∙</m:t>
          </m:r>
          <m:r>
            <m:rPr>
              <m:sty m:val="bi"/>
            </m:rPr>
            <w:rPr>
              <w:rFonts w:ascii="Cambria Math" w:hAnsi="Cambria Math"/>
              <w:color w:val="000000" w:themeColor="text1"/>
              <w14:textFill>
                <w14:solidFill>
                  <w14:schemeClr w14:val="tx1"/>
                </w14:solidFill>
              </w14:textFill>
            </w:rPr>
            <m:t>A</m:t>
          </m:r>
          <m:r>
            <m:rPr>
              <m:sty m:val="b"/>
            </m:rPr>
            <w:rPr>
              <w:rFonts w:ascii="Cambria Math" w:hAnsi="Cambria Math"/>
              <w:color w:val="000000" w:themeColor="text1"/>
              <w14:textFill>
                <w14:solidFill>
                  <w14:schemeClr w14:val="tx1"/>
                </w14:solidFill>
              </w14:textFill>
            </w:rPr>
            <m:t xml:space="preserve">                            </m:t>
          </m:r>
          <m:r>
            <m:rPr>
              <m:sty m:val="p"/>
            </m:rPr>
            <w:rPr>
              <w:rFonts w:ascii="Cambria Math" w:hAnsi="Cambria Math"/>
              <w:color w:val="000000" w:themeColor="text1"/>
              <w14:textFill>
                <w14:solidFill>
                  <w14:schemeClr w14:val="tx1"/>
                </w14:solidFill>
              </w14:textFill>
            </w:rPr>
            <m:t>（1）</m:t>
          </m:r>
        </m:oMath>
      </m:oMathPara>
    </w:p>
    <w:p w14:paraId="3D818735">
      <w:pPr>
        <w:pStyle w:val="65"/>
        <w:spacing w:line="300" w:lineRule="exact"/>
        <w:ind w:firstLine="0" w:firstLineChars="0"/>
        <w:textAlignment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其中，</w:t>
      </w:r>
      <w:r>
        <w:rPr>
          <w:rFonts w:ascii="宋体" w:hAnsi="宋体"/>
          <w:b/>
          <w:i/>
          <w:color w:val="000000" w:themeColor="text1"/>
          <w14:textFill>
            <w14:solidFill>
              <w14:schemeClr w14:val="tx1"/>
            </w14:solidFill>
          </w14:textFill>
        </w:rPr>
        <w:t>G</w:t>
      </w:r>
      <w:r>
        <w:rPr>
          <w:rFonts w:ascii="宋体" w:hAnsi="宋体"/>
          <w:color w:val="000000" w:themeColor="text1"/>
          <w14:textFill>
            <w14:solidFill>
              <w14:schemeClr w14:val="tx1"/>
            </w14:solidFill>
          </w14:textFill>
        </w:rPr>
        <w:t>为波前斜率向量，F为波前重构矩阵，</w:t>
      </w:r>
      <w:r>
        <w:rPr>
          <w:rFonts w:ascii="宋体" w:hAnsi="宋体"/>
          <w:b/>
          <w:i/>
          <w:color w:val="000000" w:themeColor="text1"/>
          <w14:textFill>
            <w14:solidFill>
              <w14:schemeClr w14:val="tx1"/>
            </w14:solidFill>
          </w14:textFill>
        </w:rPr>
        <w:t>A</w:t>
      </w:r>
      <w:r>
        <w:rPr>
          <w:rFonts w:ascii="宋体" w:hAnsi="宋体"/>
          <w:color w:val="000000" w:themeColor="text1"/>
          <w14:textFill>
            <w14:solidFill>
              <w14:schemeClr w14:val="tx1"/>
            </w14:solidFill>
          </w14:textFill>
        </w:rPr>
        <w:t>为Zernike多项式系数向量。通过求解该线性方程，即可得到Zernike多项式的系数</w:t>
      </w:r>
      <w:r>
        <w:rPr>
          <w:rFonts w:ascii="宋体" w:hAnsi="宋体"/>
          <w:i/>
          <w:color w:val="000000" w:themeColor="text1"/>
          <w14:textFill>
            <w14:solidFill>
              <w14:schemeClr w14:val="tx1"/>
            </w14:solidFill>
          </w14:textFill>
        </w:rPr>
        <w:t>a</w:t>
      </w:r>
      <w:r>
        <w:rPr>
          <w:rFonts w:ascii="Times New Roman" w:hAnsi="Times New Roman"/>
          <w:i/>
          <w:color w:val="000000" w:themeColor="text1"/>
          <w14:textFill>
            <w14:solidFill>
              <w14:schemeClr w14:val="tx1"/>
            </w14:solidFill>
          </w14:textFill>
        </w:rPr>
        <w:t>ₖ</w:t>
      </w:r>
      <w:r>
        <w:rPr>
          <w:rFonts w:ascii="宋体" w:hAnsi="宋体"/>
          <w:color w:val="000000" w:themeColor="text1"/>
          <w14:textFill>
            <w14:solidFill>
              <w14:schemeClr w14:val="tx1"/>
            </w14:solidFill>
          </w14:textFill>
        </w:rPr>
        <w:t>，从而实现波前重构。</w:t>
      </w:r>
    </w:p>
    <w:p w14:paraId="26860B78">
      <w:pPr>
        <w:pStyle w:val="62"/>
        <w:spacing w:before="62" w:beforeLines="20" w:after="62" w:afterLines="20" w:line="300" w:lineRule="exact"/>
        <w:jc w:val="both"/>
        <w:outlineLvl w:val="1"/>
        <w:rPr>
          <w:rFonts w:ascii="Times New Roman" w:hAnsi="Times New Roman" w:eastAsia="宋体"/>
          <w:b/>
          <w:color w:val="000000" w:themeColor="text1"/>
          <w14:textFill>
            <w14:solidFill>
              <w14:schemeClr w14:val="tx1"/>
            </w14:solidFill>
          </w14:textFill>
        </w:rPr>
      </w:pPr>
      <w:r>
        <w:rPr>
          <w:rFonts w:ascii="Times New Roman" w:hAnsi="Times New Roman" w:eastAsia="宋体"/>
          <w:b/>
          <w:color w:val="000000" w:themeColor="text1"/>
          <w14:textFill>
            <w14:solidFill>
              <w14:schemeClr w14:val="tx1"/>
            </w14:solidFill>
          </w14:textFill>
        </w:rPr>
        <w:t>2.3.3</w:t>
      </w:r>
      <w:r>
        <w:rPr>
          <w:rFonts w:hint="eastAsia" w:ascii="Times New Roman" w:hAnsi="Times New Roman" w:eastAsia="宋体"/>
          <w:b/>
          <w:color w:val="000000" w:themeColor="text1"/>
          <w14:textFill>
            <w14:solidFill>
              <w14:schemeClr w14:val="tx1"/>
            </w14:solidFill>
          </w14:textFill>
        </w:rPr>
        <w:t xml:space="preserve"> 研究进展</w:t>
      </w:r>
    </w:p>
    <w:p w14:paraId="08D0CB36">
      <w:pPr>
        <w:pStyle w:val="65"/>
        <w:spacing w:line="300" w:lineRule="exact"/>
        <w:ind w:firstLine="420"/>
        <w:textAlignment w:val="center"/>
        <w:rPr>
          <w:rFonts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研究人员采用</w:t>
      </w:r>
      <w:r>
        <w:rPr>
          <w:rFonts w:ascii="Times New Roman" w:hAnsi="Times New Roman"/>
          <w:color w:val="000000" w:themeColor="text1"/>
          <w14:textFill>
            <w14:solidFill>
              <w14:schemeClr w14:val="tx1"/>
            </w14:solidFill>
          </w14:textFill>
        </w:rPr>
        <w:t>Zernike多项式对大气湍流引起的波前畸变进行建模，通过分解和重构湍流波前的不同阶次畸变模式，实现对复杂湍流效应的有效描述与仿真。同时，结合K-L展开、统计特性分析和自适应光学算法，Zernike多项式在高分辨率波前重构、湍流补偿与自适应光学系统设计中发挥了重要作用，显著提升了光学成像质量与信号传输稳定性。</w:t>
      </w:r>
    </w:p>
    <w:p w14:paraId="1FEAD820">
      <w:pPr>
        <w:pStyle w:val="65"/>
        <w:spacing w:line="300" w:lineRule="exact"/>
        <w:ind w:firstLine="420"/>
        <w:textAlignment w:val="center"/>
        <w:rPr>
          <w:rFonts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近年来，相关研究取得了显著进展：徐晨露等人</w:t>
      </w:r>
      <w:r>
        <w:rPr>
          <w:rFonts w:ascii="Times New Roman" w:hAnsi="Times New Roman"/>
          <w:color w:val="000000" w:themeColor="text1"/>
          <w14:textFill>
            <w14:solidFill>
              <w14:schemeClr w14:val="tx1"/>
            </w14:solidFill>
          </w14:textFill>
        </w:rPr>
        <w:t>[14]在Zernike模式分解的相位重构过程中，首先将波前畸变分解为多阶正交基函数的线性组合，通过量化湍流模式与各阶基函数间的互信息确定其权重分布特征，进而依据互信息排序构建优化后的重构矩阵，实现了高效的波前校正；LAVRINOV V等人[15]采用Zernike多项式逼近波函数，基于Hartmann方法重建被湍流扭曲的光辐射波前，对高强度湍流下的变形进行了分析，并提出了一种减小由高强度湍流相位波动引起的残余重建误差的方法，有效降低了波前重构的均方根残差；WANG Y等人[16]在分析耦合光纤端面特性的基础上，采用桶内功率代替传统的耦合效率作为评价标准，首次推导了自由空间激光通信性能与自适应光学参数（修正的Zernike模数）之间的关系；SONG C等人[17]通过功率谱反演法、Zernike多项式法和低高频组合法分别建立了湍流随机相位屏，推导了激光通过湍流大气传播到反射屏的后向散射增强效果的光强表达式和背向散射增强系数；张赐宝等人[18]利用Zernike多项式作为基底函数，构建了自适应光学系统中对波前传感器残余像差约束的成像光路静态像差检测模型，并完</w:t>
      </w:r>
      <w:r>
        <w:rPr>
          <w:rFonts w:hint="eastAsia" w:ascii="Times New Roman" w:hAnsi="Times New Roman"/>
          <w:color w:val="000000" w:themeColor="text1"/>
          <w14:textFill>
            <w14:solidFill>
              <w14:schemeClr w14:val="tx1"/>
            </w14:solidFill>
          </w14:textFill>
        </w:rPr>
        <w:t>成了对静态像差的离线测量；王涛等人</w:t>
      </w:r>
      <w:r>
        <w:rPr>
          <w:rFonts w:ascii="Times New Roman" w:hAnsi="Times New Roman"/>
          <w:color w:val="000000" w:themeColor="text1"/>
          <w14:textFill>
            <w14:solidFill>
              <w14:schemeClr w14:val="tx1"/>
            </w14:solidFill>
          </w14:textFill>
        </w:rPr>
        <w:t>[19]通过建立任意形状区域下Zernike多项式的正交基转换矩阵，结合多方向差分波前信息的加权最小二乘估计方法，构建了具有几何适应性的波前重构数学模型</w:t>
      </w:r>
      <w:r>
        <w:rPr>
          <w:rFonts w:ascii="Segoe UI" w:hAnsi="Segoe UI" w:cs="Segoe UI"/>
          <w:color w:val="000000" w:themeColor="text1"/>
          <w:shd w:val="clear" w:color="auto" w:fill="FFFFFF"/>
          <w14:textFill>
            <w14:solidFill>
              <w14:schemeClr w14:val="tx1"/>
            </w14:solidFill>
          </w14:textFill>
        </w:rPr>
        <w:t>。</w:t>
      </w:r>
    </w:p>
    <w:p w14:paraId="39293016">
      <w:pPr>
        <w:pStyle w:val="62"/>
        <w:spacing w:before="93" w:beforeLines="30" w:after="0" w:afterLines="0" w:line="300" w:lineRule="exact"/>
        <w:jc w:val="both"/>
        <w:outlineLvl w:val="1"/>
        <w:rPr>
          <w:rFonts w:ascii="Times New Roman" w:hAnsi="Times New Roman" w:eastAsia="宋体"/>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2.4 </w:t>
      </w:r>
      <w:r>
        <w:rPr>
          <w:rFonts w:hint="eastAsia" w:ascii="黑体" w:hAnsi="黑体"/>
          <w:color w:val="000000" w:themeColor="text1"/>
          <w14:textFill>
            <w14:solidFill>
              <w14:schemeClr w14:val="tx1"/>
            </w14:solidFill>
          </w14:textFill>
        </w:rPr>
        <w:t>光学图像</w:t>
      </w:r>
      <w:bookmarkStart w:id="12" w:name="_Hlk185585713"/>
      <w:r>
        <w:rPr>
          <w:rFonts w:hint="eastAsia" w:ascii="Times New Roman" w:hAnsi="Times New Roman" w:eastAsia="宋体"/>
          <w:color w:val="000000" w:themeColor="text1"/>
          <w14:textFill>
            <w14:solidFill>
              <w14:schemeClr w14:val="tx1"/>
            </w14:solidFill>
          </w14:textFill>
        </w:rPr>
        <w:t>亚像素边缘检测</w:t>
      </w:r>
    </w:p>
    <w:bookmarkEnd w:id="12"/>
    <w:p w14:paraId="1F1EC8D7">
      <w:pPr>
        <w:pStyle w:val="65"/>
        <w:spacing w:line="3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主流的像素级边缘检测技术主要包括三类典型方法：插值运算、模型拟合及矩量分析。插值法通过对边缘区域像素进行插值运算来增强边缘特征的识别，该方法计算效率较高，但抗噪性能较弱。拟合法不依赖数值微分运算，具有较好的抗噪能力，但模型结构相对复杂，计算成本较高。目前，在亚像素级边缘检测研究领域，矩量分析方法凭借其综合优势已成为主流，能够在保持计算效率的同时实现抗噪性能的平衡</w:t>
      </w:r>
      <w:r>
        <w:rPr>
          <w:color w:val="000000" w:themeColor="text1"/>
          <w14:textFill>
            <w14:solidFill>
              <w14:schemeClr w14:val="tx1"/>
            </w14:solidFill>
          </w14:textFill>
        </w:rPr>
        <w:t>[20]。</w:t>
      </w:r>
    </w:p>
    <w:p w14:paraId="7B0BA736">
      <w:pPr>
        <w:pStyle w:val="65"/>
        <w:spacing w:line="3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在矩方法中，图像矩可用于表征图像函数，描述和识别变形物体与图案的不变特征。在统计学中，矩常用于描述随机变量的分布；若将灰度图像的像素强度视为随机变量，则可直观地利用图像矩进行图像分析。常见的图像矩类型包括几何矩和正交矩。与几何矩相比，正交矩具有逆变换简单、信息冗余度低等优势，而</w:t>
      </w:r>
      <w:r>
        <w:rPr>
          <w:color w:val="000000" w:themeColor="text1"/>
          <w14:textFill>
            <w14:solidFill>
              <w14:schemeClr w14:val="tx1"/>
            </w14:solidFill>
          </w14:textFill>
        </w:rPr>
        <w:t>Zernike矩正是一种重要的正交矩。</w:t>
      </w:r>
    </w:p>
    <w:p w14:paraId="091AAAEC">
      <w:pPr>
        <w:pStyle w:val="65"/>
        <w:spacing w:line="3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亚像素检测方法利用</w:t>
      </w:r>
      <w:r>
        <w:rPr>
          <w:color w:val="000000" w:themeColor="text1"/>
          <w14:textFill>
            <w14:solidFill>
              <w14:schemeClr w14:val="tx1"/>
            </w14:solidFill>
          </w14:textFill>
        </w:rPr>
        <w:t>Zernike矩的几何特性，首先建立标准阶跃灰度模型，再结合Zernike基函数的旋转不变性构建参数映射矩阵，从而实现图像边缘的亚像素级精确定位。由于Zernike正交基在旋转变换中模量保持恒定，仅相位角发生偏移，因此能够有效降低边缘参数计算的复杂度[21]。</w:t>
      </w:r>
    </w:p>
    <w:p w14:paraId="336BD50B">
      <w:pPr>
        <w:pStyle w:val="65"/>
        <w:spacing w:line="300" w:lineRule="exact"/>
        <w:ind w:firstLine="420"/>
        <w:rPr>
          <w:rFonts w:ascii="Times New Roman" w:hAnsi="Times New Roman"/>
          <w:color w:val="000000" w:themeColor="text1"/>
          <w14:textFill>
            <w14:solidFill>
              <w14:schemeClr w14:val="tx1"/>
            </w14:solidFill>
          </w14:textFill>
        </w:rPr>
      </w:pPr>
      <w:r>
        <w:rPr>
          <w:rFonts w:hint="eastAsia"/>
          <w:color w:val="000000" w:themeColor="text1"/>
          <w14:textFill>
            <w14:solidFill>
              <w14:schemeClr w14:val="tx1"/>
            </w14:solidFill>
          </w14:textFill>
        </w:rPr>
        <w:t>近年来，研究人员借助</w:t>
      </w:r>
      <w:r>
        <w:rPr>
          <w:color w:val="000000" w:themeColor="text1"/>
          <w14:textFill>
            <w14:solidFill>
              <w14:schemeClr w14:val="tx1"/>
            </w14:solidFill>
          </w14:textFill>
        </w:rPr>
        <w:t>Zernike矩在亚像素边缘定位中实现了更高精度与稳定性，进一步推动了复杂场景下的高精度图像边缘分析与定位技术的发展。具体研究进展包括：杨兴宇等人[22]针对跟踪雷达的三种常见欺骗干扰，提出一种基于平滑伪魏格纳-维尔分布时频图像的Zernike矩特征识别方法，通过提取Zernike矩特征捕捉图像细节，并构建特征向量进行分类识别；刘悦等人[23]基于Sobel梯度算子进行光斑边缘的初级检测，利用Zernike矩空间模型对初始边缘进行亚像素级修正，结合自适应阈值判定与边缘连续性约束，构建误差</w:t>
      </w:r>
      <w:r>
        <w:rPr>
          <w:rFonts w:hint="eastAsia"/>
          <w:color w:val="000000" w:themeColor="text1"/>
          <w14:textFill>
            <w14:solidFill>
              <w14:schemeClr w14:val="tx1"/>
            </w14:solidFill>
          </w14:textFill>
        </w:rPr>
        <w:t>补偿机制以实现光斑轮廓的亚像素级表征；杨棉绒等人</w:t>
      </w:r>
      <w:r>
        <w:rPr>
          <w:color w:val="000000" w:themeColor="text1"/>
          <w14:textFill>
            <w14:solidFill>
              <w14:schemeClr w14:val="tx1"/>
            </w14:solidFill>
          </w14:textFill>
        </w:rPr>
        <w:t>[24]针对红外图像识别问题，以轻量级梯度提升机算法为基础，提出Zernike特征选取算法，并结合稀疏表示分类方法完成目标类别确认；李英超等人[25]利用Zernike矩对镜面变形后的面形进行边缘检测，通过仿真分析得出激光雷达接收系统优化后焦距与温度之间的线性关系；范沁红等人[20]基于Canny算子实现图像的初始粗定位并保留像素级边缘轮廓，继而构建基于Zernike正交复函数多项式的9×9检测模板，推导出新型边缘检测算子，有效提升了边缘定位精度，最终引入动态</w:t>
      </w:r>
      <w:r>
        <w:rPr>
          <w:rFonts w:hint="eastAsia"/>
          <w:color w:val="000000" w:themeColor="text1"/>
          <w14:textFill>
            <w14:solidFill>
              <w14:schemeClr w14:val="tx1"/>
            </w14:solidFill>
          </w14:textFill>
        </w:rPr>
        <w:t>自适应</w:t>
      </w:r>
      <w:r>
        <w:rPr>
          <w:color w:val="000000" w:themeColor="text1"/>
          <w14:textFill>
            <w14:solidFill>
              <w14:schemeClr w14:val="tx1"/>
            </w14:solidFill>
          </w14:textFill>
        </w:rPr>
        <w:t>Otsu阈值选择机制，实现了亚像素级边缘的精确定位。</w:t>
      </w:r>
    </w:p>
    <w:p w14:paraId="1657C57C">
      <w:pPr>
        <w:pStyle w:val="62"/>
        <w:spacing w:before="93" w:beforeLines="30" w:after="93" w:afterLines="30" w:line="300" w:lineRule="exact"/>
        <w:jc w:val="both"/>
        <w:outlineLvl w:val="1"/>
        <w:rPr>
          <w:rFonts w:ascii="Times New Roman" w:hAnsi="Times New Roman" w:eastAsia="宋体"/>
          <w:b/>
          <w:color w:val="000000" w:themeColor="text1"/>
          <w14:textFill>
            <w14:solidFill>
              <w14:schemeClr w14:val="tx1"/>
            </w14:solidFill>
          </w14:textFill>
        </w:rPr>
      </w:pPr>
      <w:r>
        <w:rPr>
          <w:rFonts w:ascii="Times New Roman" w:hAnsi="Times New Roman"/>
          <w:b/>
          <w:color w:val="000000" w:themeColor="text1"/>
          <w14:textFill>
            <w14:solidFill>
              <w14:schemeClr w14:val="tx1"/>
            </w14:solidFill>
          </w14:textFill>
        </w:rPr>
        <w:t>2.5</w:t>
      </w:r>
      <w:r>
        <w:rPr>
          <w:rFonts w:hint="eastAsia" w:ascii="黑体" w:hAnsi="黑体"/>
          <w:b/>
          <w:color w:val="000000" w:themeColor="text1"/>
          <w14:textFill>
            <w14:solidFill>
              <w14:schemeClr w14:val="tx1"/>
            </w14:solidFill>
          </w14:textFill>
        </w:rPr>
        <w:t xml:space="preserve"> </w:t>
      </w:r>
      <w:r>
        <w:rPr>
          <w:rFonts w:hint="eastAsia" w:ascii="Times New Roman" w:hAnsi="Times New Roman" w:eastAsia="宋体"/>
          <w:b/>
          <w:color w:val="000000" w:themeColor="text1"/>
          <w14:textFill>
            <w14:solidFill>
              <w14:schemeClr w14:val="tx1"/>
            </w14:solidFill>
          </w14:textFill>
        </w:rPr>
        <w:t>Zernike多项式拟合人眼像差</w:t>
      </w:r>
    </w:p>
    <w:p w14:paraId="25763A23">
      <w:pPr>
        <w:autoSpaceDE w:val="0"/>
        <w:autoSpaceDN w:val="0"/>
        <w:adjustRightInd w:val="0"/>
        <w:snapToGrid w:val="0"/>
        <w:spacing w:line="300" w:lineRule="exact"/>
        <w:ind w:firstLine="420" w:firstLineChars="200"/>
        <w:textAlignment w:val="center"/>
        <w:rPr>
          <w:rFonts w:ascii="Times New Roman" w:hAnsi="Times New Roman" w:eastAsia="宋体" w:cs="Times New Roman"/>
          <w:color w:val="000000" w:themeColor="text1"/>
          <w:shd w:val="clear" w:color="auto" w:fill="FFFFFF"/>
          <w14:textFill>
            <w14:solidFill>
              <w14:schemeClr w14:val="tx1"/>
            </w14:solidFill>
          </w14:textFill>
          <w14:ligatures w14:val="none"/>
        </w:rPr>
      </w:pPr>
      <w:r>
        <w:rPr>
          <w:rFonts w:hint="eastAsia" w:ascii="Times New Roman" w:hAnsi="Times New Roman" w:eastAsia="宋体" w:cs="Times New Roman"/>
          <w:color w:val="000000" w:themeColor="text1"/>
          <w:shd w:val="clear" w:color="auto" w:fill="FFFFFF"/>
          <w14:textFill>
            <w14:solidFill>
              <w14:schemeClr w14:val="tx1"/>
            </w14:solidFill>
          </w14:textFill>
          <w14:ligatures w14:val="none"/>
        </w:rPr>
        <w:t>在理想光学状态下，入射波前经人眼屈光系统调节后，应在视网膜黄斑区形成完美的点状聚焦。然而，实际生物光学系统中普遍存在角膜不规则性、晶状体梯度折射率偏差等解剖学特征，导致出射波前产生非对称畸变，偏离标准球面波的传播规律。</w:t>
      </w:r>
    </w:p>
    <w:p w14:paraId="43A10A56">
      <w:pPr>
        <w:autoSpaceDE w:val="0"/>
        <w:autoSpaceDN w:val="0"/>
        <w:adjustRightInd w:val="0"/>
        <w:snapToGrid w:val="0"/>
        <w:spacing w:line="300" w:lineRule="exact"/>
        <w:ind w:firstLine="420" w:firstLineChars="200"/>
        <w:textAlignment w:val="center"/>
        <w:rPr>
          <w:rFonts w:ascii="Times New Roman" w:hAnsi="Times New Roman" w:eastAsia="宋体" w:cs="Times New Roman"/>
          <w:color w:val="000000" w:themeColor="text1"/>
          <w:shd w:val="clear" w:color="auto" w:fill="FFFFFF"/>
          <w14:textFill>
            <w14:solidFill>
              <w14:schemeClr w14:val="tx1"/>
            </w14:solidFill>
          </w14:textFill>
          <w14:ligatures w14:val="none"/>
        </w:rPr>
      </w:pPr>
      <w:r>
        <w:rPr>
          <w:rFonts w:ascii="Times New Roman" w:hAnsi="Times New Roman" w:eastAsia="宋体" w:cs="Times New Roman"/>
          <w:color w:val="000000" w:themeColor="text1"/>
          <w:shd w:val="clear" w:color="auto" w:fill="FFFFFF"/>
          <w14:textFill>
            <w14:solidFill>
              <w14:schemeClr w14:val="tx1"/>
            </w14:solidFill>
          </w14:textFill>
          <w14:ligatures w14:val="none"/>
        </w:rPr>
        <w:t>Zernike多项式用于拟合人眼波前像差的核心，在于建立Zernike基函数与波前传感器测得的波前斜率之间的数学关系。通过求解Zernike多项式的系数，即可获得完整的波前像差解析表达式。</w:t>
      </w:r>
    </w:p>
    <w:p w14:paraId="141652DF">
      <w:pPr>
        <w:autoSpaceDE w:val="0"/>
        <w:autoSpaceDN w:val="0"/>
        <w:adjustRightInd w:val="0"/>
        <w:snapToGrid w:val="0"/>
        <w:spacing w:line="300" w:lineRule="exact"/>
        <w:ind w:firstLine="420" w:firstLineChars="200"/>
        <w:textAlignment w:val="center"/>
        <w:rPr>
          <w:rFonts w:ascii="Times New Roman" w:hAnsi="Times New Roman" w:eastAsia="宋体" w:cs="Times New Roman"/>
          <w:color w:val="000000" w:themeColor="text1"/>
          <w:shd w:val="clear" w:color="auto" w:fill="FFFFFF"/>
          <w14:textFill>
            <w14:solidFill>
              <w14:schemeClr w14:val="tx1"/>
            </w14:solidFill>
          </w14:textFill>
          <w14:ligatures w14:val="none"/>
        </w:rPr>
      </w:pPr>
      <w:r>
        <w:rPr>
          <w:rFonts w:hint="eastAsia" w:ascii="Times New Roman" w:hAnsi="Times New Roman" w:eastAsia="宋体" w:cs="Times New Roman"/>
          <w:color w:val="000000" w:themeColor="text1"/>
          <w:shd w:val="clear" w:color="auto" w:fill="FFFFFF"/>
          <w14:textFill>
            <w14:solidFill>
              <w14:schemeClr w14:val="tx1"/>
            </w14:solidFill>
          </w14:textFill>
          <w14:ligatures w14:val="none"/>
        </w:rPr>
        <w:t>在眼科光学中，</w:t>
      </w:r>
      <w:r>
        <w:rPr>
          <w:rFonts w:ascii="Times New Roman" w:hAnsi="Times New Roman" w:eastAsia="宋体" w:cs="Times New Roman"/>
          <w:color w:val="000000" w:themeColor="text1"/>
          <w:shd w:val="clear" w:color="auto" w:fill="FFFFFF"/>
          <w14:textFill>
            <w14:solidFill>
              <w14:schemeClr w14:val="tx1"/>
            </w14:solidFill>
          </w14:textFill>
          <w14:ligatures w14:val="none"/>
        </w:rPr>
        <w:t>Zernike多项式被广泛用于描述和分析人眼波前像差。通过测量眼球的波前误差并拟合其Zernike系数，眼科医生能够量化个体的高阶像差分布，进而优化屈光手术方案、实现视力缺陷的个性化矫正，最终提升患者的视觉质量。</w:t>
      </w:r>
    </w:p>
    <w:p w14:paraId="324555C4">
      <w:pPr>
        <w:autoSpaceDE w:val="0"/>
        <w:autoSpaceDN w:val="0"/>
        <w:adjustRightInd w:val="0"/>
        <w:snapToGrid w:val="0"/>
        <w:spacing w:line="300" w:lineRule="exact"/>
        <w:ind w:firstLine="420" w:firstLineChars="200"/>
        <w:textAlignment w:val="center"/>
        <w:rPr>
          <w:rFonts w:ascii="Times New Roman" w:hAnsi="Times New Roman" w:eastAsia="宋体" w:cs="Times New Roman"/>
          <w:color w:val="000000" w:themeColor="text1"/>
          <w:shd w:val="clear" w:color="auto" w:fill="FFFFFF"/>
          <w14:textFill>
            <w14:solidFill>
              <w14:schemeClr w14:val="tx1"/>
            </w14:solidFill>
          </w14:textFill>
          <w14:ligatures w14:val="none"/>
        </w:rPr>
      </w:pPr>
      <w:r>
        <w:rPr>
          <w:rFonts w:hint="eastAsia" w:ascii="Times New Roman" w:hAnsi="Times New Roman" w:eastAsia="宋体" w:cs="Times New Roman"/>
          <w:color w:val="000000" w:themeColor="text1"/>
          <w:shd w:val="clear" w:color="auto" w:fill="FFFFFF"/>
          <w14:textFill>
            <w14:solidFill>
              <w14:schemeClr w14:val="tx1"/>
            </w14:solidFill>
          </w14:textFill>
          <w14:ligatures w14:val="none"/>
        </w:rPr>
        <w:t>近年来，该领域的研究不断深入：</w:t>
      </w:r>
      <w:r>
        <w:rPr>
          <w:rFonts w:ascii="Times New Roman" w:hAnsi="Times New Roman" w:eastAsia="宋体" w:cs="Times New Roman"/>
          <w:color w:val="000000" w:themeColor="text1"/>
          <w:shd w:val="clear" w:color="auto" w:fill="FFFFFF"/>
          <w14:textFill>
            <w14:solidFill>
              <w14:schemeClr w14:val="tx1"/>
            </w14:solidFill>
          </w14:textFill>
          <w14:ligatures w14:val="none"/>
        </w:rPr>
        <w:t>FAZEKAS Z 等人[26]为有效抑制角膜地形图测量中的系统性误差，提出了一类新型正交函数体系——有理Zernike函数。该函数通过Blaschke函数参数变换从经典Zernike多项式导出，在保持正交性的同时，具备更优的局部特征解析能力。HU C 等人[27]通过分析不同Zernike像差组合，量化了正向垂直彗差与其它2至5阶Zernike像差项的视觉交互效应。研究发现，当正向垂直彗差Z₃⁻¹ 与 Z₃⁻³、Z₄⁻⁴、Z₅⁻⁵、Z₅⁻³、Z₅⁻¹ 结合使用时，比单独使用Z₃⁻¹能带来更好的视觉图像质量。KHORIN P A等人[28]利用像差仪获取的数据，计算了健康眼角膜前表面、后表面以及近视角膜的Zernike多项式系数的平均值。实验分析表明，改善视觉质量需要重点考虑角膜前表面的三阶或四阶等高阶像差。MECHÓ-GARCÍA M等人[29]通过计算眼内重复性标准差（Sw）、重复性系数（CR）、变异系数（CV）及组内相关系数（ICC）四项指标，系统评估了四阶及以下Zernike系数在调节过程中的可重复性。结果表明，这些阶次的Zernike系数均展现出良好的测量一致性。</w:t>
      </w:r>
    </w:p>
    <w:p w14:paraId="1114D0E1">
      <w:pPr>
        <w:autoSpaceDE w:val="0"/>
        <w:autoSpaceDN w:val="0"/>
        <w:adjustRightInd w:val="0"/>
        <w:snapToGrid w:val="0"/>
        <w:spacing w:line="300" w:lineRule="exact"/>
        <w:ind w:firstLine="420" w:firstLineChars="200"/>
        <w:textAlignment w:val="center"/>
        <w:rPr>
          <w:rFonts w:hint="eastAsia" w:ascii="Times New Roman" w:hAnsi="Times New Roman" w:eastAsia="宋体" w:cs="Times New Roman"/>
          <w:color w:val="000000" w:themeColor="text1"/>
          <w14:textFill>
            <w14:solidFill>
              <w14:schemeClr w14:val="tx1"/>
            </w14:solidFill>
          </w14:textFill>
          <w14:ligatures w14:val="none"/>
        </w:rPr>
      </w:pPr>
    </w:p>
    <w:bookmarkEnd w:id="8"/>
    <w:p w14:paraId="0A7EC863">
      <w:pPr>
        <w:pStyle w:val="62"/>
        <w:spacing w:before="93" w:beforeLines="30" w:after="93" w:afterLines="30" w:line="300" w:lineRule="exact"/>
        <w:jc w:val="both"/>
        <w:outlineLvl w:val="1"/>
        <w:rPr>
          <w:rFonts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3 结束语</w:t>
      </w:r>
    </w:p>
    <w:p w14:paraId="50DF4A89">
      <w:pPr>
        <w:pStyle w:val="65"/>
        <w:spacing w:line="3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本文系统梳理了</w:t>
      </w:r>
      <w:r>
        <w:rPr>
          <w:color w:val="000000" w:themeColor="text1"/>
          <w14:textFill>
            <w14:solidFill>
              <w14:schemeClr w14:val="tx1"/>
            </w14:solidFill>
          </w14:textFill>
        </w:rPr>
        <w:t>Zernike多项式在光学领域中的主要应用，涵盖波前像差表征、大气湍流模拟、波前重构及光学图像处理等方面。尽管Zernike多项式具备诸多优势，但随着应用条件日趋严苛与分析过程复杂性不断提高，其在实际应用中也面临若干挑战，主要表现在：</w:t>
      </w:r>
    </w:p>
    <w:p w14:paraId="213B5B70">
      <w:pPr>
        <w:pStyle w:val="65"/>
        <w:spacing w:line="3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1）在高精度光束传输或聚焦过程中，常出现高次球差、三阶像散等高阶像差。此类高阶像差引起的波前变形通常比低阶像差更为复杂，其影响更难预测与控制。尤其在长距离传输或多轮光学反射、折射场景下，波前畸变往往呈现高度复杂性。虽然</w:t>
      </w:r>
      <w:r>
        <w:rPr>
          <w:color w:val="000000" w:themeColor="text1"/>
          <w14:textFill>
            <w14:solidFill>
              <w14:schemeClr w14:val="tx1"/>
            </w14:solidFill>
          </w14:textFill>
        </w:rPr>
        <w:t>Zernike多项式能有效分解低阶像差，但在高阶像差的精确表示与计算方面仍存在困难。</w:t>
      </w:r>
    </w:p>
    <w:p w14:paraId="7D2FA037">
      <w:pPr>
        <w:pStyle w:val="65"/>
        <w:spacing w:line="3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2）在自适应光学与波前传感器的实时反馈控制中，</w:t>
      </w:r>
      <w:r>
        <w:rPr>
          <w:color w:val="000000" w:themeColor="text1"/>
          <w14:textFill>
            <w14:solidFill>
              <w14:schemeClr w14:val="tx1"/>
            </w14:solidFill>
          </w14:textFill>
        </w:rPr>
        <w:t>Zernike多项式的计算复杂度可能成为系统瓶颈。随着多项式阶数提高，其计算量呈指数级增长，这给高阶像差的实时分解与校正带来显著挑战。</w:t>
      </w:r>
    </w:p>
    <w:p w14:paraId="27225797">
      <w:pPr>
        <w:pStyle w:val="65"/>
        <w:spacing w:line="3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基于上述问题，结合科学技术发展趋势，本文提出以下值得深入研究的未来方向：</w:t>
      </w:r>
    </w:p>
    <w:p w14:paraId="6B870E33">
      <w:pPr>
        <w:pStyle w:val="65"/>
        <w:spacing w:line="3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1）应着力提升</w:t>
      </w:r>
      <w:r>
        <w:rPr>
          <w:color w:val="000000" w:themeColor="text1"/>
          <w14:textFill>
            <w14:solidFill>
              <w14:schemeClr w14:val="tx1"/>
            </w14:solidFill>
          </w14:textFill>
        </w:rPr>
        <w:t>Zernike多项式对高阶像差及复杂波前畸变的校正能力。可探索结合机器学习与人工智能技术，构建能够实时识别并修正高阶像差的自动化校正系统。同时，面向超高精度激光加工、超高分辨率成像等特定应用场景，开发新型Zernike多项式基函数，以实现更精确的波前重构与像差修正。</w:t>
      </w:r>
    </w:p>
    <w:p w14:paraId="29EF1450">
      <w:pPr>
        <w:pStyle w:val="65"/>
        <w:spacing w:line="3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2）随着自适应光学技术的持续发展，</w:t>
      </w:r>
      <w:r>
        <w:rPr>
          <w:color w:val="000000" w:themeColor="text1"/>
          <w14:textFill>
            <w14:solidFill>
              <w14:schemeClr w14:val="tx1"/>
            </w14:solidFill>
          </w14:textFill>
        </w:rPr>
        <w:t>Zernike多项式在动态波前校正系统中的应用将不断深化。特别是在大气湍流等动态干扰环境下的激光传输系统中，Zernike多项式有望为实时波前畸变校正提供核心支持，保障光束传输质量。为此，可进一步研究将Zernike多项式与高速波前传感器及高效计算算法相结合，实现更快速、更精确的实时波前校正。</w:t>
      </w:r>
    </w:p>
    <w:p w14:paraId="12561FAC">
      <w:pPr>
        <w:pStyle w:val="65"/>
        <w:spacing w:line="300" w:lineRule="exact"/>
        <w:ind w:firstLine="420"/>
        <w:rPr>
          <w:rFonts w:hint="eastAsia"/>
          <w:color w:val="000000" w:themeColor="text1"/>
          <w14:textFill>
            <w14:solidFill>
              <w14:schemeClr w14:val="tx1"/>
            </w14:solidFill>
          </w14:textFill>
        </w:rPr>
      </w:pPr>
    </w:p>
    <w:p w14:paraId="2C143D5C">
      <w:pPr>
        <w:pStyle w:val="62"/>
        <w:spacing w:before="156" w:after="0" w:afterLines="0" w:line="300" w:lineRule="exact"/>
        <w:jc w:val="both"/>
        <w:outlineLvl w:val="1"/>
        <w:rPr>
          <w:rFonts w:ascii="黑体" w:hAnsi="黑体"/>
          <w:color w:val="000000" w:themeColor="text1"/>
          <w:sz w:val="24"/>
          <w:szCs w:val="24"/>
          <w14:textFill>
            <w14:solidFill>
              <w14:schemeClr w14:val="tx1"/>
            </w14:solidFill>
          </w14:textFill>
        </w:rPr>
      </w:pPr>
      <w:r>
        <w:rPr>
          <w:rFonts w:hint="eastAsia" w:ascii="黑体" w:hAnsi="黑体"/>
          <w:color w:val="000000" w:themeColor="text1"/>
          <w:sz w:val="24"/>
          <w:szCs w:val="24"/>
          <w14:textFill>
            <w14:solidFill>
              <w14:schemeClr w14:val="tx1"/>
            </w14:solidFill>
          </w14:textFill>
        </w:rPr>
        <w:t>参考文献：</w:t>
      </w:r>
    </w:p>
    <w:p w14:paraId="65EBFA4E">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[1] 莫卫东. Zernike多项式拟合干涉波面的基本原则[J]. 空军工程大学学报（自然科学版），2002（3）：35-38.</w:t>
      </w:r>
    </w:p>
    <w:p w14:paraId="28EE622C">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[2] 胡绍云，李黎明，周国家，等. 激光测角装置光学系统设计与验证[J]. 激光杂志，2023，44（12）：23-28.</w:t>
      </w:r>
    </w:p>
    <w:p w14:paraId="5C38F1AC">
      <w:pPr>
        <w:pStyle w:val="62"/>
        <w:spacing w:before="156" w:after="156" w:line="300" w:lineRule="exact"/>
        <w:outlineLvl w:val="1"/>
        <w:rPr>
          <w:rFonts w:hint="default" w:ascii="Times New Roman" w:hAnsi="Times New Roman"/>
          <w:color w:val="000000" w:themeColor="text1"/>
          <w:lang w:val="en-US"/>
          <w14:textFill>
            <w14:solidFill>
              <w14:schemeClr w14:val="tx1"/>
            </w14:solidFill>
          </w14:textFill>
        </w:rPr>
      </w:pPr>
      <w:r>
        <w:rPr>
          <w:rFonts w:ascii="Times New Roman" w:hAnsi="Times New Roman"/>
          <w:color w:val="000000" w:themeColor="text1"/>
          <w14:textFill>
            <w14:solidFill>
              <w14:schemeClr w14:val="tx1"/>
            </w14:solidFill>
          </w14:textFill>
        </w:rPr>
        <w:t>[3] NIU, KUO, CHAO T. Zernike polynomials and their applications[J]. Journal of Optics, 2022, 24（12）: 123001-1~123001-</w:t>
      </w:r>
      <w:r>
        <w:rPr>
          <w:rFonts w:hint="default" w:ascii="Times New Roman" w:hAnsi="Times New Roman"/>
          <w:color w:val="000000" w:themeColor="text1"/>
          <w:lang w:val="en-US"/>
          <w14:textFill>
            <w14:solidFill>
              <w14:schemeClr w14:val="tx1"/>
            </w14:solidFill>
          </w14:textFill>
        </w:rPr>
        <w:t>55.</w:t>
      </w:r>
    </w:p>
    <w:p w14:paraId="0F9C3C76">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[4] 赵齐，王允，王平，等. 波面重构中非圆域Zernike正交基底构造方法[J]. 光学技术，2017，43（3）：228-233.</w:t>
      </w:r>
    </w:p>
    <w:p w14:paraId="77C840B3">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[5] 张艺蓝，史浩东，王超，等. 基于自由曲面的空间光学系统偏振像差分析[J]. 光学精密工程，2021，29（12）：2783-2796.</w:t>
      </w:r>
    </w:p>
    <w:p w14:paraId="5866F7F4">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[6] 赖欣，贾英杰. 基于Zernike多项式的自适应包裹卡尔曼相位解缠[J]. 电子测量与仪器学报，2023，37（11）：197-204.</w:t>
      </w:r>
    </w:p>
    <w:p w14:paraId="01433F42">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[7] KIM Y, SOHN T N, SEO C S, et al. Quantifying aberrations on object plane using Zernike polynomials[J]. Current Optics and Photonics,2024,8（2）: 151-155.</w:t>
      </w:r>
    </w:p>
    <w:p w14:paraId="0BDE84DF">
      <w:pPr>
        <w:pStyle w:val="62"/>
        <w:spacing w:before="156" w:after="156" w:line="300" w:lineRule="exact"/>
        <w:outlineLvl w:val="1"/>
        <w:rPr>
          <w:rFonts w:hint="default" w:ascii="Times New Roman" w:hAnsi="Times New Roman"/>
          <w:color w:val="000000" w:themeColor="text1"/>
          <w:lang w:val="en-US"/>
          <w14:textFill>
            <w14:solidFill>
              <w14:schemeClr w14:val="tx1"/>
            </w14:solidFill>
          </w14:textFill>
        </w:rPr>
      </w:pPr>
      <w:r>
        <w:rPr>
          <w:rFonts w:ascii="Times New Roman" w:hAnsi="Times New Roman"/>
          <w:color w:val="000000" w:themeColor="text1"/>
          <w14:textFill>
            <w14:solidFill>
              <w14:schemeClr w14:val="tx1"/>
            </w14:solidFill>
          </w14:textFill>
        </w:rPr>
        <w:t xml:space="preserve">[8] YANG D, YANG Z, ZHANG Y. Modal </w:t>
      </w:r>
      <w:bookmarkStart w:id="13" w:name="_GoBack"/>
      <w:bookmarkEnd w:id="13"/>
      <w:r>
        <w:rPr>
          <w:rFonts w:ascii="Times New Roman" w:hAnsi="Times New Roman"/>
          <w:color w:val="000000" w:themeColor="text1"/>
          <w14:textFill>
            <w14:solidFill>
              <w14:schemeClr w14:val="tx1"/>
            </w14:solidFill>
          </w14:textFill>
        </w:rPr>
        <w:t>wavefront reconstruction by Schwarz-Christoffel mapping and Zernike circle polynomials for noncircular pupils[J]. Optics and Lasers in Engineering, 2025, 184: 108643-1~108643-</w:t>
      </w:r>
      <w:r>
        <w:rPr>
          <w:rFonts w:hint="default" w:ascii="Times New Roman" w:hAnsi="Times New Roman"/>
          <w:color w:val="000000" w:themeColor="text1"/>
          <w:highlight w:val="none"/>
          <w:lang w:val="en-US"/>
          <w14:textFill>
            <w14:solidFill>
              <w14:schemeClr w14:val="tx1"/>
            </w14:solidFill>
          </w14:textFill>
        </w:rPr>
        <w:t>12.</w:t>
      </w:r>
    </w:p>
    <w:p w14:paraId="729C13D6">
      <w:pPr>
        <w:pStyle w:val="62"/>
        <w:spacing w:before="156" w:after="156" w:line="300" w:lineRule="exact"/>
        <w:outlineLvl w:val="1"/>
        <w:rPr>
          <w:rFonts w:hint="default" w:ascii="Times New Roman" w:hAnsi="Times New Roman"/>
          <w:color w:val="000000" w:themeColor="text1"/>
          <w:lang w:val="en-US"/>
          <w14:textFill>
            <w14:solidFill>
              <w14:schemeClr w14:val="tx1"/>
            </w14:solidFill>
          </w14:textFill>
        </w:rPr>
      </w:pPr>
      <w:r>
        <w:rPr>
          <w:rFonts w:ascii="Times New Roman" w:hAnsi="Times New Roman"/>
          <w:color w:val="000000" w:themeColor="text1"/>
          <w14:textFill>
            <w14:solidFill>
              <w14:schemeClr w14:val="tx1"/>
            </w14:solidFill>
          </w14:textFill>
        </w:rPr>
        <w:t>[9] FU Y, LIAO W, JIANG G, et al. A novel phase measuring deflectometry based on polar coordinate[J]. Optics &amp; Laser Technology, 2025, 181: 111580-1~111580-</w:t>
      </w:r>
      <w:r>
        <w:rPr>
          <w:rFonts w:hint="default" w:ascii="Times New Roman" w:hAnsi="Times New Roman"/>
          <w:color w:val="000000" w:themeColor="text1"/>
          <w:highlight w:val="none"/>
          <w:lang w:val="en-US"/>
          <w14:textFill>
            <w14:solidFill>
              <w14:schemeClr w14:val="tx1"/>
            </w14:solidFill>
          </w14:textFill>
        </w:rPr>
        <w:t>9.</w:t>
      </w:r>
    </w:p>
    <w:p w14:paraId="68B1E041">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[10] 李征，廖志文，梁静远，等. 大气湍流模型与大气信道模型的研究与展望[J]. 光通信技术， 2023，47（3）：9-17.</w:t>
      </w:r>
    </w:p>
    <w:p w14:paraId="0AF5083D">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[11] 胡谋法. 受大气湍流影响的光学波前模拟方法研究[J]. 光学与光电技术，2003，1（5）</w:t>
      </w:r>
      <w:r>
        <w:rPr>
          <w:rFonts w:hint="eastAsia" w:ascii="Times New Roman" w:hAnsi="Times New Roman"/>
          <w:color w:val="000000" w:themeColor="text1"/>
          <w14:textFill>
            <w14:solidFill>
              <w14:schemeClr w14:val="tx1"/>
            </w14:solidFill>
          </w14:textFill>
        </w:rPr>
        <w:t>：</w:t>
      </w:r>
      <w:r>
        <w:rPr>
          <w:rFonts w:ascii="Times New Roman" w:hAnsi="Times New Roman"/>
          <w:color w:val="000000" w:themeColor="text1"/>
          <w14:textFill>
            <w14:solidFill>
              <w14:schemeClr w14:val="tx1"/>
            </w14:solidFill>
          </w14:textFill>
        </w:rPr>
        <w:t>10-12.</w:t>
      </w:r>
    </w:p>
    <w:p w14:paraId="7549D1D7">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[12] 魏金文，李儒佳，吴佳琛，等. 相位恢复波前重构技术的发展与应用（特邀）[J]. 激光与光电子学进展，2024，61（2）：21-37.</w:t>
      </w:r>
    </w:p>
    <w:p w14:paraId="2C042276">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[13] 张强，吕百达，姜文汉.环形区域上Zernike模式法波前重构[J]. 强激光与粒子束，2000（3）：306-310.</w:t>
      </w:r>
    </w:p>
    <w:p w14:paraId="35AADE5C">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[14] 徐晨露，郝士琦，王勇，等. 基于模式互信息的大气湍流畸变波前重构[J]. 空军工程大学学报（自然科学版），2020，21（2）：65-70.</w:t>
      </w:r>
    </w:p>
    <w:p w14:paraId="772152EC">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[15] LAVRINOV V V, LAVRINOVA L N. Numerical analysis of wavefront reconstruction under conditions of high-intensity atmospheric turbulence [J]. Atmospheric and Oceanic Optics,2020, 33（4）: 332-339.</w:t>
      </w:r>
    </w:p>
    <w:p w14:paraId="54773054">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[16] WANG Y, JIN C, WANG R, et al. Zernike mode analysis of an adaptive optics system for horizontal free-space laser communication[J]. Journal of Optics, 2021, 23（10）: 105701-1~105701-</w:t>
      </w:r>
      <w:r>
        <w:rPr>
          <w:rFonts w:hint="default" w:ascii="Times New Roman" w:hAnsi="Times New Roman"/>
          <w:color w:val="000000" w:themeColor="text1"/>
          <w:lang w:val="en-US"/>
          <w14:textFill>
            <w14:solidFill>
              <w14:schemeClr w14:val="tx1"/>
            </w14:solidFill>
          </w14:textFill>
        </w:rPr>
        <w:t>9</w:t>
      </w:r>
      <w:r>
        <w:rPr>
          <w:rFonts w:ascii="Times New Roman" w:hAnsi="Times New Roman"/>
          <w:color w:val="000000" w:themeColor="text1"/>
          <w14:textFill>
            <w14:solidFill>
              <w14:schemeClr w14:val="tx1"/>
            </w14:solidFill>
          </w14:textFill>
        </w:rPr>
        <w:t>.</w:t>
      </w:r>
    </w:p>
    <w:p w14:paraId="7B85E572">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[17] SONG C, LI S, GAO Y, et al. The enhancement effect of backscattering for laser propagation through turbulent atmosphere[C]//</w:t>
      </w:r>
      <w:r>
        <w:rPr>
          <w:rFonts w:hint="eastAsia" w:ascii="Times New Roman" w:hAnsi="Times New Roman"/>
          <w:color w:val="000000" w:themeColor="text1"/>
          <w:lang w:val="en-US" w:eastAsia="zh-CN"/>
          <w14:textFill>
            <w14:solidFill>
              <w14:schemeClr w14:val="tx1"/>
            </w14:solidFill>
          </w14:textFill>
        </w:rPr>
        <w:t>SPIE.</w:t>
      </w:r>
      <w:r>
        <w:rPr>
          <w:rFonts w:ascii="Times New Roman" w:hAnsi="Times New Roman"/>
          <w:color w:val="000000" w:themeColor="text1"/>
          <w14:textFill>
            <w14:solidFill>
              <w14:schemeClr w14:val="tx1"/>
            </w14:solidFill>
          </w14:textFill>
        </w:rPr>
        <w:t>Ninth Symposium on Novel Photoelectronic Detection Technology and Applications. New York</w:t>
      </w:r>
      <w:r>
        <w:rPr>
          <w:rFonts w:hint="eastAsia" w:ascii="Times New Roman" w:hAnsi="Times New Roman"/>
          <w:color w:val="000000" w:themeColor="text1"/>
          <w:lang w:eastAsia="zh-CN"/>
          <w14:textFill>
            <w14:solidFill>
              <w14:schemeClr w14:val="tx1"/>
            </w14:solidFill>
          </w14:textFill>
        </w:rPr>
        <w:t>：</w:t>
      </w:r>
      <w:r>
        <w:rPr>
          <w:rFonts w:ascii="Times New Roman" w:hAnsi="Times New Roman"/>
          <w:color w:val="000000" w:themeColor="text1"/>
          <w14:textFill>
            <w14:solidFill>
              <w14:schemeClr w14:val="tx1"/>
            </w14:solidFill>
          </w14:textFill>
        </w:rPr>
        <w:t>Curran</w:t>
      </w:r>
      <w:r>
        <w:rPr>
          <w:rFonts w:hint="default" w:ascii="Times New Roman" w:hAnsi="Times New Roman"/>
          <w:color w:val="000000" w:themeColor="text1"/>
          <w14:textFill>
            <w14:solidFill>
              <w14:schemeClr w14:val="tx1"/>
            </w14:solidFill>
          </w14:textFill>
        </w:rPr>
        <w:t> Associates Publications</w:t>
      </w:r>
      <w:r>
        <w:rPr>
          <w:rFonts w:ascii="Times New Roman" w:hAnsi="Times New Roman"/>
          <w:color w:val="000000" w:themeColor="text1"/>
          <w14:textFill>
            <w14:solidFill>
              <w14:schemeClr w14:val="tx1"/>
            </w14:solidFill>
          </w14:textFill>
        </w:rPr>
        <w:t>, 2023, 12617: 967-983.</w:t>
      </w:r>
    </w:p>
    <w:p w14:paraId="5AC04BEF">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[18] 张赐宝，钟立波，饶长辉. 基于波前传感器残差约束的成像光路静态像差检测方法[J]. 激光与光电子学进展，2024，61（14）：111-123.</w:t>
      </w:r>
    </w:p>
    <w:p w14:paraId="1E2E040A">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[19] 王涛，韩玺廷，李艳秋，等. 利用多方向差分Zernike多项式拟合的任意孔径波前重构[J]. 光学学报，2025，45（7）：213-226.</w:t>
      </w:r>
    </w:p>
    <w:p w14:paraId="665DC2E8">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[20] 范沁红，张庭瑞，马自勇，等. 一种改进的Zernike矩亚像素边缘检测算法[J]. 计算机仿真，2025，42（1）：172-177</w:t>
      </w:r>
      <w:r>
        <w:rPr>
          <w:rFonts w:hint="eastAsia" w:ascii="Times New Roman" w:hAnsi="Times New Roman"/>
          <w:color w:val="000000" w:themeColor="text1"/>
          <w14:textFill>
            <w14:solidFill>
              <w14:schemeClr w14:val="tx1"/>
            </w14:solidFill>
          </w14:textFill>
        </w:rPr>
        <w:t>，</w:t>
      </w:r>
      <w:r>
        <w:rPr>
          <w:rFonts w:ascii="Times New Roman" w:hAnsi="Times New Roman"/>
          <w:color w:val="000000" w:themeColor="text1"/>
          <w14:textFill>
            <w14:solidFill>
              <w14:schemeClr w14:val="tx1"/>
            </w14:solidFill>
          </w14:textFill>
        </w:rPr>
        <w:t>312.</w:t>
      </w:r>
    </w:p>
    <w:p w14:paraId="360B1EDD">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[21] 刘悦，朱均超. 基于改进Zernike矩的光斑图像亚像素边缘检测算法[J]. 激光杂志，2021，42（5）：32-35.</w:t>
      </w:r>
    </w:p>
    <w:p w14:paraId="63ABE34B">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[22] 杨兴宇，阮怀林. 基于时频图像Zernike矩特征的欺骗干扰识别[J]. 现代雷达，2018，40（2）：91-95.</w:t>
      </w:r>
    </w:p>
    <w:p w14:paraId="543B9A5F">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[23] 杨棉绒，牛丽平. 基于LGBM的Zernike特征选取及红外图像目标识别方法[J]. 红外与激光工程，2022，51（4）：415-420.</w:t>
      </w:r>
    </w:p>
    <w:p w14:paraId="0D9E1E75">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[24] 李英超，张庆，刘壮，等. 临近空间激光雷达自调焦接收系统设计[J]. 红外与激光工程，2024，53（4）：136-145.</w:t>
      </w:r>
    </w:p>
    <w:p w14:paraId="06033038">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[25] Porter, Jason,et al. Monochromatic aberrations of the human eye in a large population[J].  JOSA A, 2001,18（8）: 1793-1803.</w:t>
      </w:r>
    </w:p>
    <w:p w14:paraId="435D9349">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[26] FAZEKAS Z, LÓCSI L, SOUMELIDIS A, et al. Rational Zernike functions capture the rotations of the eye-ball[C] //</w:t>
      </w:r>
      <w:r>
        <w:rPr>
          <w:rFonts w:hint="eastAsia" w:ascii="Times New Roman" w:hAnsi="Times New Roman"/>
          <w:color w:val="000000" w:themeColor="text1"/>
          <w:lang w:val="en-US" w:eastAsia="zh-CN"/>
          <w14:textFill>
            <w14:solidFill>
              <w14:schemeClr w14:val="tx1"/>
            </w14:solidFill>
          </w14:textFill>
        </w:rPr>
        <w:t>ECMI.</w:t>
      </w:r>
      <w:r>
        <w:rPr>
          <w:rFonts w:hint="eastAsia" w:ascii="Times New Roman" w:hAnsi="Times New Roman"/>
          <w:color w:val="000000" w:themeColor="text1"/>
          <w14:textFill>
            <w14:solidFill>
              <w14:schemeClr w14:val="tx1"/>
            </w14:solidFill>
          </w14:textFill>
        </w:rPr>
        <w:t xml:space="preserve"> </w:t>
      </w:r>
      <w:r>
        <w:rPr>
          <w:rFonts w:ascii="Times New Roman" w:hAnsi="Times New Roman"/>
          <w:color w:val="000000" w:themeColor="text1"/>
          <w14:textFill>
            <w14:solidFill>
              <w14:schemeClr w14:val="tx1"/>
            </w14:solidFill>
          </w14:textFill>
        </w:rPr>
        <w:t>Progress in Industrial Mathematics at ECMI 2018.</w:t>
      </w:r>
      <w:r>
        <w:rPr>
          <w:rFonts w:hint="eastAsia" w:ascii="Times New Roman" w:hAnsi="Times New Roman"/>
          <w:color w:val="000000" w:themeColor="text1"/>
          <w:lang w:val="en-US" w:eastAsia="zh-CN"/>
          <w14:textFill>
            <w14:solidFill>
              <w14:schemeClr w14:val="tx1"/>
            </w14:solidFill>
          </w14:textFill>
        </w:rPr>
        <w:t>Cham:</w:t>
      </w:r>
      <w:r>
        <w:rPr>
          <w:rFonts w:ascii="Times New Roman" w:hAnsi="Times New Roman"/>
          <w:color w:val="000000" w:themeColor="text1"/>
          <w14:textFill>
            <w14:solidFill>
              <w14:schemeClr w14:val="tx1"/>
            </w14:solidFill>
          </w14:textFill>
        </w:rPr>
        <w:t>Springer International Publishing</w:t>
      </w:r>
      <w:r>
        <w:rPr>
          <w:rFonts w:hint="eastAsia" w:ascii="Times New Roman" w:hAnsi="Times New Roman"/>
          <w:color w:val="000000" w:themeColor="text1"/>
          <w:lang w:eastAsia="zh-CN"/>
          <w14:textFill>
            <w14:solidFill>
              <w14:schemeClr w14:val="tx1"/>
            </w14:solidFill>
          </w14:textFill>
        </w:rPr>
        <w:t>，</w:t>
      </w:r>
      <w:r>
        <w:rPr>
          <w:rFonts w:ascii="Times New Roman" w:hAnsi="Times New Roman"/>
          <w:color w:val="000000" w:themeColor="text1"/>
          <w14:textFill>
            <w14:solidFill>
              <w14:schemeClr w14:val="tx1"/>
            </w14:solidFill>
          </w14:textFill>
        </w:rPr>
        <w:t>2019（2）: 215-221.</w:t>
      </w:r>
    </w:p>
    <w:p w14:paraId="77E8212C">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[27] HU C, RAVIKUMAR A, HASTINGS G D, et al. Visual interaction of 2nd to 5th order Zernike aberration terms with vertical coma[J]. Ophthalmic and Physiological Optics, 2020, 40（5）:  669-679.</w:t>
      </w:r>
    </w:p>
    <w:p w14:paraId="1F4D8408">
      <w:pPr>
        <w:pStyle w:val="62"/>
        <w:spacing w:before="156" w:after="156" w:line="300" w:lineRule="exact"/>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[28] KHORIN P A, KHONINA S N. Simulation of the Human myopic eye cornea compensation based on the analysis of aberrometric data[J]. Vision, 2023, 7（1）: 21-38.</w:t>
      </w:r>
    </w:p>
    <w:p w14:paraId="7EC92C4C">
      <w:pPr>
        <w:pStyle w:val="62"/>
        <w:spacing w:before="156" w:after="0" w:afterLines="0" w:line="300" w:lineRule="exact"/>
        <w:jc w:val="both"/>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[29] MECHÓ-GARCÍA M, ARCAS-CARBONELL M, ORDUNA-HOSPITAL E, et al. The influence of accommodative demand on ocular aberrations: a study of zernike coefficients repeatability and variability[J]. Current Eye Research, 2024, 49（12）: 1237-1246.</w:t>
      </w:r>
    </w:p>
    <w:p w14:paraId="20E8BBE1">
      <w:pPr>
        <w:pStyle w:val="62"/>
        <w:spacing w:before="156" w:after="0" w:afterLines="0" w:line="300" w:lineRule="exact"/>
        <w:jc w:val="both"/>
        <w:outlineLvl w:val="1"/>
        <w:rPr>
          <w:rFonts w:ascii="Times New Roman" w:hAnsi="Times New Roman"/>
          <w:color w:val="000000" w:themeColor="text1"/>
          <w14:textFill>
            <w14:solidFill>
              <w14:schemeClr w14:val="tx1"/>
            </w14:solidFill>
          </w14:textFill>
        </w:rPr>
      </w:pPr>
    </w:p>
    <w:p w14:paraId="5D587A01">
      <w:pPr>
        <w:pStyle w:val="62"/>
        <w:spacing w:before="156" w:after="0" w:afterLines="0" w:line="300" w:lineRule="exact"/>
        <w:jc w:val="both"/>
        <w:outlineLvl w:val="1"/>
        <w:rPr>
          <w:rFonts w:ascii="黑体" w:hAnsi="黑体"/>
          <w:color w:val="000000" w:themeColor="text1"/>
          <w14:textFill>
            <w14:solidFill>
              <w14:schemeClr w14:val="tx1"/>
            </w14:solidFill>
          </w14:textFill>
        </w:rPr>
      </w:pPr>
      <w:r>
        <w:rPr>
          <w:rFonts w:hint="eastAsia" w:ascii="黑体" w:hAnsi="黑体"/>
          <w:color w:val="000000" w:themeColor="text1"/>
          <w14:textFill>
            <w14:solidFill>
              <w14:schemeClr w14:val="tx1"/>
            </w14:solidFill>
          </w14:textFill>
        </w:rPr>
        <w:t>收稿</w:t>
      </w:r>
      <w:r>
        <w:rPr>
          <w:rFonts w:ascii="黑体" w:hAnsi="黑体"/>
          <w:color w:val="000000" w:themeColor="text1"/>
          <w14:textFill>
            <w14:solidFill>
              <w14:schemeClr w14:val="tx1"/>
            </w14:solidFill>
          </w14:textFill>
        </w:rPr>
        <w:t>日期：</w:t>
      </w:r>
      <w:r>
        <w:rPr>
          <w:rFonts w:hint="eastAsia" w:ascii="黑体" w:hAnsi="黑体"/>
          <w:color w:val="000000" w:themeColor="text1"/>
          <w14:textFill>
            <w14:solidFill>
              <w14:schemeClr w14:val="tx1"/>
            </w14:solidFill>
          </w14:textFill>
        </w:rPr>
        <w:t>2025</w:t>
      </w:r>
      <w:r>
        <w:rPr>
          <w:rFonts w:ascii="黑体" w:hAnsi="黑体"/>
          <w:color w:val="000000" w:themeColor="text1"/>
          <w14:textFill>
            <w14:solidFill>
              <w14:schemeClr w14:val="tx1"/>
            </w14:solidFill>
          </w14:textFill>
        </w:rPr>
        <w:t>-04-08</w:t>
      </w:r>
      <w:r>
        <w:rPr>
          <w:rFonts w:hint="eastAsia" w:ascii="黑体" w:hAnsi="黑体"/>
          <w:color w:val="000000" w:themeColor="text1"/>
          <w14:textFill>
            <w14:solidFill>
              <w14:schemeClr w14:val="tx1"/>
            </w14:solidFill>
          </w14:textFill>
        </w:rPr>
        <w:t>。</w:t>
      </w:r>
    </w:p>
    <w:p w14:paraId="06116BF7">
      <w:pPr>
        <w:pStyle w:val="65"/>
        <w:spacing w:line="360" w:lineRule="exact"/>
        <w:ind w:firstLine="0" w:firstLineChars="0"/>
        <w:rPr>
          <w:rFonts w:ascii="Times New Roman" w:hAnsi="Times New Roman"/>
          <w:color w:val="000000" w:themeColor="text1"/>
          <w14:textFill>
            <w14:solidFill>
              <w14:schemeClr w14:val="tx1"/>
            </w14:solidFill>
          </w14:textFill>
        </w:rPr>
      </w:pPr>
      <w:r>
        <w:rPr>
          <w:rFonts w:hint="eastAsia" w:ascii="Times New Roman" w:hAnsi="Times New Roman"/>
          <w:b/>
          <w:color w:val="000000" w:themeColor="text1"/>
          <w14:textFill>
            <w14:solidFill>
              <w14:schemeClr w14:val="tx1"/>
            </w14:solidFill>
          </w14:textFill>
        </w:rPr>
        <w:t>基金项目</w:t>
      </w:r>
      <w:r>
        <w:rPr>
          <w:rFonts w:hint="eastAsia" w:ascii="Times New Roman" w:hAnsi="Times New Roman"/>
          <w:color w:val="000000" w:themeColor="text1"/>
          <w14:textFill>
            <w14:solidFill>
              <w14:schemeClr w14:val="tx1"/>
            </w14:solidFill>
          </w14:textFill>
        </w:rPr>
        <w:t>: 国家自然科学基金（批准号：1377080</w:t>
      </w:r>
      <w:r>
        <w:rPr>
          <w:rFonts w:hint="eastAsia" w:ascii="Times New Roman" w:hAnsi="Times New Roman"/>
          <w:color w:val="000000" w:themeColor="text1"/>
          <w:sz w:val="20"/>
          <w:szCs w:val="20"/>
          <w14:textFill>
            <w14:solidFill>
              <w14:schemeClr w14:val="tx1"/>
            </w14:solidFill>
          </w14:textFill>
        </w:rPr>
        <w:t>）</w:t>
      </w:r>
      <w:r>
        <w:rPr>
          <w:rFonts w:hint="eastAsia" w:ascii="Times New Roman" w:hAnsi="Times New Roman"/>
          <w:color w:val="000000" w:themeColor="text1"/>
          <w14:textFill>
            <w14:solidFill>
              <w14:schemeClr w14:val="tx1"/>
            </w14:solidFill>
          </w14:textFill>
        </w:rPr>
        <w:t>与陕西省重点产业创新项目（批准号：2017ZDCXL-GY-06-01）资助。</w:t>
      </w:r>
    </w:p>
    <w:p w14:paraId="632B9AAA">
      <w:pPr>
        <w:pStyle w:val="65"/>
        <w:spacing w:line="360" w:lineRule="exact"/>
        <w:ind w:firstLine="0" w:firstLineChars="0"/>
        <w:rPr>
          <w:rFonts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drawing>
          <wp:anchor distT="0" distB="0" distL="114300" distR="114300" simplePos="0" relativeHeight="251659264" behindDoc="1" locked="0" layoutInCell="1" allowOverlap="1">
            <wp:simplePos x="0" y="0"/>
            <wp:positionH relativeFrom="margin">
              <wp:align>right</wp:align>
            </wp:positionH>
            <wp:positionV relativeFrom="paragraph">
              <wp:posOffset>10795</wp:posOffset>
            </wp:positionV>
            <wp:extent cx="720090" cy="1112520"/>
            <wp:effectExtent l="0" t="0" r="4445" b="0"/>
            <wp:wrapTight wrapText="bothSides">
              <wp:wrapPolygon>
                <wp:start x="0" y="0"/>
                <wp:lineTo x="0" y="21094"/>
                <wp:lineTo x="21162" y="21094"/>
                <wp:lineTo x="21162" y="0"/>
                <wp:lineTo x="0" y="0"/>
              </wp:wrapPolygon>
            </wp:wrapTight>
            <wp:docPr id="8660821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082162" name="图片 1"/>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0"/>
                      <a:ext cx="720000" cy="1112400"/>
                    </a:xfrm>
                    <a:prstGeom prst="rect">
                      <a:avLst/>
                    </a:prstGeom>
                  </pic:spPr>
                </pic:pic>
              </a:graphicData>
            </a:graphic>
          </wp:anchor>
        </w:drawing>
      </w:r>
      <w:r>
        <w:rPr>
          <w:rFonts w:hint="eastAsia" w:ascii="Times New Roman" w:hAnsi="Times New Roman"/>
          <w:b/>
          <w:color w:val="000000" w:themeColor="text1"/>
          <w14:textFill>
            <w14:solidFill>
              <w14:schemeClr w14:val="tx1"/>
            </w14:solidFill>
          </w14:textFill>
        </w:rPr>
        <w:t>作者简介：</w:t>
      </w:r>
      <w:r>
        <w:rPr>
          <w:rFonts w:hint="eastAsia" w:ascii="Times New Roman" w:hAnsi="Times New Roman"/>
          <w:color w:val="000000" w:themeColor="text1"/>
          <w14:textFill>
            <w14:solidFill>
              <w14:schemeClr w14:val="tx1"/>
            </w14:solidFill>
          </w14:textFill>
        </w:rPr>
        <w:t>祝战科（1968—），男，教授，高级工程师、咸阳市智能制造装备技术重点实验室主任、陕西省机械工程学会数控自动化分会理事。主要研究方向为光机电一体化装备技术研究。主持获得国家教学成果二等奖1项、陕西省人民政府教学成果一等奖1项、陕西省机械工程学会科技成果二等奖1项等。</w:t>
      </w:r>
    </w:p>
    <w:p w14:paraId="100ACBA3">
      <w:pPr>
        <w:pStyle w:val="65"/>
        <w:spacing w:after="156" w:afterLines="50" w:line="360" w:lineRule="exact"/>
        <w:ind w:firstLine="0" w:firstLineChars="0"/>
        <w:rPr>
          <w:rFonts w:ascii="Times New Roman" w:hAnsi="Times New Roman"/>
          <w:b/>
          <w:color w:val="000000" w:themeColor="text1"/>
          <w14:textFill>
            <w14:solidFill>
              <w14:schemeClr w14:val="tx1"/>
            </w14:solidFill>
          </w14:textFill>
        </w:rPr>
      </w:pPr>
    </w:p>
    <w:p w14:paraId="0B0C6BA4">
      <w:pPr>
        <w:pStyle w:val="65"/>
        <w:ind w:firstLine="0" w:firstLineChars="0"/>
        <w:jc w:val="left"/>
        <w:rPr>
          <w:rFonts w:ascii="Times New Roman" w:hAnsi="Times New Roman"/>
          <w:color w:val="000000" w:themeColor="text1"/>
          <w14:textFill>
            <w14:solidFill>
              <w14:schemeClr w14:val="tx1"/>
            </w14:solidFill>
          </w14:textFill>
        </w:rPr>
      </w:pPr>
    </w:p>
    <w:p w14:paraId="5C014A52">
      <w:pPr>
        <w:pStyle w:val="65"/>
        <w:spacing w:line="360" w:lineRule="exact"/>
        <w:ind w:firstLine="0" w:firstLineChars="0"/>
        <w:rPr>
          <w:rFonts w:ascii="Times New Roman" w:hAnsi="Times New Roman"/>
          <w:color w:val="000000" w:themeColor="text1"/>
          <w14:textFill>
            <w14:solidFill>
              <w14:schemeClr w14:val="tx1"/>
            </w14:solidFill>
          </w14:textFill>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Segoe UI">
    <w:panose1 w:val="020B0502040204020203"/>
    <w:charset w:val="00"/>
    <w:family w:val="swiss"/>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FC071">
    <w:pPr>
      <w:pStyle w:val="16"/>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90258">
    <w:pPr>
      <w:pStyle w:val="1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E0F39">
    <w:pPr>
      <w:pStyle w:val="16"/>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FBCB8">
    <w:pPr>
      <w:pStyle w:val="1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441EB">
    <w:pPr>
      <w:pStyle w:val="1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0475D">
    <w:pPr>
      <w:pStyle w:val="17"/>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4E8"/>
    <w:rsid w:val="000000D5"/>
    <w:rsid w:val="0000066C"/>
    <w:rsid w:val="00001970"/>
    <w:rsid w:val="00002F73"/>
    <w:rsid w:val="000036CA"/>
    <w:rsid w:val="000038D7"/>
    <w:rsid w:val="00006404"/>
    <w:rsid w:val="000065CD"/>
    <w:rsid w:val="00010BAE"/>
    <w:rsid w:val="000111F3"/>
    <w:rsid w:val="00012D4A"/>
    <w:rsid w:val="00016541"/>
    <w:rsid w:val="00017C88"/>
    <w:rsid w:val="00017E0B"/>
    <w:rsid w:val="00022721"/>
    <w:rsid w:val="00023D87"/>
    <w:rsid w:val="00025A8F"/>
    <w:rsid w:val="00026AB0"/>
    <w:rsid w:val="0003222C"/>
    <w:rsid w:val="0003489B"/>
    <w:rsid w:val="0003620E"/>
    <w:rsid w:val="00036E3C"/>
    <w:rsid w:val="00037CF6"/>
    <w:rsid w:val="00041D74"/>
    <w:rsid w:val="00044BB2"/>
    <w:rsid w:val="00047CE9"/>
    <w:rsid w:val="0005097C"/>
    <w:rsid w:val="000513C5"/>
    <w:rsid w:val="0005400A"/>
    <w:rsid w:val="0006197D"/>
    <w:rsid w:val="00061F1B"/>
    <w:rsid w:val="000620D8"/>
    <w:rsid w:val="00062C2B"/>
    <w:rsid w:val="00062E7B"/>
    <w:rsid w:val="00064B4E"/>
    <w:rsid w:val="00066172"/>
    <w:rsid w:val="00067440"/>
    <w:rsid w:val="00067521"/>
    <w:rsid w:val="00070C16"/>
    <w:rsid w:val="00072B2C"/>
    <w:rsid w:val="00072CFC"/>
    <w:rsid w:val="00072DD8"/>
    <w:rsid w:val="00074828"/>
    <w:rsid w:val="000751C6"/>
    <w:rsid w:val="00075C0E"/>
    <w:rsid w:val="00075E2F"/>
    <w:rsid w:val="00076883"/>
    <w:rsid w:val="000778E2"/>
    <w:rsid w:val="00082E1C"/>
    <w:rsid w:val="00084F74"/>
    <w:rsid w:val="000866D2"/>
    <w:rsid w:val="00086D0D"/>
    <w:rsid w:val="000871AD"/>
    <w:rsid w:val="00090145"/>
    <w:rsid w:val="00091F44"/>
    <w:rsid w:val="00095232"/>
    <w:rsid w:val="000A0FC3"/>
    <w:rsid w:val="000A2619"/>
    <w:rsid w:val="000A2AA2"/>
    <w:rsid w:val="000A35B7"/>
    <w:rsid w:val="000A431C"/>
    <w:rsid w:val="000A7AA7"/>
    <w:rsid w:val="000B0E69"/>
    <w:rsid w:val="000B1F30"/>
    <w:rsid w:val="000B29C6"/>
    <w:rsid w:val="000B3DCE"/>
    <w:rsid w:val="000B3EE3"/>
    <w:rsid w:val="000B3EF4"/>
    <w:rsid w:val="000C03E7"/>
    <w:rsid w:val="000C04A4"/>
    <w:rsid w:val="000C1164"/>
    <w:rsid w:val="000C329E"/>
    <w:rsid w:val="000C4404"/>
    <w:rsid w:val="000C6060"/>
    <w:rsid w:val="000C773E"/>
    <w:rsid w:val="000C796A"/>
    <w:rsid w:val="000D1F37"/>
    <w:rsid w:val="000D23F7"/>
    <w:rsid w:val="000D2511"/>
    <w:rsid w:val="000D29E3"/>
    <w:rsid w:val="000D2D40"/>
    <w:rsid w:val="000D2EC2"/>
    <w:rsid w:val="000D6ECA"/>
    <w:rsid w:val="000D73FF"/>
    <w:rsid w:val="000E0502"/>
    <w:rsid w:val="000E55D6"/>
    <w:rsid w:val="000F0D01"/>
    <w:rsid w:val="000F0D71"/>
    <w:rsid w:val="000F2D34"/>
    <w:rsid w:val="000F34E8"/>
    <w:rsid w:val="000F36E1"/>
    <w:rsid w:val="000F5A73"/>
    <w:rsid w:val="000F6CF8"/>
    <w:rsid w:val="000F72D2"/>
    <w:rsid w:val="00102D18"/>
    <w:rsid w:val="00105594"/>
    <w:rsid w:val="0010689D"/>
    <w:rsid w:val="00106DC6"/>
    <w:rsid w:val="00107D88"/>
    <w:rsid w:val="0011270B"/>
    <w:rsid w:val="0011279A"/>
    <w:rsid w:val="0011321B"/>
    <w:rsid w:val="00114C86"/>
    <w:rsid w:val="0011604A"/>
    <w:rsid w:val="0012012E"/>
    <w:rsid w:val="0012217D"/>
    <w:rsid w:val="001232D3"/>
    <w:rsid w:val="001243BF"/>
    <w:rsid w:val="00124715"/>
    <w:rsid w:val="00125F40"/>
    <w:rsid w:val="001275B7"/>
    <w:rsid w:val="00127C2A"/>
    <w:rsid w:val="001304DB"/>
    <w:rsid w:val="00130884"/>
    <w:rsid w:val="00132400"/>
    <w:rsid w:val="00132667"/>
    <w:rsid w:val="00133A1D"/>
    <w:rsid w:val="0013512D"/>
    <w:rsid w:val="00136E58"/>
    <w:rsid w:val="00137042"/>
    <w:rsid w:val="00137E53"/>
    <w:rsid w:val="001406A5"/>
    <w:rsid w:val="0014190D"/>
    <w:rsid w:val="00142A90"/>
    <w:rsid w:val="001431F3"/>
    <w:rsid w:val="00143864"/>
    <w:rsid w:val="001438DF"/>
    <w:rsid w:val="00144C4B"/>
    <w:rsid w:val="001456E2"/>
    <w:rsid w:val="001474E7"/>
    <w:rsid w:val="00147619"/>
    <w:rsid w:val="001476BC"/>
    <w:rsid w:val="00147824"/>
    <w:rsid w:val="001517C7"/>
    <w:rsid w:val="0015332B"/>
    <w:rsid w:val="0015601A"/>
    <w:rsid w:val="00157F68"/>
    <w:rsid w:val="0016070E"/>
    <w:rsid w:val="001619E4"/>
    <w:rsid w:val="0016303E"/>
    <w:rsid w:val="00163347"/>
    <w:rsid w:val="00163794"/>
    <w:rsid w:val="00165776"/>
    <w:rsid w:val="0016698A"/>
    <w:rsid w:val="00166E93"/>
    <w:rsid w:val="0016729E"/>
    <w:rsid w:val="00167341"/>
    <w:rsid w:val="001711C4"/>
    <w:rsid w:val="00171459"/>
    <w:rsid w:val="00176387"/>
    <w:rsid w:val="00176EED"/>
    <w:rsid w:val="001775B6"/>
    <w:rsid w:val="001776D1"/>
    <w:rsid w:val="001827A9"/>
    <w:rsid w:val="00182A7A"/>
    <w:rsid w:val="001849E6"/>
    <w:rsid w:val="0019141B"/>
    <w:rsid w:val="00192ADB"/>
    <w:rsid w:val="0019770C"/>
    <w:rsid w:val="001A00EC"/>
    <w:rsid w:val="001A01E6"/>
    <w:rsid w:val="001A1722"/>
    <w:rsid w:val="001A2063"/>
    <w:rsid w:val="001A2521"/>
    <w:rsid w:val="001A5EDC"/>
    <w:rsid w:val="001A6200"/>
    <w:rsid w:val="001A685D"/>
    <w:rsid w:val="001B086A"/>
    <w:rsid w:val="001B0F3D"/>
    <w:rsid w:val="001B1EE7"/>
    <w:rsid w:val="001B29C3"/>
    <w:rsid w:val="001B2C21"/>
    <w:rsid w:val="001B3516"/>
    <w:rsid w:val="001B47BC"/>
    <w:rsid w:val="001C1CE3"/>
    <w:rsid w:val="001C1F5D"/>
    <w:rsid w:val="001C3306"/>
    <w:rsid w:val="001C52A9"/>
    <w:rsid w:val="001C549E"/>
    <w:rsid w:val="001C587F"/>
    <w:rsid w:val="001C6531"/>
    <w:rsid w:val="001C7904"/>
    <w:rsid w:val="001D206F"/>
    <w:rsid w:val="001D3444"/>
    <w:rsid w:val="001D4B70"/>
    <w:rsid w:val="001D5CD8"/>
    <w:rsid w:val="001E09B8"/>
    <w:rsid w:val="001E375E"/>
    <w:rsid w:val="001E4BAA"/>
    <w:rsid w:val="001E7A58"/>
    <w:rsid w:val="001F1C28"/>
    <w:rsid w:val="001F23DD"/>
    <w:rsid w:val="001F382B"/>
    <w:rsid w:val="001F4523"/>
    <w:rsid w:val="001F5041"/>
    <w:rsid w:val="001F62EB"/>
    <w:rsid w:val="001F68C9"/>
    <w:rsid w:val="00200326"/>
    <w:rsid w:val="0020106C"/>
    <w:rsid w:val="00201B82"/>
    <w:rsid w:val="002054BA"/>
    <w:rsid w:val="00205E44"/>
    <w:rsid w:val="002062C1"/>
    <w:rsid w:val="00207283"/>
    <w:rsid w:val="002119D4"/>
    <w:rsid w:val="00211D02"/>
    <w:rsid w:val="002120C0"/>
    <w:rsid w:val="00213B57"/>
    <w:rsid w:val="002168A6"/>
    <w:rsid w:val="00216A0D"/>
    <w:rsid w:val="00217EE2"/>
    <w:rsid w:val="00220BBB"/>
    <w:rsid w:val="002212AE"/>
    <w:rsid w:val="002217DB"/>
    <w:rsid w:val="00222ADC"/>
    <w:rsid w:val="002271BE"/>
    <w:rsid w:val="00227CC9"/>
    <w:rsid w:val="0023529B"/>
    <w:rsid w:val="00236EB4"/>
    <w:rsid w:val="0023739E"/>
    <w:rsid w:val="0024157C"/>
    <w:rsid w:val="002422F6"/>
    <w:rsid w:val="002427C5"/>
    <w:rsid w:val="00243B4E"/>
    <w:rsid w:val="002445F1"/>
    <w:rsid w:val="00250A2F"/>
    <w:rsid w:val="00250B18"/>
    <w:rsid w:val="0025195F"/>
    <w:rsid w:val="002520CB"/>
    <w:rsid w:val="00254AC5"/>
    <w:rsid w:val="0025508C"/>
    <w:rsid w:val="002550BF"/>
    <w:rsid w:val="002569A4"/>
    <w:rsid w:val="00257475"/>
    <w:rsid w:val="002578E2"/>
    <w:rsid w:val="00257F4A"/>
    <w:rsid w:val="002602ED"/>
    <w:rsid w:val="00261033"/>
    <w:rsid w:val="00264667"/>
    <w:rsid w:val="00264C22"/>
    <w:rsid w:val="00265218"/>
    <w:rsid w:val="00265292"/>
    <w:rsid w:val="00271A0D"/>
    <w:rsid w:val="00273F7E"/>
    <w:rsid w:val="002742BF"/>
    <w:rsid w:val="0027646D"/>
    <w:rsid w:val="0028107C"/>
    <w:rsid w:val="00281BBB"/>
    <w:rsid w:val="0028234E"/>
    <w:rsid w:val="00284A1E"/>
    <w:rsid w:val="002861DB"/>
    <w:rsid w:val="0028765B"/>
    <w:rsid w:val="00290A3A"/>
    <w:rsid w:val="0029145A"/>
    <w:rsid w:val="002936BB"/>
    <w:rsid w:val="00293D33"/>
    <w:rsid w:val="00293F7D"/>
    <w:rsid w:val="00294A28"/>
    <w:rsid w:val="002A0DB4"/>
    <w:rsid w:val="002A347C"/>
    <w:rsid w:val="002A3A2D"/>
    <w:rsid w:val="002A558F"/>
    <w:rsid w:val="002A58D3"/>
    <w:rsid w:val="002A6B81"/>
    <w:rsid w:val="002A6DD2"/>
    <w:rsid w:val="002B0DC7"/>
    <w:rsid w:val="002B1AA1"/>
    <w:rsid w:val="002B3514"/>
    <w:rsid w:val="002B3C6D"/>
    <w:rsid w:val="002B6DA7"/>
    <w:rsid w:val="002B718D"/>
    <w:rsid w:val="002B7C04"/>
    <w:rsid w:val="002C0185"/>
    <w:rsid w:val="002C2B12"/>
    <w:rsid w:val="002C2E4E"/>
    <w:rsid w:val="002C33D7"/>
    <w:rsid w:val="002C36CB"/>
    <w:rsid w:val="002C41F0"/>
    <w:rsid w:val="002C4874"/>
    <w:rsid w:val="002C576F"/>
    <w:rsid w:val="002C7AF7"/>
    <w:rsid w:val="002D2311"/>
    <w:rsid w:val="002D2B44"/>
    <w:rsid w:val="002D3308"/>
    <w:rsid w:val="002D56BD"/>
    <w:rsid w:val="002D6755"/>
    <w:rsid w:val="002D6A67"/>
    <w:rsid w:val="002E017F"/>
    <w:rsid w:val="002E2394"/>
    <w:rsid w:val="002E28A5"/>
    <w:rsid w:val="002E3499"/>
    <w:rsid w:val="002E4455"/>
    <w:rsid w:val="002E4764"/>
    <w:rsid w:val="002E70D6"/>
    <w:rsid w:val="002E75DB"/>
    <w:rsid w:val="002E7667"/>
    <w:rsid w:val="002F089C"/>
    <w:rsid w:val="002F140E"/>
    <w:rsid w:val="002F141E"/>
    <w:rsid w:val="002F18CE"/>
    <w:rsid w:val="002F328D"/>
    <w:rsid w:val="002F3469"/>
    <w:rsid w:val="002F3A46"/>
    <w:rsid w:val="002F4514"/>
    <w:rsid w:val="002F47C2"/>
    <w:rsid w:val="002F4DC4"/>
    <w:rsid w:val="002F57F1"/>
    <w:rsid w:val="002F5D7A"/>
    <w:rsid w:val="002F7F11"/>
    <w:rsid w:val="00301FDD"/>
    <w:rsid w:val="003024D0"/>
    <w:rsid w:val="003053B3"/>
    <w:rsid w:val="00305751"/>
    <w:rsid w:val="003124D2"/>
    <w:rsid w:val="0031337C"/>
    <w:rsid w:val="00322194"/>
    <w:rsid w:val="00322975"/>
    <w:rsid w:val="0032427F"/>
    <w:rsid w:val="00325872"/>
    <w:rsid w:val="00325E3A"/>
    <w:rsid w:val="003265BC"/>
    <w:rsid w:val="00327474"/>
    <w:rsid w:val="00327DDF"/>
    <w:rsid w:val="00330677"/>
    <w:rsid w:val="00330ECA"/>
    <w:rsid w:val="003362CA"/>
    <w:rsid w:val="00337982"/>
    <w:rsid w:val="003423B9"/>
    <w:rsid w:val="00343091"/>
    <w:rsid w:val="00343964"/>
    <w:rsid w:val="00346081"/>
    <w:rsid w:val="00346440"/>
    <w:rsid w:val="003511E5"/>
    <w:rsid w:val="00351997"/>
    <w:rsid w:val="003523B6"/>
    <w:rsid w:val="0035670D"/>
    <w:rsid w:val="00361B60"/>
    <w:rsid w:val="0036276D"/>
    <w:rsid w:val="003659C4"/>
    <w:rsid w:val="00365DF6"/>
    <w:rsid w:val="003676A9"/>
    <w:rsid w:val="00367A0E"/>
    <w:rsid w:val="003708EC"/>
    <w:rsid w:val="00371681"/>
    <w:rsid w:val="003719A4"/>
    <w:rsid w:val="00372970"/>
    <w:rsid w:val="00372E7C"/>
    <w:rsid w:val="00372EB8"/>
    <w:rsid w:val="00373D25"/>
    <w:rsid w:val="00375840"/>
    <w:rsid w:val="00375D23"/>
    <w:rsid w:val="003763D1"/>
    <w:rsid w:val="00376A51"/>
    <w:rsid w:val="00377B4C"/>
    <w:rsid w:val="003804C0"/>
    <w:rsid w:val="003810BF"/>
    <w:rsid w:val="003833D0"/>
    <w:rsid w:val="00383CC5"/>
    <w:rsid w:val="00384699"/>
    <w:rsid w:val="00387FDE"/>
    <w:rsid w:val="00391838"/>
    <w:rsid w:val="003957F3"/>
    <w:rsid w:val="00395BF2"/>
    <w:rsid w:val="003965B0"/>
    <w:rsid w:val="00396F48"/>
    <w:rsid w:val="00397752"/>
    <w:rsid w:val="003A078F"/>
    <w:rsid w:val="003A1B04"/>
    <w:rsid w:val="003A1D52"/>
    <w:rsid w:val="003A2EA2"/>
    <w:rsid w:val="003A34D6"/>
    <w:rsid w:val="003A3E9B"/>
    <w:rsid w:val="003A61EC"/>
    <w:rsid w:val="003A7067"/>
    <w:rsid w:val="003B28FC"/>
    <w:rsid w:val="003B389A"/>
    <w:rsid w:val="003B3F1C"/>
    <w:rsid w:val="003B69D1"/>
    <w:rsid w:val="003B6D08"/>
    <w:rsid w:val="003B70DF"/>
    <w:rsid w:val="003C0C21"/>
    <w:rsid w:val="003C2D90"/>
    <w:rsid w:val="003C5C5A"/>
    <w:rsid w:val="003C68B2"/>
    <w:rsid w:val="003C75AD"/>
    <w:rsid w:val="003D0963"/>
    <w:rsid w:val="003D31B6"/>
    <w:rsid w:val="003D4666"/>
    <w:rsid w:val="003D5331"/>
    <w:rsid w:val="003D5C5C"/>
    <w:rsid w:val="003D7C96"/>
    <w:rsid w:val="003E099D"/>
    <w:rsid w:val="003E0D46"/>
    <w:rsid w:val="003E26B9"/>
    <w:rsid w:val="003E3819"/>
    <w:rsid w:val="003E635F"/>
    <w:rsid w:val="003E6A77"/>
    <w:rsid w:val="003E70B3"/>
    <w:rsid w:val="003E78FB"/>
    <w:rsid w:val="003E7950"/>
    <w:rsid w:val="003F1598"/>
    <w:rsid w:val="003F2C00"/>
    <w:rsid w:val="003F62BA"/>
    <w:rsid w:val="003F6E69"/>
    <w:rsid w:val="003F73C7"/>
    <w:rsid w:val="00400A47"/>
    <w:rsid w:val="00400FF5"/>
    <w:rsid w:val="004018D9"/>
    <w:rsid w:val="00405764"/>
    <w:rsid w:val="00405F4E"/>
    <w:rsid w:val="004067EA"/>
    <w:rsid w:val="004132FD"/>
    <w:rsid w:val="00414A79"/>
    <w:rsid w:val="0041719B"/>
    <w:rsid w:val="00417390"/>
    <w:rsid w:val="004211E5"/>
    <w:rsid w:val="00423972"/>
    <w:rsid w:val="004249C7"/>
    <w:rsid w:val="0042501B"/>
    <w:rsid w:val="004253A7"/>
    <w:rsid w:val="00430125"/>
    <w:rsid w:val="00431C2D"/>
    <w:rsid w:val="004321EA"/>
    <w:rsid w:val="00432A0E"/>
    <w:rsid w:val="00432CDB"/>
    <w:rsid w:val="00432DFE"/>
    <w:rsid w:val="004343AA"/>
    <w:rsid w:val="00436130"/>
    <w:rsid w:val="00436C3A"/>
    <w:rsid w:val="00436E35"/>
    <w:rsid w:val="004375A3"/>
    <w:rsid w:val="00437E03"/>
    <w:rsid w:val="004400D8"/>
    <w:rsid w:val="004416E0"/>
    <w:rsid w:val="00447D74"/>
    <w:rsid w:val="00447E36"/>
    <w:rsid w:val="004505A0"/>
    <w:rsid w:val="00451148"/>
    <w:rsid w:val="00451C6B"/>
    <w:rsid w:val="00452887"/>
    <w:rsid w:val="0045524F"/>
    <w:rsid w:val="00456B30"/>
    <w:rsid w:val="00457D6A"/>
    <w:rsid w:val="0046036C"/>
    <w:rsid w:val="0046147F"/>
    <w:rsid w:val="0046182A"/>
    <w:rsid w:val="00465093"/>
    <w:rsid w:val="00465845"/>
    <w:rsid w:val="00466ABC"/>
    <w:rsid w:val="00467801"/>
    <w:rsid w:val="0047152A"/>
    <w:rsid w:val="00471C80"/>
    <w:rsid w:val="00472715"/>
    <w:rsid w:val="00474037"/>
    <w:rsid w:val="00474742"/>
    <w:rsid w:val="0047749B"/>
    <w:rsid w:val="004779E1"/>
    <w:rsid w:val="00480B84"/>
    <w:rsid w:val="00480C10"/>
    <w:rsid w:val="00480F22"/>
    <w:rsid w:val="0048100F"/>
    <w:rsid w:val="00482111"/>
    <w:rsid w:val="004826B1"/>
    <w:rsid w:val="0048383D"/>
    <w:rsid w:val="004845DC"/>
    <w:rsid w:val="00484C55"/>
    <w:rsid w:val="00491EE6"/>
    <w:rsid w:val="00496DC7"/>
    <w:rsid w:val="004975D4"/>
    <w:rsid w:val="004A0326"/>
    <w:rsid w:val="004A5908"/>
    <w:rsid w:val="004B02E1"/>
    <w:rsid w:val="004B094B"/>
    <w:rsid w:val="004B0E36"/>
    <w:rsid w:val="004B1815"/>
    <w:rsid w:val="004B24FF"/>
    <w:rsid w:val="004B2618"/>
    <w:rsid w:val="004B2D26"/>
    <w:rsid w:val="004B4303"/>
    <w:rsid w:val="004B5B1B"/>
    <w:rsid w:val="004C1CE5"/>
    <w:rsid w:val="004C1E31"/>
    <w:rsid w:val="004C2899"/>
    <w:rsid w:val="004C43EE"/>
    <w:rsid w:val="004C49C5"/>
    <w:rsid w:val="004D05CF"/>
    <w:rsid w:val="004D2612"/>
    <w:rsid w:val="004D41D8"/>
    <w:rsid w:val="004D4ACA"/>
    <w:rsid w:val="004D6DB3"/>
    <w:rsid w:val="004D7FEF"/>
    <w:rsid w:val="004E06FC"/>
    <w:rsid w:val="004E1E39"/>
    <w:rsid w:val="004E2B81"/>
    <w:rsid w:val="004E5FA2"/>
    <w:rsid w:val="004E6600"/>
    <w:rsid w:val="004E783E"/>
    <w:rsid w:val="004F015A"/>
    <w:rsid w:val="004F6FCB"/>
    <w:rsid w:val="00500687"/>
    <w:rsid w:val="00501662"/>
    <w:rsid w:val="0050263B"/>
    <w:rsid w:val="00502832"/>
    <w:rsid w:val="00502BBD"/>
    <w:rsid w:val="00502E97"/>
    <w:rsid w:val="00503135"/>
    <w:rsid w:val="005035BD"/>
    <w:rsid w:val="005038E5"/>
    <w:rsid w:val="00503D06"/>
    <w:rsid w:val="005051C7"/>
    <w:rsid w:val="005066E7"/>
    <w:rsid w:val="005067D9"/>
    <w:rsid w:val="0051134B"/>
    <w:rsid w:val="00512FFC"/>
    <w:rsid w:val="00513571"/>
    <w:rsid w:val="00513BC7"/>
    <w:rsid w:val="005209EF"/>
    <w:rsid w:val="0052103C"/>
    <w:rsid w:val="00524D53"/>
    <w:rsid w:val="005262AE"/>
    <w:rsid w:val="0052664E"/>
    <w:rsid w:val="00526B47"/>
    <w:rsid w:val="005315A1"/>
    <w:rsid w:val="0053228F"/>
    <w:rsid w:val="0053277A"/>
    <w:rsid w:val="00537014"/>
    <w:rsid w:val="00540DE3"/>
    <w:rsid w:val="005417D8"/>
    <w:rsid w:val="005422AF"/>
    <w:rsid w:val="0054280C"/>
    <w:rsid w:val="0054527B"/>
    <w:rsid w:val="00545C76"/>
    <w:rsid w:val="005461B5"/>
    <w:rsid w:val="00546289"/>
    <w:rsid w:val="005463EB"/>
    <w:rsid w:val="00546DAF"/>
    <w:rsid w:val="00550977"/>
    <w:rsid w:val="00550B8B"/>
    <w:rsid w:val="005528BB"/>
    <w:rsid w:val="00552AFD"/>
    <w:rsid w:val="00553097"/>
    <w:rsid w:val="00561209"/>
    <w:rsid w:val="00566156"/>
    <w:rsid w:val="00566513"/>
    <w:rsid w:val="00566D63"/>
    <w:rsid w:val="005672DD"/>
    <w:rsid w:val="0057038F"/>
    <w:rsid w:val="005741A6"/>
    <w:rsid w:val="005741F6"/>
    <w:rsid w:val="00574A46"/>
    <w:rsid w:val="00574F7A"/>
    <w:rsid w:val="00575C04"/>
    <w:rsid w:val="00575EFD"/>
    <w:rsid w:val="00575F5C"/>
    <w:rsid w:val="00580D4D"/>
    <w:rsid w:val="00580F50"/>
    <w:rsid w:val="00583550"/>
    <w:rsid w:val="005835CC"/>
    <w:rsid w:val="005839EB"/>
    <w:rsid w:val="005843A7"/>
    <w:rsid w:val="0058539F"/>
    <w:rsid w:val="00585C62"/>
    <w:rsid w:val="005870EA"/>
    <w:rsid w:val="00587FF3"/>
    <w:rsid w:val="00593887"/>
    <w:rsid w:val="00596006"/>
    <w:rsid w:val="0059666D"/>
    <w:rsid w:val="005A04EB"/>
    <w:rsid w:val="005A0555"/>
    <w:rsid w:val="005A2DDC"/>
    <w:rsid w:val="005A5C3C"/>
    <w:rsid w:val="005A6A7D"/>
    <w:rsid w:val="005A7789"/>
    <w:rsid w:val="005B03C2"/>
    <w:rsid w:val="005B1900"/>
    <w:rsid w:val="005B25F8"/>
    <w:rsid w:val="005B3152"/>
    <w:rsid w:val="005B55B0"/>
    <w:rsid w:val="005B572B"/>
    <w:rsid w:val="005B5F76"/>
    <w:rsid w:val="005B631E"/>
    <w:rsid w:val="005B7DE8"/>
    <w:rsid w:val="005B7EE4"/>
    <w:rsid w:val="005C1B47"/>
    <w:rsid w:val="005C1E8B"/>
    <w:rsid w:val="005C4371"/>
    <w:rsid w:val="005C5780"/>
    <w:rsid w:val="005C626F"/>
    <w:rsid w:val="005C661C"/>
    <w:rsid w:val="005D20D5"/>
    <w:rsid w:val="005D362D"/>
    <w:rsid w:val="005E1CF3"/>
    <w:rsid w:val="005E2BCD"/>
    <w:rsid w:val="005E3962"/>
    <w:rsid w:val="005E5DC1"/>
    <w:rsid w:val="005F19ED"/>
    <w:rsid w:val="005F1AE3"/>
    <w:rsid w:val="005F63AB"/>
    <w:rsid w:val="005F7393"/>
    <w:rsid w:val="00600B9D"/>
    <w:rsid w:val="0060190F"/>
    <w:rsid w:val="00602747"/>
    <w:rsid w:val="0060286C"/>
    <w:rsid w:val="006031A6"/>
    <w:rsid w:val="006032BC"/>
    <w:rsid w:val="00603793"/>
    <w:rsid w:val="00605FE3"/>
    <w:rsid w:val="006063BF"/>
    <w:rsid w:val="00606A38"/>
    <w:rsid w:val="006073A4"/>
    <w:rsid w:val="006138AA"/>
    <w:rsid w:val="00621B28"/>
    <w:rsid w:val="006230BA"/>
    <w:rsid w:val="006246DC"/>
    <w:rsid w:val="006248E7"/>
    <w:rsid w:val="00624C8C"/>
    <w:rsid w:val="006260B8"/>
    <w:rsid w:val="00626100"/>
    <w:rsid w:val="00626D9C"/>
    <w:rsid w:val="00630E51"/>
    <w:rsid w:val="0063265D"/>
    <w:rsid w:val="0063283D"/>
    <w:rsid w:val="00632CB4"/>
    <w:rsid w:val="00633439"/>
    <w:rsid w:val="0063368C"/>
    <w:rsid w:val="00633A66"/>
    <w:rsid w:val="00633DD2"/>
    <w:rsid w:val="00635E27"/>
    <w:rsid w:val="00643003"/>
    <w:rsid w:val="006457E1"/>
    <w:rsid w:val="006469B7"/>
    <w:rsid w:val="0064711E"/>
    <w:rsid w:val="00650C9C"/>
    <w:rsid w:val="0065236D"/>
    <w:rsid w:val="00653946"/>
    <w:rsid w:val="006551F6"/>
    <w:rsid w:val="0065585E"/>
    <w:rsid w:val="0066367A"/>
    <w:rsid w:val="00664988"/>
    <w:rsid w:val="00664E1B"/>
    <w:rsid w:val="00667F07"/>
    <w:rsid w:val="00667F2B"/>
    <w:rsid w:val="00670B31"/>
    <w:rsid w:val="0067253A"/>
    <w:rsid w:val="0067338E"/>
    <w:rsid w:val="0067439C"/>
    <w:rsid w:val="006746AA"/>
    <w:rsid w:val="00675336"/>
    <w:rsid w:val="00676826"/>
    <w:rsid w:val="0068195D"/>
    <w:rsid w:val="0068195F"/>
    <w:rsid w:val="00681D5F"/>
    <w:rsid w:val="00683419"/>
    <w:rsid w:val="00686F7B"/>
    <w:rsid w:val="006874B5"/>
    <w:rsid w:val="00687CE8"/>
    <w:rsid w:val="0069110A"/>
    <w:rsid w:val="00691E30"/>
    <w:rsid w:val="00692735"/>
    <w:rsid w:val="006933A6"/>
    <w:rsid w:val="00694813"/>
    <w:rsid w:val="00695325"/>
    <w:rsid w:val="00697B90"/>
    <w:rsid w:val="006A11D9"/>
    <w:rsid w:val="006A46B8"/>
    <w:rsid w:val="006A4CE3"/>
    <w:rsid w:val="006A730F"/>
    <w:rsid w:val="006B036C"/>
    <w:rsid w:val="006B0CC7"/>
    <w:rsid w:val="006B2318"/>
    <w:rsid w:val="006B2D14"/>
    <w:rsid w:val="006B3656"/>
    <w:rsid w:val="006B5DE9"/>
    <w:rsid w:val="006B6FCF"/>
    <w:rsid w:val="006C38D3"/>
    <w:rsid w:val="006C3A0A"/>
    <w:rsid w:val="006C4327"/>
    <w:rsid w:val="006C5603"/>
    <w:rsid w:val="006C57CB"/>
    <w:rsid w:val="006C71B5"/>
    <w:rsid w:val="006C71C6"/>
    <w:rsid w:val="006D02D5"/>
    <w:rsid w:val="006D1106"/>
    <w:rsid w:val="006D1E5F"/>
    <w:rsid w:val="006D40AB"/>
    <w:rsid w:val="006D62DF"/>
    <w:rsid w:val="006D7488"/>
    <w:rsid w:val="006E082C"/>
    <w:rsid w:val="006E263B"/>
    <w:rsid w:val="006E2F94"/>
    <w:rsid w:val="006E32BF"/>
    <w:rsid w:val="006E3485"/>
    <w:rsid w:val="006E424D"/>
    <w:rsid w:val="006E440E"/>
    <w:rsid w:val="006E605C"/>
    <w:rsid w:val="006E67AE"/>
    <w:rsid w:val="006E7FD4"/>
    <w:rsid w:val="006F05BA"/>
    <w:rsid w:val="006F0B51"/>
    <w:rsid w:val="006F17EE"/>
    <w:rsid w:val="006F1B0B"/>
    <w:rsid w:val="006F20CA"/>
    <w:rsid w:val="006F3538"/>
    <w:rsid w:val="0070022E"/>
    <w:rsid w:val="00700B3D"/>
    <w:rsid w:val="00702826"/>
    <w:rsid w:val="00703D93"/>
    <w:rsid w:val="007045BF"/>
    <w:rsid w:val="00704716"/>
    <w:rsid w:val="00705029"/>
    <w:rsid w:val="007056CD"/>
    <w:rsid w:val="0070646A"/>
    <w:rsid w:val="007071AB"/>
    <w:rsid w:val="007100B5"/>
    <w:rsid w:val="00711088"/>
    <w:rsid w:val="0071407A"/>
    <w:rsid w:val="00715428"/>
    <w:rsid w:val="0071701E"/>
    <w:rsid w:val="00717DB6"/>
    <w:rsid w:val="00720E6B"/>
    <w:rsid w:val="007219E4"/>
    <w:rsid w:val="007233CD"/>
    <w:rsid w:val="00723F16"/>
    <w:rsid w:val="00724F04"/>
    <w:rsid w:val="00730D81"/>
    <w:rsid w:val="00732360"/>
    <w:rsid w:val="00733EE9"/>
    <w:rsid w:val="00734D89"/>
    <w:rsid w:val="00735C94"/>
    <w:rsid w:val="007361CA"/>
    <w:rsid w:val="00736C80"/>
    <w:rsid w:val="007371F1"/>
    <w:rsid w:val="0074128F"/>
    <w:rsid w:val="00741A8D"/>
    <w:rsid w:val="007438B0"/>
    <w:rsid w:val="0074433A"/>
    <w:rsid w:val="00744CE9"/>
    <w:rsid w:val="00746B09"/>
    <w:rsid w:val="00747CD7"/>
    <w:rsid w:val="00747E4B"/>
    <w:rsid w:val="00750216"/>
    <w:rsid w:val="00750E6B"/>
    <w:rsid w:val="00751D6A"/>
    <w:rsid w:val="00752413"/>
    <w:rsid w:val="00753224"/>
    <w:rsid w:val="007539BC"/>
    <w:rsid w:val="00753D42"/>
    <w:rsid w:val="00755F31"/>
    <w:rsid w:val="007620B8"/>
    <w:rsid w:val="00762E93"/>
    <w:rsid w:val="00763715"/>
    <w:rsid w:val="007642D6"/>
    <w:rsid w:val="00765BBA"/>
    <w:rsid w:val="00765D7C"/>
    <w:rsid w:val="00766263"/>
    <w:rsid w:val="00766FF9"/>
    <w:rsid w:val="007678B2"/>
    <w:rsid w:val="007718F0"/>
    <w:rsid w:val="00771B0E"/>
    <w:rsid w:val="00773AED"/>
    <w:rsid w:val="007745DB"/>
    <w:rsid w:val="00776689"/>
    <w:rsid w:val="007802B0"/>
    <w:rsid w:val="00780754"/>
    <w:rsid w:val="007834F7"/>
    <w:rsid w:val="007857A8"/>
    <w:rsid w:val="0078647E"/>
    <w:rsid w:val="00787146"/>
    <w:rsid w:val="0079024D"/>
    <w:rsid w:val="00790543"/>
    <w:rsid w:val="00791A54"/>
    <w:rsid w:val="007922C2"/>
    <w:rsid w:val="00792928"/>
    <w:rsid w:val="007934C7"/>
    <w:rsid w:val="00794E25"/>
    <w:rsid w:val="00795922"/>
    <w:rsid w:val="00795DEC"/>
    <w:rsid w:val="007A3E10"/>
    <w:rsid w:val="007A40E9"/>
    <w:rsid w:val="007A5FAD"/>
    <w:rsid w:val="007B1D0D"/>
    <w:rsid w:val="007B3683"/>
    <w:rsid w:val="007B3773"/>
    <w:rsid w:val="007B479A"/>
    <w:rsid w:val="007B5258"/>
    <w:rsid w:val="007B5796"/>
    <w:rsid w:val="007B6EDF"/>
    <w:rsid w:val="007B717C"/>
    <w:rsid w:val="007C01B3"/>
    <w:rsid w:val="007C0967"/>
    <w:rsid w:val="007D06DC"/>
    <w:rsid w:val="007D0E0C"/>
    <w:rsid w:val="007D1CBE"/>
    <w:rsid w:val="007D2819"/>
    <w:rsid w:val="007D4DA8"/>
    <w:rsid w:val="007D5C7A"/>
    <w:rsid w:val="007E022C"/>
    <w:rsid w:val="007E0EF0"/>
    <w:rsid w:val="007E42AD"/>
    <w:rsid w:val="007E44DF"/>
    <w:rsid w:val="007E4C1C"/>
    <w:rsid w:val="007E5915"/>
    <w:rsid w:val="007E7684"/>
    <w:rsid w:val="007F033B"/>
    <w:rsid w:val="007F2EA4"/>
    <w:rsid w:val="007F3177"/>
    <w:rsid w:val="007F448A"/>
    <w:rsid w:val="007F4706"/>
    <w:rsid w:val="007F7F61"/>
    <w:rsid w:val="0080083E"/>
    <w:rsid w:val="00800F0C"/>
    <w:rsid w:val="00802D22"/>
    <w:rsid w:val="00803E47"/>
    <w:rsid w:val="00805E88"/>
    <w:rsid w:val="00806509"/>
    <w:rsid w:val="00806E9F"/>
    <w:rsid w:val="008078DC"/>
    <w:rsid w:val="008129E1"/>
    <w:rsid w:val="0081325D"/>
    <w:rsid w:val="00813BD2"/>
    <w:rsid w:val="00814BD9"/>
    <w:rsid w:val="00817B82"/>
    <w:rsid w:val="00822610"/>
    <w:rsid w:val="0082559D"/>
    <w:rsid w:val="008258D8"/>
    <w:rsid w:val="008301E8"/>
    <w:rsid w:val="0083053A"/>
    <w:rsid w:val="008305D5"/>
    <w:rsid w:val="00831C11"/>
    <w:rsid w:val="00831C7E"/>
    <w:rsid w:val="008339D2"/>
    <w:rsid w:val="008352CA"/>
    <w:rsid w:val="00835E8A"/>
    <w:rsid w:val="0083720B"/>
    <w:rsid w:val="00840042"/>
    <w:rsid w:val="00840E97"/>
    <w:rsid w:val="00841ED7"/>
    <w:rsid w:val="00843E4D"/>
    <w:rsid w:val="008447F7"/>
    <w:rsid w:val="00844D56"/>
    <w:rsid w:val="00847358"/>
    <w:rsid w:val="008479ED"/>
    <w:rsid w:val="008502D1"/>
    <w:rsid w:val="008513B6"/>
    <w:rsid w:val="00851AFE"/>
    <w:rsid w:val="008539F8"/>
    <w:rsid w:val="008548C9"/>
    <w:rsid w:val="00860EAD"/>
    <w:rsid w:val="00861561"/>
    <w:rsid w:val="00863526"/>
    <w:rsid w:val="008675CB"/>
    <w:rsid w:val="00871027"/>
    <w:rsid w:val="00875713"/>
    <w:rsid w:val="00880AA6"/>
    <w:rsid w:val="00881D75"/>
    <w:rsid w:val="00883908"/>
    <w:rsid w:val="00885E61"/>
    <w:rsid w:val="008861C4"/>
    <w:rsid w:val="00887600"/>
    <w:rsid w:val="00890915"/>
    <w:rsid w:val="008922E4"/>
    <w:rsid w:val="0089388B"/>
    <w:rsid w:val="00893CFD"/>
    <w:rsid w:val="00893E9F"/>
    <w:rsid w:val="008956DB"/>
    <w:rsid w:val="00895F72"/>
    <w:rsid w:val="008969A8"/>
    <w:rsid w:val="00897C8C"/>
    <w:rsid w:val="008A08EF"/>
    <w:rsid w:val="008A0FCF"/>
    <w:rsid w:val="008A197F"/>
    <w:rsid w:val="008A1A06"/>
    <w:rsid w:val="008A1D7D"/>
    <w:rsid w:val="008A2A44"/>
    <w:rsid w:val="008A58FE"/>
    <w:rsid w:val="008A595D"/>
    <w:rsid w:val="008A6070"/>
    <w:rsid w:val="008A7C5D"/>
    <w:rsid w:val="008B28CA"/>
    <w:rsid w:val="008B2E36"/>
    <w:rsid w:val="008B338A"/>
    <w:rsid w:val="008B77C9"/>
    <w:rsid w:val="008C143A"/>
    <w:rsid w:val="008C5DEF"/>
    <w:rsid w:val="008D0DA2"/>
    <w:rsid w:val="008D1463"/>
    <w:rsid w:val="008D314C"/>
    <w:rsid w:val="008D57D3"/>
    <w:rsid w:val="008D650D"/>
    <w:rsid w:val="008D79F8"/>
    <w:rsid w:val="008E1C5D"/>
    <w:rsid w:val="008E257D"/>
    <w:rsid w:val="008E3E20"/>
    <w:rsid w:val="008E3FD5"/>
    <w:rsid w:val="008E4857"/>
    <w:rsid w:val="008E699E"/>
    <w:rsid w:val="008E7772"/>
    <w:rsid w:val="008E7C67"/>
    <w:rsid w:val="008F06F5"/>
    <w:rsid w:val="008F1491"/>
    <w:rsid w:val="008F1E02"/>
    <w:rsid w:val="008F2A3F"/>
    <w:rsid w:val="008F39D5"/>
    <w:rsid w:val="008F509F"/>
    <w:rsid w:val="008F5111"/>
    <w:rsid w:val="008F5C74"/>
    <w:rsid w:val="00900020"/>
    <w:rsid w:val="0090005E"/>
    <w:rsid w:val="009014F2"/>
    <w:rsid w:val="00911867"/>
    <w:rsid w:val="00912DB0"/>
    <w:rsid w:val="009132FE"/>
    <w:rsid w:val="00917FED"/>
    <w:rsid w:val="00921CA0"/>
    <w:rsid w:val="00922168"/>
    <w:rsid w:val="0092606C"/>
    <w:rsid w:val="00926BD6"/>
    <w:rsid w:val="009279B4"/>
    <w:rsid w:val="009301D7"/>
    <w:rsid w:val="00932589"/>
    <w:rsid w:val="009364B5"/>
    <w:rsid w:val="00936D0D"/>
    <w:rsid w:val="009400C5"/>
    <w:rsid w:val="00943139"/>
    <w:rsid w:val="00947EF3"/>
    <w:rsid w:val="0095025E"/>
    <w:rsid w:val="00951BAC"/>
    <w:rsid w:val="009528E4"/>
    <w:rsid w:val="00952E8C"/>
    <w:rsid w:val="00954591"/>
    <w:rsid w:val="009549DE"/>
    <w:rsid w:val="00954DFB"/>
    <w:rsid w:val="00956D78"/>
    <w:rsid w:val="009608E7"/>
    <w:rsid w:val="00961205"/>
    <w:rsid w:val="009615EF"/>
    <w:rsid w:val="00961735"/>
    <w:rsid w:val="00961A2F"/>
    <w:rsid w:val="009672F5"/>
    <w:rsid w:val="00972B29"/>
    <w:rsid w:val="00972B4A"/>
    <w:rsid w:val="00975980"/>
    <w:rsid w:val="00975D7E"/>
    <w:rsid w:val="00976350"/>
    <w:rsid w:val="009768AC"/>
    <w:rsid w:val="00980357"/>
    <w:rsid w:val="00981079"/>
    <w:rsid w:val="009834C4"/>
    <w:rsid w:val="009838A3"/>
    <w:rsid w:val="00983F40"/>
    <w:rsid w:val="00983F7C"/>
    <w:rsid w:val="00984134"/>
    <w:rsid w:val="00990EDF"/>
    <w:rsid w:val="00991C71"/>
    <w:rsid w:val="009924FC"/>
    <w:rsid w:val="00992CF4"/>
    <w:rsid w:val="00994208"/>
    <w:rsid w:val="00994519"/>
    <w:rsid w:val="00995F53"/>
    <w:rsid w:val="0099645D"/>
    <w:rsid w:val="009A14A5"/>
    <w:rsid w:val="009A2E4A"/>
    <w:rsid w:val="009A3368"/>
    <w:rsid w:val="009A79D0"/>
    <w:rsid w:val="009B0144"/>
    <w:rsid w:val="009B0164"/>
    <w:rsid w:val="009B0722"/>
    <w:rsid w:val="009B17D5"/>
    <w:rsid w:val="009B3AAD"/>
    <w:rsid w:val="009B4273"/>
    <w:rsid w:val="009B5B47"/>
    <w:rsid w:val="009B7435"/>
    <w:rsid w:val="009B76A9"/>
    <w:rsid w:val="009B76BE"/>
    <w:rsid w:val="009C138F"/>
    <w:rsid w:val="009C1590"/>
    <w:rsid w:val="009C28CB"/>
    <w:rsid w:val="009C39FA"/>
    <w:rsid w:val="009C7CC7"/>
    <w:rsid w:val="009D042E"/>
    <w:rsid w:val="009D1023"/>
    <w:rsid w:val="009D1DF0"/>
    <w:rsid w:val="009D23B9"/>
    <w:rsid w:val="009D2DA5"/>
    <w:rsid w:val="009D2EC1"/>
    <w:rsid w:val="009D354A"/>
    <w:rsid w:val="009E0E3A"/>
    <w:rsid w:val="009E1B80"/>
    <w:rsid w:val="009E1C5B"/>
    <w:rsid w:val="009E3F56"/>
    <w:rsid w:val="009E5D01"/>
    <w:rsid w:val="009E5D90"/>
    <w:rsid w:val="009E758B"/>
    <w:rsid w:val="009E7652"/>
    <w:rsid w:val="009F2075"/>
    <w:rsid w:val="009F279A"/>
    <w:rsid w:val="009F2B5C"/>
    <w:rsid w:val="009F2FFE"/>
    <w:rsid w:val="009F348B"/>
    <w:rsid w:val="009F48FC"/>
    <w:rsid w:val="009F4B99"/>
    <w:rsid w:val="009F5760"/>
    <w:rsid w:val="009F5E52"/>
    <w:rsid w:val="009F63A4"/>
    <w:rsid w:val="009F7EF6"/>
    <w:rsid w:val="00A0045C"/>
    <w:rsid w:val="00A00723"/>
    <w:rsid w:val="00A01402"/>
    <w:rsid w:val="00A018A6"/>
    <w:rsid w:val="00A02526"/>
    <w:rsid w:val="00A03B0B"/>
    <w:rsid w:val="00A053BE"/>
    <w:rsid w:val="00A10EF0"/>
    <w:rsid w:val="00A11809"/>
    <w:rsid w:val="00A119A8"/>
    <w:rsid w:val="00A122ED"/>
    <w:rsid w:val="00A12F12"/>
    <w:rsid w:val="00A2001C"/>
    <w:rsid w:val="00A21DED"/>
    <w:rsid w:val="00A22A66"/>
    <w:rsid w:val="00A24502"/>
    <w:rsid w:val="00A26577"/>
    <w:rsid w:val="00A26A0B"/>
    <w:rsid w:val="00A26B43"/>
    <w:rsid w:val="00A27E1A"/>
    <w:rsid w:val="00A3081B"/>
    <w:rsid w:val="00A355A1"/>
    <w:rsid w:val="00A35D3B"/>
    <w:rsid w:val="00A366E6"/>
    <w:rsid w:val="00A371E8"/>
    <w:rsid w:val="00A426E1"/>
    <w:rsid w:val="00A43E04"/>
    <w:rsid w:val="00A4686B"/>
    <w:rsid w:val="00A50969"/>
    <w:rsid w:val="00A52536"/>
    <w:rsid w:val="00A5558C"/>
    <w:rsid w:val="00A61A2D"/>
    <w:rsid w:val="00A61AF3"/>
    <w:rsid w:val="00A63A6C"/>
    <w:rsid w:val="00A65CBD"/>
    <w:rsid w:val="00A6605B"/>
    <w:rsid w:val="00A66D82"/>
    <w:rsid w:val="00A72A0C"/>
    <w:rsid w:val="00A74132"/>
    <w:rsid w:val="00A76226"/>
    <w:rsid w:val="00A80547"/>
    <w:rsid w:val="00A8251B"/>
    <w:rsid w:val="00A825E3"/>
    <w:rsid w:val="00A83FA9"/>
    <w:rsid w:val="00A83FFC"/>
    <w:rsid w:val="00A852DD"/>
    <w:rsid w:val="00A865CA"/>
    <w:rsid w:val="00A8779B"/>
    <w:rsid w:val="00A87FD3"/>
    <w:rsid w:val="00A9119A"/>
    <w:rsid w:val="00A91A56"/>
    <w:rsid w:val="00A9201C"/>
    <w:rsid w:val="00A92449"/>
    <w:rsid w:val="00A941AD"/>
    <w:rsid w:val="00A943F2"/>
    <w:rsid w:val="00A94D49"/>
    <w:rsid w:val="00A9682E"/>
    <w:rsid w:val="00AA26CD"/>
    <w:rsid w:val="00AA5E4B"/>
    <w:rsid w:val="00AA6A4B"/>
    <w:rsid w:val="00AB0DC3"/>
    <w:rsid w:val="00AB1F78"/>
    <w:rsid w:val="00AB371E"/>
    <w:rsid w:val="00AC164A"/>
    <w:rsid w:val="00AC2494"/>
    <w:rsid w:val="00AC287E"/>
    <w:rsid w:val="00AC34A0"/>
    <w:rsid w:val="00AC3751"/>
    <w:rsid w:val="00AC4AAB"/>
    <w:rsid w:val="00AC5553"/>
    <w:rsid w:val="00AC6186"/>
    <w:rsid w:val="00AC6296"/>
    <w:rsid w:val="00AC6477"/>
    <w:rsid w:val="00AD01DF"/>
    <w:rsid w:val="00AD117E"/>
    <w:rsid w:val="00AD4056"/>
    <w:rsid w:val="00AD52DC"/>
    <w:rsid w:val="00AD5785"/>
    <w:rsid w:val="00AD5FB1"/>
    <w:rsid w:val="00AD66CD"/>
    <w:rsid w:val="00AD7140"/>
    <w:rsid w:val="00AE09EE"/>
    <w:rsid w:val="00AE37BF"/>
    <w:rsid w:val="00AE3BBC"/>
    <w:rsid w:val="00AE5BF7"/>
    <w:rsid w:val="00AE5CD7"/>
    <w:rsid w:val="00AE6330"/>
    <w:rsid w:val="00AF07B6"/>
    <w:rsid w:val="00AF134C"/>
    <w:rsid w:val="00AF1662"/>
    <w:rsid w:val="00AF1719"/>
    <w:rsid w:val="00AF1BA8"/>
    <w:rsid w:val="00AF3ECA"/>
    <w:rsid w:val="00AF4429"/>
    <w:rsid w:val="00AF7498"/>
    <w:rsid w:val="00B01748"/>
    <w:rsid w:val="00B060F5"/>
    <w:rsid w:val="00B06758"/>
    <w:rsid w:val="00B104F7"/>
    <w:rsid w:val="00B1075B"/>
    <w:rsid w:val="00B12D65"/>
    <w:rsid w:val="00B137E6"/>
    <w:rsid w:val="00B13FBB"/>
    <w:rsid w:val="00B146BB"/>
    <w:rsid w:val="00B14994"/>
    <w:rsid w:val="00B17646"/>
    <w:rsid w:val="00B20511"/>
    <w:rsid w:val="00B21C07"/>
    <w:rsid w:val="00B22360"/>
    <w:rsid w:val="00B22946"/>
    <w:rsid w:val="00B266EF"/>
    <w:rsid w:val="00B26B55"/>
    <w:rsid w:val="00B30727"/>
    <w:rsid w:val="00B3291D"/>
    <w:rsid w:val="00B331F4"/>
    <w:rsid w:val="00B3368B"/>
    <w:rsid w:val="00B34D83"/>
    <w:rsid w:val="00B368F8"/>
    <w:rsid w:val="00B42625"/>
    <w:rsid w:val="00B504B6"/>
    <w:rsid w:val="00B505C3"/>
    <w:rsid w:val="00B51FCF"/>
    <w:rsid w:val="00B54418"/>
    <w:rsid w:val="00B549AC"/>
    <w:rsid w:val="00B55500"/>
    <w:rsid w:val="00B55974"/>
    <w:rsid w:val="00B60919"/>
    <w:rsid w:val="00B624E2"/>
    <w:rsid w:val="00B64044"/>
    <w:rsid w:val="00B6447A"/>
    <w:rsid w:val="00B65D30"/>
    <w:rsid w:val="00B67455"/>
    <w:rsid w:val="00B67788"/>
    <w:rsid w:val="00B701B6"/>
    <w:rsid w:val="00B701D2"/>
    <w:rsid w:val="00B70B49"/>
    <w:rsid w:val="00B70BF9"/>
    <w:rsid w:val="00B71568"/>
    <w:rsid w:val="00B71F5F"/>
    <w:rsid w:val="00B73301"/>
    <w:rsid w:val="00B734A7"/>
    <w:rsid w:val="00B742CF"/>
    <w:rsid w:val="00B74A79"/>
    <w:rsid w:val="00B75472"/>
    <w:rsid w:val="00B759B6"/>
    <w:rsid w:val="00B75B3D"/>
    <w:rsid w:val="00B80DD1"/>
    <w:rsid w:val="00B8103F"/>
    <w:rsid w:val="00B818B8"/>
    <w:rsid w:val="00B843D2"/>
    <w:rsid w:val="00B85B37"/>
    <w:rsid w:val="00B86A77"/>
    <w:rsid w:val="00B86B44"/>
    <w:rsid w:val="00B87DF8"/>
    <w:rsid w:val="00B90EBD"/>
    <w:rsid w:val="00B91248"/>
    <w:rsid w:val="00B934C5"/>
    <w:rsid w:val="00B93876"/>
    <w:rsid w:val="00B9496D"/>
    <w:rsid w:val="00B95496"/>
    <w:rsid w:val="00B970CC"/>
    <w:rsid w:val="00BA02A7"/>
    <w:rsid w:val="00BA05B2"/>
    <w:rsid w:val="00BA2692"/>
    <w:rsid w:val="00BA2AA3"/>
    <w:rsid w:val="00BA4100"/>
    <w:rsid w:val="00BA4455"/>
    <w:rsid w:val="00BA5106"/>
    <w:rsid w:val="00BA6866"/>
    <w:rsid w:val="00BA779C"/>
    <w:rsid w:val="00BB130C"/>
    <w:rsid w:val="00BB413B"/>
    <w:rsid w:val="00BB4E9B"/>
    <w:rsid w:val="00BB6331"/>
    <w:rsid w:val="00BB63F4"/>
    <w:rsid w:val="00BC0597"/>
    <w:rsid w:val="00BC288E"/>
    <w:rsid w:val="00BC2C7F"/>
    <w:rsid w:val="00BC3FEF"/>
    <w:rsid w:val="00BC72BD"/>
    <w:rsid w:val="00BC7706"/>
    <w:rsid w:val="00BC7FE2"/>
    <w:rsid w:val="00BD02BD"/>
    <w:rsid w:val="00BD0C05"/>
    <w:rsid w:val="00BD46D0"/>
    <w:rsid w:val="00BD5AD9"/>
    <w:rsid w:val="00BD63A3"/>
    <w:rsid w:val="00BD7A4E"/>
    <w:rsid w:val="00BE1679"/>
    <w:rsid w:val="00BE1DF1"/>
    <w:rsid w:val="00BE207F"/>
    <w:rsid w:val="00BE2806"/>
    <w:rsid w:val="00BE3206"/>
    <w:rsid w:val="00BE3942"/>
    <w:rsid w:val="00BE7592"/>
    <w:rsid w:val="00BF138C"/>
    <w:rsid w:val="00BF17D1"/>
    <w:rsid w:val="00BF29C5"/>
    <w:rsid w:val="00BF6143"/>
    <w:rsid w:val="00BF7587"/>
    <w:rsid w:val="00BF7605"/>
    <w:rsid w:val="00BF7F58"/>
    <w:rsid w:val="00C040F8"/>
    <w:rsid w:val="00C044E4"/>
    <w:rsid w:val="00C10B70"/>
    <w:rsid w:val="00C10D5A"/>
    <w:rsid w:val="00C11D94"/>
    <w:rsid w:val="00C12086"/>
    <w:rsid w:val="00C214CF"/>
    <w:rsid w:val="00C2304A"/>
    <w:rsid w:val="00C23EDB"/>
    <w:rsid w:val="00C25D64"/>
    <w:rsid w:val="00C31D72"/>
    <w:rsid w:val="00C32C0C"/>
    <w:rsid w:val="00C32E06"/>
    <w:rsid w:val="00C3559B"/>
    <w:rsid w:val="00C40207"/>
    <w:rsid w:val="00C40321"/>
    <w:rsid w:val="00C4083D"/>
    <w:rsid w:val="00C41749"/>
    <w:rsid w:val="00C42485"/>
    <w:rsid w:val="00C42C82"/>
    <w:rsid w:val="00C456F2"/>
    <w:rsid w:val="00C457C4"/>
    <w:rsid w:val="00C4656A"/>
    <w:rsid w:val="00C46B79"/>
    <w:rsid w:val="00C47F4F"/>
    <w:rsid w:val="00C54B6C"/>
    <w:rsid w:val="00C55F78"/>
    <w:rsid w:val="00C56AE5"/>
    <w:rsid w:val="00C60483"/>
    <w:rsid w:val="00C6094D"/>
    <w:rsid w:val="00C62603"/>
    <w:rsid w:val="00C63541"/>
    <w:rsid w:val="00C637F6"/>
    <w:rsid w:val="00C63900"/>
    <w:rsid w:val="00C6408A"/>
    <w:rsid w:val="00C64AE6"/>
    <w:rsid w:val="00C650BB"/>
    <w:rsid w:val="00C65DEA"/>
    <w:rsid w:val="00C65DFF"/>
    <w:rsid w:val="00C65E02"/>
    <w:rsid w:val="00C662FE"/>
    <w:rsid w:val="00C66EB3"/>
    <w:rsid w:val="00C703CB"/>
    <w:rsid w:val="00C7084B"/>
    <w:rsid w:val="00C717E1"/>
    <w:rsid w:val="00C71ACD"/>
    <w:rsid w:val="00C73082"/>
    <w:rsid w:val="00C73A0E"/>
    <w:rsid w:val="00C75277"/>
    <w:rsid w:val="00C7598A"/>
    <w:rsid w:val="00C75FD2"/>
    <w:rsid w:val="00C814DD"/>
    <w:rsid w:val="00C8222A"/>
    <w:rsid w:val="00C840A2"/>
    <w:rsid w:val="00C84636"/>
    <w:rsid w:val="00C864C3"/>
    <w:rsid w:val="00C877C3"/>
    <w:rsid w:val="00C917FA"/>
    <w:rsid w:val="00C91DBB"/>
    <w:rsid w:val="00C91EA4"/>
    <w:rsid w:val="00C97827"/>
    <w:rsid w:val="00C97B49"/>
    <w:rsid w:val="00C97F71"/>
    <w:rsid w:val="00CA1D20"/>
    <w:rsid w:val="00CA214E"/>
    <w:rsid w:val="00CA2CD5"/>
    <w:rsid w:val="00CA4E14"/>
    <w:rsid w:val="00CA5314"/>
    <w:rsid w:val="00CA5B7B"/>
    <w:rsid w:val="00CA7D13"/>
    <w:rsid w:val="00CB1B2E"/>
    <w:rsid w:val="00CB21DF"/>
    <w:rsid w:val="00CB3336"/>
    <w:rsid w:val="00CB4741"/>
    <w:rsid w:val="00CB60E0"/>
    <w:rsid w:val="00CC05B2"/>
    <w:rsid w:val="00CC075C"/>
    <w:rsid w:val="00CC1ABB"/>
    <w:rsid w:val="00CC26B5"/>
    <w:rsid w:val="00CC527E"/>
    <w:rsid w:val="00CC680F"/>
    <w:rsid w:val="00CD0936"/>
    <w:rsid w:val="00CD1DD1"/>
    <w:rsid w:val="00CD4834"/>
    <w:rsid w:val="00CD4C3A"/>
    <w:rsid w:val="00CD5517"/>
    <w:rsid w:val="00CD7F30"/>
    <w:rsid w:val="00CE129E"/>
    <w:rsid w:val="00CE267E"/>
    <w:rsid w:val="00CE3EA4"/>
    <w:rsid w:val="00CE5C93"/>
    <w:rsid w:val="00CE6F7E"/>
    <w:rsid w:val="00CE77DF"/>
    <w:rsid w:val="00CE7E7D"/>
    <w:rsid w:val="00CF1D43"/>
    <w:rsid w:val="00CF240D"/>
    <w:rsid w:val="00CF2593"/>
    <w:rsid w:val="00CF2FA6"/>
    <w:rsid w:val="00CF3C12"/>
    <w:rsid w:val="00CF614F"/>
    <w:rsid w:val="00CF68A2"/>
    <w:rsid w:val="00D0022F"/>
    <w:rsid w:val="00D04212"/>
    <w:rsid w:val="00D07F57"/>
    <w:rsid w:val="00D110B8"/>
    <w:rsid w:val="00D12C8E"/>
    <w:rsid w:val="00D15966"/>
    <w:rsid w:val="00D16383"/>
    <w:rsid w:val="00D17894"/>
    <w:rsid w:val="00D20DD6"/>
    <w:rsid w:val="00D2729A"/>
    <w:rsid w:val="00D27DD5"/>
    <w:rsid w:val="00D32CFE"/>
    <w:rsid w:val="00D33316"/>
    <w:rsid w:val="00D4067F"/>
    <w:rsid w:val="00D4212A"/>
    <w:rsid w:val="00D442EF"/>
    <w:rsid w:val="00D44607"/>
    <w:rsid w:val="00D45D4D"/>
    <w:rsid w:val="00D46A0C"/>
    <w:rsid w:val="00D502E4"/>
    <w:rsid w:val="00D52FB0"/>
    <w:rsid w:val="00D5359D"/>
    <w:rsid w:val="00D5507D"/>
    <w:rsid w:val="00D562D0"/>
    <w:rsid w:val="00D563CA"/>
    <w:rsid w:val="00D57932"/>
    <w:rsid w:val="00D57F34"/>
    <w:rsid w:val="00D666DA"/>
    <w:rsid w:val="00D66DA2"/>
    <w:rsid w:val="00D674E2"/>
    <w:rsid w:val="00D67D90"/>
    <w:rsid w:val="00D708E8"/>
    <w:rsid w:val="00D732B0"/>
    <w:rsid w:val="00D73FD1"/>
    <w:rsid w:val="00D7418B"/>
    <w:rsid w:val="00D76DE9"/>
    <w:rsid w:val="00D85B8A"/>
    <w:rsid w:val="00D8647F"/>
    <w:rsid w:val="00D87A38"/>
    <w:rsid w:val="00D87D9B"/>
    <w:rsid w:val="00D93ACF"/>
    <w:rsid w:val="00D93D5B"/>
    <w:rsid w:val="00D94A21"/>
    <w:rsid w:val="00DA0305"/>
    <w:rsid w:val="00DA09A2"/>
    <w:rsid w:val="00DA20C4"/>
    <w:rsid w:val="00DA2270"/>
    <w:rsid w:val="00DA48DC"/>
    <w:rsid w:val="00DA77F4"/>
    <w:rsid w:val="00DA7B60"/>
    <w:rsid w:val="00DB1EB9"/>
    <w:rsid w:val="00DB2DF2"/>
    <w:rsid w:val="00DB3837"/>
    <w:rsid w:val="00DB6D62"/>
    <w:rsid w:val="00DC4501"/>
    <w:rsid w:val="00DC57EA"/>
    <w:rsid w:val="00DD258A"/>
    <w:rsid w:val="00DD33CE"/>
    <w:rsid w:val="00DD55B1"/>
    <w:rsid w:val="00DD5AA5"/>
    <w:rsid w:val="00DD603C"/>
    <w:rsid w:val="00DD73A5"/>
    <w:rsid w:val="00DE248A"/>
    <w:rsid w:val="00DE2AF8"/>
    <w:rsid w:val="00DE368A"/>
    <w:rsid w:val="00DE50CA"/>
    <w:rsid w:val="00DE6303"/>
    <w:rsid w:val="00DE73D4"/>
    <w:rsid w:val="00DF1097"/>
    <w:rsid w:val="00DF13C3"/>
    <w:rsid w:val="00DF1B76"/>
    <w:rsid w:val="00DF320A"/>
    <w:rsid w:val="00DF4DB6"/>
    <w:rsid w:val="00DF533D"/>
    <w:rsid w:val="00E00F69"/>
    <w:rsid w:val="00E01822"/>
    <w:rsid w:val="00E01D18"/>
    <w:rsid w:val="00E02A74"/>
    <w:rsid w:val="00E032A7"/>
    <w:rsid w:val="00E04338"/>
    <w:rsid w:val="00E0459F"/>
    <w:rsid w:val="00E04622"/>
    <w:rsid w:val="00E06577"/>
    <w:rsid w:val="00E11CC2"/>
    <w:rsid w:val="00E11FD5"/>
    <w:rsid w:val="00E15DE3"/>
    <w:rsid w:val="00E16757"/>
    <w:rsid w:val="00E207A4"/>
    <w:rsid w:val="00E219FE"/>
    <w:rsid w:val="00E2281F"/>
    <w:rsid w:val="00E232EF"/>
    <w:rsid w:val="00E263DB"/>
    <w:rsid w:val="00E2693C"/>
    <w:rsid w:val="00E270DD"/>
    <w:rsid w:val="00E302DC"/>
    <w:rsid w:val="00E3082D"/>
    <w:rsid w:val="00E31C91"/>
    <w:rsid w:val="00E32EF2"/>
    <w:rsid w:val="00E332CE"/>
    <w:rsid w:val="00E33832"/>
    <w:rsid w:val="00E3399E"/>
    <w:rsid w:val="00E344BA"/>
    <w:rsid w:val="00E34E55"/>
    <w:rsid w:val="00E3508B"/>
    <w:rsid w:val="00E4450A"/>
    <w:rsid w:val="00E44628"/>
    <w:rsid w:val="00E5082A"/>
    <w:rsid w:val="00E54FC7"/>
    <w:rsid w:val="00E56A5D"/>
    <w:rsid w:val="00E62959"/>
    <w:rsid w:val="00E63372"/>
    <w:rsid w:val="00E65CEB"/>
    <w:rsid w:val="00E65E03"/>
    <w:rsid w:val="00E67497"/>
    <w:rsid w:val="00E67704"/>
    <w:rsid w:val="00E7029F"/>
    <w:rsid w:val="00E75D8A"/>
    <w:rsid w:val="00E8368D"/>
    <w:rsid w:val="00E843A3"/>
    <w:rsid w:val="00E85A24"/>
    <w:rsid w:val="00E85A73"/>
    <w:rsid w:val="00E87C22"/>
    <w:rsid w:val="00E97A2E"/>
    <w:rsid w:val="00EA138B"/>
    <w:rsid w:val="00EA56F3"/>
    <w:rsid w:val="00EB08CB"/>
    <w:rsid w:val="00EB0A7E"/>
    <w:rsid w:val="00EB1CB4"/>
    <w:rsid w:val="00EB236B"/>
    <w:rsid w:val="00EB2620"/>
    <w:rsid w:val="00EB2AB5"/>
    <w:rsid w:val="00EC06CA"/>
    <w:rsid w:val="00EC43EE"/>
    <w:rsid w:val="00EC681C"/>
    <w:rsid w:val="00EC7334"/>
    <w:rsid w:val="00EC7D6F"/>
    <w:rsid w:val="00ED0207"/>
    <w:rsid w:val="00ED209E"/>
    <w:rsid w:val="00ED5469"/>
    <w:rsid w:val="00ED5B55"/>
    <w:rsid w:val="00ED64F5"/>
    <w:rsid w:val="00ED76DE"/>
    <w:rsid w:val="00EE0F40"/>
    <w:rsid w:val="00EE2250"/>
    <w:rsid w:val="00EE3C9B"/>
    <w:rsid w:val="00EE615E"/>
    <w:rsid w:val="00EE69A3"/>
    <w:rsid w:val="00EF065A"/>
    <w:rsid w:val="00EF0870"/>
    <w:rsid w:val="00EF1255"/>
    <w:rsid w:val="00EF1980"/>
    <w:rsid w:val="00EF1B01"/>
    <w:rsid w:val="00EF3E81"/>
    <w:rsid w:val="00EF5E5B"/>
    <w:rsid w:val="00EF70B1"/>
    <w:rsid w:val="00F0202F"/>
    <w:rsid w:val="00F1293B"/>
    <w:rsid w:val="00F13D51"/>
    <w:rsid w:val="00F14A2E"/>
    <w:rsid w:val="00F153BE"/>
    <w:rsid w:val="00F178CD"/>
    <w:rsid w:val="00F20B03"/>
    <w:rsid w:val="00F215BC"/>
    <w:rsid w:val="00F21F9D"/>
    <w:rsid w:val="00F23424"/>
    <w:rsid w:val="00F23FEC"/>
    <w:rsid w:val="00F24D5F"/>
    <w:rsid w:val="00F2677D"/>
    <w:rsid w:val="00F3061A"/>
    <w:rsid w:val="00F30E07"/>
    <w:rsid w:val="00F33696"/>
    <w:rsid w:val="00F33C42"/>
    <w:rsid w:val="00F3482E"/>
    <w:rsid w:val="00F34D8E"/>
    <w:rsid w:val="00F367CB"/>
    <w:rsid w:val="00F414E8"/>
    <w:rsid w:val="00F45A79"/>
    <w:rsid w:val="00F522B5"/>
    <w:rsid w:val="00F52ADE"/>
    <w:rsid w:val="00F53F29"/>
    <w:rsid w:val="00F55638"/>
    <w:rsid w:val="00F55781"/>
    <w:rsid w:val="00F5675C"/>
    <w:rsid w:val="00F56F9A"/>
    <w:rsid w:val="00F60A94"/>
    <w:rsid w:val="00F6214E"/>
    <w:rsid w:val="00F6247A"/>
    <w:rsid w:val="00F62A3F"/>
    <w:rsid w:val="00F64463"/>
    <w:rsid w:val="00F64F7E"/>
    <w:rsid w:val="00F7232E"/>
    <w:rsid w:val="00F72D86"/>
    <w:rsid w:val="00F7531B"/>
    <w:rsid w:val="00F7535D"/>
    <w:rsid w:val="00F76BB2"/>
    <w:rsid w:val="00F81AE6"/>
    <w:rsid w:val="00F8231B"/>
    <w:rsid w:val="00F83DC9"/>
    <w:rsid w:val="00F84A7D"/>
    <w:rsid w:val="00F84D2E"/>
    <w:rsid w:val="00F8602A"/>
    <w:rsid w:val="00F879AB"/>
    <w:rsid w:val="00F90381"/>
    <w:rsid w:val="00F927A8"/>
    <w:rsid w:val="00F938BC"/>
    <w:rsid w:val="00F94D04"/>
    <w:rsid w:val="00F95434"/>
    <w:rsid w:val="00F95FBA"/>
    <w:rsid w:val="00F964CF"/>
    <w:rsid w:val="00FA178E"/>
    <w:rsid w:val="00FA28FD"/>
    <w:rsid w:val="00FA33E0"/>
    <w:rsid w:val="00FA449B"/>
    <w:rsid w:val="00FA53A3"/>
    <w:rsid w:val="00FA6578"/>
    <w:rsid w:val="00FA7701"/>
    <w:rsid w:val="00FB0A1E"/>
    <w:rsid w:val="00FB4169"/>
    <w:rsid w:val="00FB49C8"/>
    <w:rsid w:val="00FB6459"/>
    <w:rsid w:val="00FC3DA5"/>
    <w:rsid w:val="00FC5B74"/>
    <w:rsid w:val="00FC7023"/>
    <w:rsid w:val="00FC738A"/>
    <w:rsid w:val="00FC7E71"/>
    <w:rsid w:val="00FD4F1C"/>
    <w:rsid w:val="00FD6521"/>
    <w:rsid w:val="00FD7F18"/>
    <w:rsid w:val="00FE0CA4"/>
    <w:rsid w:val="00FE3B09"/>
    <w:rsid w:val="00FE3F32"/>
    <w:rsid w:val="00FE6125"/>
    <w:rsid w:val="00FF015E"/>
    <w:rsid w:val="00FF3BBC"/>
    <w:rsid w:val="00FF459A"/>
    <w:rsid w:val="00FF790A"/>
    <w:rsid w:val="09A9011F"/>
    <w:rsid w:val="6D06200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1"/>
      <w:lang w:val="en-US" w:eastAsia="zh-CN" w:bidi="ar-SA"/>
      <w14:ligatures w14:val="standardContextual"/>
    </w:rPr>
  </w:style>
  <w:style w:type="paragraph" w:styleId="2">
    <w:name w:val="heading 1"/>
    <w:basedOn w:val="1"/>
    <w:next w:val="1"/>
    <w:link w:val="36"/>
    <w:qFormat/>
    <w:uiPriority w:val="9"/>
    <w:pPr>
      <w:keepNext/>
      <w:keepLines/>
      <w:autoSpaceDE w:val="0"/>
      <w:autoSpaceDN w:val="0"/>
      <w:adjustRightInd w:val="0"/>
      <w:snapToGrid w:val="0"/>
      <w:outlineLvl w:val="0"/>
    </w:pPr>
    <w:rPr>
      <w:rFonts w:eastAsia="黑体"/>
      <w:bCs/>
      <w:kern w:val="44"/>
      <w:sz w:val="36"/>
      <w:szCs w:val="44"/>
      <w14:ligatures w14:val="none"/>
    </w:rPr>
  </w:style>
  <w:style w:type="paragraph" w:styleId="3">
    <w:name w:val="heading 2"/>
    <w:basedOn w:val="1"/>
    <w:next w:val="1"/>
    <w:link w:val="35"/>
    <w:unhideWhenUsed/>
    <w:qFormat/>
    <w:uiPriority w:val="9"/>
    <w:pPr>
      <w:keepNext/>
      <w:keepLines/>
      <w:spacing w:before="260" w:after="260" w:line="416" w:lineRule="auto"/>
      <w:outlineLvl w:val="1"/>
    </w:pPr>
    <w:rPr>
      <w:rFonts w:asciiTheme="majorHAnsi" w:hAnsiTheme="majorHAnsi" w:eastAsiaTheme="majorEastAsia" w:cstheme="majorBidi"/>
      <w:b/>
      <w:bCs/>
      <w:szCs w:val="32"/>
    </w:rPr>
  </w:style>
  <w:style w:type="paragraph" w:styleId="4">
    <w:name w:val="heading 3"/>
    <w:basedOn w:val="1"/>
    <w:next w:val="1"/>
    <w:link w:val="33"/>
    <w:unhideWhenUsed/>
    <w:qFormat/>
    <w:uiPriority w:val="9"/>
    <w:pPr>
      <w:keepNext/>
      <w:keepLines/>
      <w:spacing w:before="260" w:after="260" w:line="416" w:lineRule="auto"/>
      <w:outlineLvl w:val="2"/>
    </w:pPr>
    <w:rPr>
      <w:b/>
      <w:bCs/>
      <w:szCs w:val="32"/>
    </w:rPr>
  </w:style>
  <w:style w:type="paragraph" w:styleId="5">
    <w:name w:val="heading 4"/>
    <w:basedOn w:val="1"/>
    <w:next w:val="1"/>
    <w:link w:val="32"/>
    <w:unhideWhenUsed/>
    <w:qFormat/>
    <w:uiPriority w:val="9"/>
    <w:pPr>
      <w:keepNext/>
      <w:keepLines/>
      <w:autoSpaceDE w:val="0"/>
      <w:autoSpaceDN w:val="0"/>
      <w:adjustRightInd w:val="0"/>
      <w:snapToGrid w:val="0"/>
      <w:spacing w:before="120" w:after="120"/>
      <w:outlineLvl w:val="3"/>
    </w:pPr>
    <w:rPr>
      <w:rFonts w:eastAsia="宋体" w:asciiTheme="majorHAnsi" w:hAnsiTheme="majorHAnsi" w:cstheme="majorBidi"/>
      <w:bCs/>
      <w:szCs w:val="28"/>
      <w14:ligatures w14:val="none"/>
    </w:rPr>
  </w:style>
  <w:style w:type="paragraph" w:styleId="6">
    <w:name w:val="heading 5"/>
    <w:basedOn w:val="1"/>
    <w:next w:val="1"/>
    <w:link w:val="37"/>
    <w:semiHidden/>
    <w:unhideWhenUsed/>
    <w:qFormat/>
    <w:uiPriority w:val="9"/>
    <w:pPr>
      <w:keepNext/>
      <w:keepLines/>
      <w:autoSpaceDE w:val="0"/>
      <w:autoSpaceDN w:val="0"/>
      <w:adjustRightInd w:val="0"/>
      <w:snapToGrid w:val="0"/>
      <w:spacing w:before="280" w:after="290" w:line="376" w:lineRule="auto"/>
      <w:ind w:firstLine="200" w:firstLineChars="200"/>
      <w:outlineLvl w:val="4"/>
    </w:pPr>
    <w:rPr>
      <w:rFonts w:eastAsia="宋体"/>
      <w:b/>
      <w:bCs/>
      <w:sz w:val="28"/>
      <w:szCs w:val="28"/>
      <w14:ligatures w14:val="none"/>
    </w:rPr>
  </w:style>
  <w:style w:type="paragraph" w:styleId="7">
    <w:name w:val="heading 6"/>
    <w:basedOn w:val="1"/>
    <w:next w:val="1"/>
    <w:link w:val="38"/>
    <w:semiHidden/>
    <w:unhideWhenUsed/>
    <w:qFormat/>
    <w:uiPriority w:val="9"/>
    <w:pPr>
      <w:keepNext/>
      <w:keepLines/>
      <w:autoSpaceDE w:val="0"/>
      <w:autoSpaceDN w:val="0"/>
      <w:adjustRightInd w:val="0"/>
      <w:snapToGrid w:val="0"/>
      <w:spacing w:before="240" w:after="64" w:line="320" w:lineRule="auto"/>
      <w:ind w:firstLine="200" w:firstLineChars="200"/>
      <w:outlineLvl w:val="5"/>
    </w:pPr>
    <w:rPr>
      <w:rFonts w:asciiTheme="majorHAnsi" w:hAnsiTheme="majorHAnsi" w:eastAsiaTheme="majorEastAsia" w:cstheme="majorBidi"/>
      <w:b/>
      <w:bCs/>
      <w:szCs w:val="24"/>
      <w14:ligatures w14:val="none"/>
    </w:rPr>
  </w:style>
  <w:style w:type="paragraph" w:styleId="8">
    <w:name w:val="heading 7"/>
    <w:basedOn w:val="1"/>
    <w:next w:val="1"/>
    <w:link w:val="39"/>
    <w:semiHidden/>
    <w:unhideWhenUsed/>
    <w:qFormat/>
    <w:uiPriority w:val="9"/>
    <w:pPr>
      <w:keepNext/>
      <w:keepLines/>
      <w:autoSpaceDE w:val="0"/>
      <w:autoSpaceDN w:val="0"/>
      <w:adjustRightInd w:val="0"/>
      <w:snapToGrid w:val="0"/>
      <w:spacing w:before="240" w:after="64" w:line="320" w:lineRule="auto"/>
      <w:ind w:firstLine="200" w:firstLineChars="200"/>
      <w:outlineLvl w:val="6"/>
    </w:pPr>
    <w:rPr>
      <w:rFonts w:eastAsia="宋体"/>
      <w:b/>
      <w:bCs/>
      <w:szCs w:val="24"/>
      <w14:ligatures w14:val="none"/>
    </w:rPr>
  </w:style>
  <w:style w:type="paragraph" w:styleId="9">
    <w:name w:val="heading 8"/>
    <w:basedOn w:val="1"/>
    <w:next w:val="1"/>
    <w:link w:val="40"/>
    <w:semiHidden/>
    <w:unhideWhenUsed/>
    <w:qFormat/>
    <w:uiPriority w:val="9"/>
    <w:pPr>
      <w:keepNext/>
      <w:keepLines/>
      <w:autoSpaceDE w:val="0"/>
      <w:autoSpaceDN w:val="0"/>
      <w:adjustRightInd w:val="0"/>
      <w:snapToGrid w:val="0"/>
      <w:spacing w:before="240" w:after="64" w:line="320" w:lineRule="auto"/>
      <w:ind w:firstLine="200" w:firstLineChars="200"/>
      <w:outlineLvl w:val="7"/>
    </w:pPr>
    <w:rPr>
      <w:rFonts w:asciiTheme="majorHAnsi" w:hAnsiTheme="majorHAnsi" w:eastAsiaTheme="majorEastAsia" w:cstheme="majorBidi"/>
      <w:szCs w:val="24"/>
      <w14:ligatures w14:val="none"/>
    </w:rPr>
  </w:style>
  <w:style w:type="paragraph" w:styleId="10">
    <w:name w:val="heading 9"/>
    <w:basedOn w:val="1"/>
    <w:next w:val="1"/>
    <w:link w:val="41"/>
    <w:semiHidden/>
    <w:unhideWhenUsed/>
    <w:qFormat/>
    <w:uiPriority w:val="9"/>
    <w:pPr>
      <w:keepNext/>
      <w:keepLines/>
      <w:autoSpaceDE w:val="0"/>
      <w:autoSpaceDN w:val="0"/>
      <w:adjustRightInd w:val="0"/>
      <w:snapToGrid w:val="0"/>
      <w:spacing w:before="240" w:after="64" w:line="320" w:lineRule="auto"/>
      <w:ind w:firstLine="200" w:firstLineChars="200"/>
      <w:outlineLvl w:val="8"/>
    </w:pPr>
    <w:rPr>
      <w:rFonts w:asciiTheme="majorHAnsi" w:hAnsiTheme="majorHAnsi" w:eastAsiaTheme="majorEastAsia" w:cstheme="majorBidi"/>
      <w14:ligatures w14:val="none"/>
    </w:rPr>
  </w:style>
  <w:style w:type="character" w:default="1" w:styleId="23">
    <w:name w:val="Default Paragraph Font"/>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pPr>
      <w:autoSpaceDE w:val="0"/>
      <w:autoSpaceDN w:val="0"/>
      <w:adjustRightInd w:val="0"/>
      <w:snapToGrid w:val="0"/>
      <w:ind w:firstLine="200" w:firstLineChars="200"/>
    </w:pPr>
    <w:rPr>
      <w:rFonts w:eastAsia="黑体" w:asciiTheme="majorHAnsi" w:hAnsiTheme="majorHAnsi" w:cstheme="majorBidi"/>
      <w:sz w:val="20"/>
      <w:szCs w:val="20"/>
      <w14:ligatures w14:val="none"/>
    </w:rPr>
  </w:style>
  <w:style w:type="paragraph" w:styleId="12">
    <w:name w:val="annotation text"/>
    <w:basedOn w:val="1"/>
    <w:link w:val="75"/>
    <w:semiHidden/>
    <w:unhideWhenUsed/>
    <w:qFormat/>
    <w:uiPriority w:val="99"/>
    <w:pPr>
      <w:jc w:val="left"/>
    </w:pPr>
  </w:style>
  <w:style w:type="paragraph" w:styleId="13">
    <w:name w:val="Date"/>
    <w:basedOn w:val="1"/>
    <w:next w:val="1"/>
    <w:link w:val="68"/>
    <w:semiHidden/>
    <w:unhideWhenUsed/>
    <w:qFormat/>
    <w:uiPriority w:val="99"/>
    <w:pPr>
      <w:ind w:left="100" w:leftChars="2500"/>
    </w:pPr>
  </w:style>
  <w:style w:type="paragraph" w:styleId="14">
    <w:name w:val="endnote text"/>
    <w:basedOn w:val="1"/>
    <w:link w:val="67"/>
    <w:qFormat/>
    <w:uiPriority w:val="99"/>
    <w:pPr>
      <w:snapToGrid w:val="0"/>
      <w:jc w:val="left"/>
    </w:pPr>
    <w:rPr>
      <w:rFonts w:ascii="Arial" w:hAnsi="Arial" w:eastAsia="黑体"/>
      <w:sz w:val="20"/>
      <w:szCs w:val="24"/>
      <w14:ligatures w14:val="none"/>
    </w:rPr>
  </w:style>
  <w:style w:type="paragraph" w:styleId="15">
    <w:name w:val="Balloon Text"/>
    <w:basedOn w:val="1"/>
    <w:link w:val="77"/>
    <w:semiHidden/>
    <w:unhideWhenUsed/>
    <w:qFormat/>
    <w:uiPriority w:val="99"/>
    <w:rPr>
      <w:sz w:val="18"/>
      <w:szCs w:val="18"/>
    </w:rPr>
  </w:style>
  <w:style w:type="paragraph" w:styleId="16">
    <w:name w:val="footer"/>
    <w:basedOn w:val="1"/>
    <w:link w:val="42"/>
    <w:unhideWhenUsed/>
    <w:qFormat/>
    <w:uiPriority w:val="99"/>
    <w:pPr>
      <w:tabs>
        <w:tab w:val="center" w:pos="4153"/>
        <w:tab w:val="right" w:pos="8306"/>
      </w:tabs>
      <w:autoSpaceDE w:val="0"/>
      <w:autoSpaceDN w:val="0"/>
      <w:adjustRightInd w:val="0"/>
      <w:snapToGrid w:val="0"/>
      <w:ind w:firstLine="200" w:firstLineChars="200"/>
      <w:jc w:val="left"/>
    </w:pPr>
    <w:rPr>
      <w:rFonts w:eastAsia="宋体"/>
      <w:sz w:val="18"/>
      <w:szCs w:val="18"/>
      <w14:ligatures w14:val="none"/>
    </w:rPr>
  </w:style>
  <w:style w:type="paragraph" w:styleId="17">
    <w:name w:val="header"/>
    <w:basedOn w:val="1"/>
    <w:link w:val="43"/>
    <w:unhideWhenUsed/>
    <w:qFormat/>
    <w:uiPriority w:val="99"/>
    <w:pPr>
      <w:tabs>
        <w:tab w:val="center" w:pos="4153"/>
        <w:tab w:val="right" w:pos="8306"/>
      </w:tabs>
      <w:autoSpaceDE w:val="0"/>
      <w:autoSpaceDN w:val="0"/>
      <w:adjustRightInd w:val="0"/>
      <w:snapToGrid w:val="0"/>
      <w:ind w:firstLine="200" w:firstLineChars="200"/>
      <w:jc w:val="center"/>
    </w:pPr>
    <w:rPr>
      <w:rFonts w:eastAsia="宋体"/>
      <w:sz w:val="18"/>
      <w:szCs w:val="18"/>
      <w14:ligatures w14:val="none"/>
    </w:rPr>
  </w:style>
  <w:style w:type="paragraph" w:styleId="18">
    <w:name w:val="Subtitle"/>
    <w:basedOn w:val="1"/>
    <w:next w:val="1"/>
    <w:link w:val="44"/>
    <w:qFormat/>
    <w:uiPriority w:val="11"/>
    <w:pPr>
      <w:autoSpaceDE w:val="0"/>
      <w:autoSpaceDN w:val="0"/>
      <w:adjustRightInd w:val="0"/>
      <w:snapToGrid w:val="0"/>
      <w:spacing w:before="240" w:after="60" w:line="312" w:lineRule="auto"/>
      <w:ind w:firstLine="200" w:firstLineChars="200"/>
      <w:jc w:val="center"/>
      <w:outlineLvl w:val="1"/>
    </w:pPr>
    <w:rPr>
      <w:rFonts w:eastAsia="宋体"/>
      <w:b/>
      <w:bCs/>
      <w:kern w:val="28"/>
      <w:szCs w:val="32"/>
      <w14:ligatures w14:val="none"/>
    </w:rPr>
  </w:style>
  <w:style w:type="paragraph" w:styleId="19">
    <w:name w:val="Normal (Web)"/>
    <w:basedOn w:val="1"/>
    <w:semiHidden/>
    <w:unhideWhenUsed/>
    <w:qFormat/>
    <w:uiPriority w:val="99"/>
    <w:pPr>
      <w:widowControl/>
      <w:autoSpaceDE w:val="0"/>
      <w:autoSpaceDN w:val="0"/>
      <w:adjustRightInd w:val="0"/>
      <w:snapToGrid w:val="0"/>
      <w:spacing w:before="100" w:beforeAutospacing="1" w:after="100" w:afterAutospacing="1"/>
      <w:ind w:firstLine="200" w:firstLineChars="200"/>
      <w:jc w:val="left"/>
    </w:pPr>
    <w:rPr>
      <w:rFonts w:ascii="宋体" w:hAnsi="宋体" w:eastAsia="宋体" w:cs="宋体"/>
      <w:kern w:val="0"/>
      <w:szCs w:val="24"/>
      <w14:ligatures w14:val="none"/>
    </w:rPr>
  </w:style>
  <w:style w:type="paragraph" w:styleId="20">
    <w:name w:val="annotation subject"/>
    <w:basedOn w:val="12"/>
    <w:next w:val="12"/>
    <w:link w:val="76"/>
    <w:semiHidden/>
    <w:unhideWhenUsed/>
    <w:qFormat/>
    <w:uiPriority w:val="99"/>
    <w:rPr>
      <w:b/>
      <w:bCs/>
    </w:rPr>
  </w:style>
  <w:style w:type="table" w:styleId="22">
    <w:name w:val="Table Grid"/>
    <w:basedOn w:val="21"/>
    <w:qFormat/>
    <w:uiPriority w:val="39"/>
    <w:rPr>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22"/>
    <w:rPr>
      <w:b/>
      <w:bCs/>
    </w:rPr>
  </w:style>
  <w:style w:type="character" w:styleId="25">
    <w:name w:val="Emphasis"/>
    <w:basedOn w:val="23"/>
    <w:qFormat/>
    <w:uiPriority w:val="20"/>
    <w:rPr>
      <w:i/>
      <w:iCs/>
    </w:rPr>
  </w:style>
  <w:style w:type="character" w:styleId="26">
    <w:name w:val="Hyperlink"/>
    <w:basedOn w:val="23"/>
    <w:unhideWhenUsed/>
    <w:qFormat/>
    <w:uiPriority w:val="99"/>
    <w:rPr>
      <w:color w:val="0000FF"/>
      <w:u w:val="single"/>
    </w:rPr>
  </w:style>
  <w:style w:type="character" w:styleId="27">
    <w:name w:val="annotation reference"/>
    <w:basedOn w:val="23"/>
    <w:semiHidden/>
    <w:unhideWhenUsed/>
    <w:qFormat/>
    <w:uiPriority w:val="99"/>
    <w:rPr>
      <w:sz w:val="21"/>
      <w:szCs w:val="21"/>
    </w:rPr>
  </w:style>
  <w:style w:type="paragraph" w:customStyle="1" w:styleId="28">
    <w:name w:val="MTDisplayEquation"/>
    <w:basedOn w:val="1"/>
    <w:link w:val="29"/>
    <w:qFormat/>
    <w:uiPriority w:val="0"/>
    <w:pPr>
      <w:tabs>
        <w:tab w:val="center" w:pos="3840"/>
        <w:tab w:val="right" w:pos="8160"/>
      </w:tabs>
      <w:autoSpaceDE w:val="0"/>
      <w:autoSpaceDN w:val="0"/>
      <w:adjustRightInd w:val="0"/>
      <w:snapToGrid w:val="0"/>
      <w:spacing w:before="156" w:beforeLines="50" w:after="156" w:afterLines="50"/>
      <w:jc w:val="left"/>
      <w:textAlignment w:val="center"/>
    </w:pPr>
    <w:rPr>
      <w:rFonts w:ascii="Times New Roman" w:hAnsi="Times New Roman" w:eastAsia="宋体" w:cs="Times New Roman"/>
      <w14:ligatures w14:val="none"/>
    </w:rPr>
  </w:style>
  <w:style w:type="character" w:customStyle="1" w:styleId="29">
    <w:name w:val="MTDisplayEquation 字符"/>
    <w:basedOn w:val="23"/>
    <w:link w:val="28"/>
    <w:qFormat/>
    <w:uiPriority w:val="0"/>
    <w:rPr>
      <w:rFonts w:ascii="Times New Roman" w:hAnsi="Times New Roman" w:eastAsia="宋体" w:cs="Times New Roman"/>
      <w14:ligatures w14:val="none"/>
    </w:rPr>
  </w:style>
  <w:style w:type="paragraph" w:customStyle="1" w:styleId="30">
    <w:name w:val="公式"/>
    <w:basedOn w:val="1"/>
    <w:link w:val="31"/>
    <w:qFormat/>
    <w:uiPriority w:val="0"/>
    <w:pPr>
      <w:tabs>
        <w:tab w:val="center" w:pos="3840"/>
        <w:tab w:val="right" w:pos="8160"/>
      </w:tabs>
      <w:autoSpaceDE w:val="0"/>
      <w:autoSpaceDN w:val="0"/>
      <w:adjustRightInd w:val="0"/>
      <w:snapToGrid w:val="0"/>
      <w:spacing w:before="50" w:beforeLines="50" w:after="50" w:afterLines="50"/>
      <w:jc w:val="left"/>
      <w:textAlignment w:val="center"/>
    </w:pPr>
    <w:rPr>
      <w:rFonts w:ascii="Times New Roman" w:hAnsi="Times New Roman" w:eastAsia="宋体" w:cs="Times New Roman"/>
      <w14:ligatures w14:val="none"/>
    </w:rPr>
  </w:style>
  <w:style w:type="character" w:customStyle="1" w:styleId="31">
    <w:name w:val="公式 字符"/>
    <w:basedOn w:val="23"/>
    <w:link w:val="30"/>
    <w:qFormat/>
    <w:uiPriority w:val="0"/>
    <w:rPr>
      <w:rFonts w:ascii="Times New Roman" w:hAnsi="Times New Roman" w:eastAsia="宋体" w:cs="Times New Roman"/>
      <w14:ligatures w14:val="none"/>
    </w:rPr>
  </w:style>
  <w:style w:type="character" w:customStyle="1" w:styleId="32">
    <w:name w:val="标题 4 字符"/>
    <w:basedOn w:val="23"/>
    <w:link w:val="5"/>
    <w:qFormat/>
    <w:uiPriority w:val="9"/>
    <w:rPr>
      <w:rFonts w:eastAsia="宋体" w:asciiTheme="majorHAnsi" w:hAnsiTheme="majorHAnsi" w:cstheme="majorBidi"/>
      <w:bCs/>
      <w:szCs w:val="28"/>
      <w14:ligatures w14:val="none"/>
    </w:rPr>
  </w:style>
  <w:style w:type="character" w:customStyle="1" w:styleId="33">
    <w:name w:val="标题 3 字符"/>
    <w:basedOn w:val="23"/>
    <w:link w:val="4"/>
    <w:qFormat/>
    <w:uiPriority w:val="9"/>
    <w:rPr>
      <w:b/>
      <w:bCs/>
      <w:sz w:val="32"/>
      <w:szCs w:val="32"/>
    </w:rPr>
  </w:style>
  <w:style w:type="character" w:styleId="34">
    <w:name w:val="Placeholder Text"/>
    <w:basedOn w:val="23"/>
    <w:semiHidden/>
    <w:qFormat/>
    <w:uiPriority w:val="99"/>
    <w:rPr>
      <w:color w:val="666666"/>
    </w:rPr>
  </w:style>
  <w:style w:type="character" w:customStyle="1" w:styleId="35">
    <w:name w:val="标题 2 字符"/>
    <w:basedOn w:val="23"/>
    <w:link w:val="3"/>
    <w:qFormat/>
    <w:uiPriority w:val="9"/>
    <w:rPr>
      <w:rFonts w:asciiTheme="majorHAnsi" w:hAnsiTheme="majorHAnsi" w:eastAsiaTheme="majorEastAsia" w:cstheme="majorBidi"/>
      <w:b/>
      <w:bCs/>
      <w:sz w:val="32"/>
      <w:szCs w:val="32"/>
    </w:rPr>
  </w:style>
  <w:style w:type="character" w:customStyle="1" w:styleId="36">
    <w:name w:val="标题 1 字符"/>
    <w:basedOn w:val="23"/>
    <w:link w:val="2"/>
    <w:qFormat/>
    <w:uiPriority w:val="9"/>
    <w:rPr>
      <w:rFonts w:eastAsia="黑体"/>
      <w:bCs/>
      <w:kern w:val="44"/>
      <w:sz w:val="36"/>
      <w:szCs w:val="44"/>
      <w14:ligatures w14:val="none"/>
    </w:rPr>
  </w:style>
  <w:style w:type="character" w:customStyle="1" w:styleId="37">
    <w:name w:val="标题 5 字符"/>
    <w:basedOn w:val="23"/>
    <w:link w:val="6"/>
    <w:semiHidden/>
    <w:qFormat/>
    <w:uiPriority w:val="9"/>
    <w:rPr>
      <w:rFonts w:eastAsia="宋体"/>
      <w:b/>
      <w:bCs/>
      <w:sz w:val="28"/>
      <w:szCs w:val="28"/>
      <w14:ligatures w14:val="none"/>
    </w:rPr>
  </w:style>
  <w:style w:type="character" w:customStyle="1" w:styleId="38">
    <w:name w:val="标题 6 字符"/>
    <w:basedOn w:val="23"/>
    <w:link w:val="7"/>
    <w:semiHidden/>
    <w:qFormat/>
    <w:uiPriority w:val="9"/>
    <w:rPr>
      <w:rFonts w:asciiTheme="majorHAnsi" w:hAnsiTheme="majorHAnsi" w:eastAsiaTheme="majorEastAsia" w:cstheme="majorBidi"/>
      <w:b/>
      <w:bCs/>
      <w:szCs w:val="24"/>
      <w14:ligatures w14:val="none"/>
    </w:rPr>
  </w:style>
  <w:style w:type="character" w:customStyle="1" w:styleId="39">
    <w:name w:val="标题 7 字符"/>
    <w:basedOn w:val="23"/>
    <w:link w:val="8"/>
    <w:semiHidden/>
    <w:qFormat/>
    <w:uiPriority w:val="9"/>
    <w:rPr>
      <w:rFonts w:eastAsia="宋体"/>
      <w:b/>
      <w:bCs/>
      <w:szCs w:val="24"/>
      <w14:ligatures w14:val="none"/>
    </w:rPr>
  </w:style>
  <w:style w:type="character" w:customStyle="1" w:styleId="40">
    <w:name w:val="标题 8 字符"/>
    <w:basedOn w:val="23"/>
    <w:link w:val="9"/>
    <w:semiHidden/>
    <w:qFormat/>
    <w:uiPriority w:val="9"/>
    <w:rPr>
      <w:rFonts w:asciiTheme="majorHAnsi" w:hAnsiTheme="majorHAnsi" w:eastAsiaTheme="majorEastAsia" w:cstheme="majorBidi"/>
      <w:szCs w:val="24"/>
      <w14:ligatures w14:val="none"/>
    </w:rPr>
  </w:style>
  <w:style w:type="character" w:customStyle="1" w:styleId="41">
    <w:name w:val="标题 9 字符"/>
    <w:basedOn w:val="23"/>
    <w:link w:val="10"/>
    <w:semiHidden/>
    <w:qFormat/>
    <w:uiPriority w:val="9"/>
    <w:rPr>
      <w:rFonts w:asciiTheme="majorHAnsi" w:hAnsiTheme="majorHAnsi" w:eastAsiaTheme="majorEastAsia" w:cstheme="majorBidi"/>
      <w:szCs w:val="21"/>
      <w14:ligatures w14:val="none"/>
    </w:rPr>
  </w:style>
  <w:style w:type="character" w:customStyle="1" w:styleId="42">
    <w:name w:val="页脚 字符"/>
    <w:basedOn w:val="23"/>
    <w:link w:val="16"/>
    <w:qFormat/>
    <w:uiPriority w:val="99"/>
    <w:rPr>
      <w:rFonts w:eastAsia="宋体"/>
      <w:sz w:val="18"/>
      <w:szCs w:val="18"/>
      <w14:ligatures w14:val="none"/>
    </w:rPr>
  </w:style>
  <w:style w:type="character" w:customStyle="1" w:styleId="43">
    <w:name w:val="页眉 字符"/>
    <w:basedOn w:val="23"/>
    <w:link w:val="17"/>
    <w:qFormat/>
    <w:uiPriority w:val="99"/>
    <w:rPr>
      <w:rFonts w:eastAsia="宋体"/>
      <w:sz w:val="18"/>
      <w:szCs w:val="18"/>
      <w14:ligatures w14:val="none"/>
    </w:rPr>
  </w:style>
  <w:style w:type="character" w:customStyle="1" w:styleId="44">
    <w:name w:val="副标题 字符"/>
    <w:basedOn w:val="23"/>
    <w:link w:val="18"/>
    <w:qFormat/>
    <w:uiPriority w:val="11"/>
    <w:rPr>
      <w:rFonts w:eastAsia="宋体"/>
      <w:b/>
      <w:bCs/>
      <w:kern w:val="28"/>
      <w:sz w:val="32"/>
      <w:szCs w:val="32"/>
      <w14:ligatures w14:val="none"/>
    </w:rPr>
  </w:style>
  <w:style w:type="paragraph" w:customStyle="1" w:styleId="45">
    <w:name w:val="A标题"/>
    <w:basedOn w:val="2"/>
    <w:link w:val="46"/>
    <w:qFormat/>
    <w:uiPriority w:val="0"/>
    <w:rPr>
      <w:rFonts w:eastAsiaTheme="majorEastAsia"/>
      <w:sz w:val="32"/>
    </w:rPr>
  </w:style>
  <w:style w:type="character" w:customStyle="1" w:styleId="46">
    <w:name w:val="A标题 字符"/>
    <w:basedOn w:val="36"/>
    <w:link w:val="45"/>
    <w:qFormat/>
    <w:uiPriority w:val="0"/>
    <w:rPr>
      <w:rFonts w:eastAsiaTheme="majorEastAsia"/>
      <w:kern w:val="44"/>
      <w:sz w:val="32"/>
      <w:szCs w:val="44"/>
      <w14:ligatures w14:val="none"/>
    </w:rPr>
  </w:style>
  <w:style w:type="paragraph" w:styleId="47">
    <w:name w:val="No Spacing"/>
    <w:qFormat/>
    <w:uiPriority w:val="1"/>
    <w:pPr>
      <w:widowControl w:val="0"/>
      <w:jc w:val="both"/>
    </w:pPr>
    <w:rPr>
      <w:rFonts w:asciiTheme="minorHAnsi" w:hAnsiTheme="minorHAnsi" w:eastAsiaTheme="minorEastAsia" w:cstheme="minorBidi"/>
      <w:kern w:val="2"/>
      <w:sz w:val="21"/>
      <w:szCs w:val="21"/>
      <w:lang w:val="en-US" w:eastAsia="zh-CN" w:bidi="ar-SA"/>
      <w14:ligatures w14:val="none"/>
    </w:rPr>
  </w:style>
  <w:style w:type="paragraph" w:styleId="48">
    <w:name w:val="List Paragraph"/>
    <w:basedOn w:val="1"/>
    <w:link w:val="63"/>
    <w:qFormat/>
    <w:uiPriority w:val="34"/>
    <w:pPr>
      <w:autoSpaceDE w:val="0"/>
      <w:autoSpaceDN w:val="0"/>
      <w:adjustRightInd w:val="0"/>
      <w:snapToGrid w:val="0"/>
      <w:ind w:firstLine="200" w:firstLineChars="200"/>
    </w:pPr>
    <w:rPr>
      <w:rFonts w:eastAsia="宋体"/>
      <w14:ligatures w14:val="none"/>
    </w:rPr>
  </w:style>
  <w:style w:type="paragraph" w:styleId="49">
    <w:name w:val="Quote"/>
    <w:basedOn w:val="1"/>
    <w:next w:val="1"/>
    <w:link w:val="50"/>
    <w:qFormat/>
    <w:uiPriority w:val="29"/>
    <w:pPr>
      <w:autoSpaceDE w:val="0"/>
      <w:autoSpaceDN w:val="0"/>
      <w:adjustRightInd w:val="0"/>
      <w:snapToGrid w:val="0"/>
      <w:spacing w:before="200" w:after="160"/>
      <w:ind w:left="864" w:right="864" w:firstLine="200" w:firstLineChars="200"/>
      <w:jc w:val="center"/>
    </w:pPr>
    <w:rPr>
      <w:rFonts w:eastAsia="宋体"/>
      <w:i/>
      <w:iCs/>
      <w:color w:val="404040" w:themeColor="text1" w:themeTint="BF"/>
      <w14:textFill>
        <w14:solidFill>
          <w14:schemeClr w14:val="tx1">
            <w14:lumMod w14:val="75000"/>
            <w14:lumOff w14:val="25000"/>
          </w14:schemeClr>
        </w14:solidFill>
      </w14:textFill>
      <w14:ligatures w14:val="none"/>
    </w:rPr>
  </w:style>
  <w:style w:type="character" w:customStyle="1" w:styleId="50">
    <w:name w:val="引用 字符"/>
    <w:basedOn w:val="23"/>
    <w:link w:val="49"/>
    <w:qFormat/>
    <w:uiPriority w:val="29"/>
    <w:rPr>
      <w:rFonts w:eastAsia="宋体"/>
      <w:i/>
      <w:iCs/>
      <w:color w:val="404040" w:themeColor="text1" w:themeTint="BF"/>
      <w14:textFill>
        <w14:solidFill>
          <w14:schemeClr w14:val="tx1">
            <w14:lumMod w14:val="75000"/>
            <w14:lumOff w14:val="25000"/>
          </w14:schemeClr>
        </w14:solidFill>
      </w14:textFill>
      <w14:ligatures w14:val="none"/>
    </w:rPr>
  </w:style>
  <w:style w:type="paragraph" w:styleId="51">
    <w:name w:val="Intense Quote"/>
    <w:basedOn w:val="1"/>
    <w:next w:val="1"/>
    <w:link w:val="52"/>
    <w:qFormat/>
    <w:uiPriority w:val="30"/>
    <w:pPr>
      <w:pBdr>
        <w:top w:val="single" w:color="4472C4" w:themeColor="accent1" w:sz="4" w:space="10"/>
        <w:bottom w:val="single" w:color="4472C4" w:themeColor="accent1" w:sz="4" w:space="10"/>
      </w:pBdr>
      <w:autoSpaceDE w:val="0"/>
      <w:autoSpaceDN w:val="0"/>
      <w:adjustRightInd w:val="0"/>
      <w:snapToGrid w:val="0"/>
      <w:spacing w:before="360" w:after="360"/>
      <w:ind w:left="864" w:right="864" w:firstLine="200" w:firstLineChars="200"/>
      <w:jc w:val="center"/>
    </w:pPr>
    <w:rPr>
      <w:rFonts w:eastAsia="宋体"/>
      <w:i/>
      <w:iCs/>
      <w:color w:val="4472C4" w:themeColor="accent1"/>
      <w14:textFill>
        <w14:solidFill>
          <w14:schemeClr w14:val="accent1"/>
        </w14:solidFill>
      </w14:textFill>
      <w14:ligatures w14:val="none"/>
    </w:rPr>
  </w:style>
  <w:style w:type="character" w:customStyle="1" w:styleId="52">
    <w:name w:val="明显引用 字符"/>
    <w:basedOn w:val="23"/>
    <w:link w:val="51"/>
    <w:qFormat/>
    <w:uiPriority w:val="30"/>
    <w:rPr>
      <w:rFonts w:eastAsia="宋体"/>
      <w:i/>
      <w:iCs/>
      <w:color w:val="4472C4" w:themeColor="accent1"/>
      <w14:textFill>
        <w14:solidFill>
          <w14:schemeClr w14:val="accent1"/>
        </w14:solidFill>
      </w14:textFill>
      <w14:ligatures w14:val="none"/>
    </w:rPr>
  </w:style>
  <w:style w:type="character" w:customStyle="1" w:styleId="53">
    <w:name w:val="不明显强调1"/>
    <w:basedOn w:val="23"/>
    <w:qFormat/>
    <w:uiPriority w:val="19"/>
    <w:rPr>
      <w:i/>
      <w:iCs/>
      <w:color w:val="404040" w:themeColor="text1" w:themeTint="BF"/>
      <w14:textFill>
        <w14:solidFill>
          <w14:schemeClr w14:val="tx1">
            <w14:lumMod w14:val="75000"/>
            <w14:lumOff w14:val="25000"/>
          </w14:schemeClr>
        </w14:solidFill>
      </w14:textFill>
    </w:rPr>
  </w:style>
  <w:style w:type="character" w:customStyle="1" w:styleId="54">
    <w:name w:val="明显强调1"/>
    <w:basedOn w:val="23"/>
    <w:qFormat/>
    <w:uiPriority w:val="21"/>
    <w:rPr>
      <w:i/>
      <w:iCs/>
      <w:color w:val="4472C4" w:themeColor="accent1"/>
      <w14:textFill>
        <w14:solidFill>
          <w14:schemeClr w14:val="accent1"/>
        </w14:solidFill>
      </w14:textFill>
    </w:rPr>
  </w:style>
  <w:style w:type="character" w:customStyle="1" w:styleId="55">
    <w:name w:val="不明显参考1"/>
    <w:basedOn w:val="23"/>
    <w:qFormat/>
    <w:uiPriority w:val="31"/>
    <w:rPr>
      <w:smallCaps/>
      <w:color w:val="595959" w:themeColor="text1" w:themeTint="A6"/>
      <w14:textFill>
        <w14:solidFill>
          <w14:schemeClr w14:val="tx1">
            <w14:lumMod w14:val="65000"/>
            <w14:lumOff w14:val="35000"/>
          </w14:schemeClr>
        </w14:solidFill>
      </w14:textFill>
    </w:rPr>
  </w:style>
  <w:style w:type="character" w:customStyle="1" w:styleId="56">
    <w:name w:val="明显参考1"/>
    <w:basedOn w:val="23"/>
    <w:qFormat/>
    <w:uiPriority w:val="32"/>
    <w:rPr>
      <w:b/>
      <w:bCs/>
      <w:smallCaps/>
      <w:color w:val="4472C4" w:themeColor="accent1"/>
      <w:spacing w:val="5"/>
      <w14:textFill>
        <w14:solidFill>
          <w14:schemeClr w14:val="accent1"/>
        </w14:solidFill>
      </w14:textFill>
    </w:rPr>
  </w:style>
  <w:style w:type="character" w:customStyle="1" w:styleId="57">
    <w:name w:val="书籍标题1"/>
    <w:basedOn w:val="23"/>
    <w:qFormat/>
    <w:uiPriority w:val="33"/>
    <w:rPr>
      <w:b/>
      <w:bCs/>
      <w:i/>
      <w:iCs/>
      <w:spacing w:val="5"/>
    </w:rPr>
  </w:style>
  <w:style w:type="paragraph" w:customStyle="1" w:styleId="58">
    <w:name w:val="TOC 标题1"/>
    <w:basedOn w:val="2"/>
    <w:next w:val="1"/>
    <w:unhideWhenUsed/>
    <w:qFormat/>
    <w:uiPriority w:val="39"/>
    <w:pPr>
      <w:outlineLvl w:val="9"/>
    </w:pPr>
  </w:style>
  <w:style w:type="character" w:customStyle="1" w:styleId="59">
    <w:name w:val="MTConvertedEquation"/>
    <w:basedOn w:val="23"/>
    <w:qFormat/>
    <w:uiPriority w:val="0"/>
    <w:rPr>
      <w:rFonts w:ascii="Cambria Math" w:hAnsi="Cambria Math"/>
      <w:i/>
    </w:rPr>
  </w:style>
  <w:style w:type="character" w:customStyle="1" w:styleId="60">
    <w:name w:val="MTEquationSection"/>
    <w:basedOn w:val="23"/>
    <w:qFormat/>
    <w:uiPriority w:val="0"/>
    <w:rPr>
      <w:rFonts w:ascii="Times New Roman" w:hAnsi="Times New Roman" w:cs="Times New Roman"/>
      <w:color w:val="FF0000"/>
    </w:rPr>
  </w:style>
  <w:style w:type="character" w:customStyle="1" w:styleId="61">
    <w:name w:val="Unresolved Mention"/>
    <w:basedOn w:val="23"/>
    <w:semiHidden/>
    <w:unhideWhenUsed/>
    <w:qFormat/>
    <w:uiPriority w:val="99"/>
    <w:rPr>
      <w:color w:val="605E5C"/>
      <w:shd w:val="clear" w:color="auto" w:fill="E1DFDD"/>
    </w:rPr>
  </w:style>
  <w:style w:type="paragraph" w:customStyle="1" w:styleId="62">
    <w:name w:val="B标题"/>
    <w:basedOn w:val="48"/>
    <w:link w:val="64"/>
    <w:qFormat/>
    <w:uiPriority w:val="0"/>
    <w:pPr>
      <w:spacing w:before="50" w:beforeLines="50" w:after="50" w:afterLines="50"/>
      <w:ind w:firstLine="0" w:firstLineChars="0"/>
      <w:jc w:val="left"/>
    </w:pPr>
    <w:rPr>
      <w:rFonts w:ascii="仿宋" w:hAnsi="仿宋" w:eastAsia="黑体" w:cs="Times New Roman"/>
    </w:rPr>
  </w:style>
  <w:style w:type="character" w:customStyle="1" w:styleId="63">
    <w:name w:val="列出段落 字符"/>
    <w:basedOn w:val="23"/>
    <w:link w:val="48"/>
    <w:qFormat/>
    <w:uiPriority w:val="34"/>
    <w:rPr>
      <w:rFonts w:eastAsia="宋体"/>
      <w14:ligatures w14:val="none"/>
    </w:rPr>
  </w:style>
  <w:style w:type="character" w:customStyle="1" w:styleId="64">
    <w:name w:val="B标题 字符"/>
    <w:basedOn w:val="63"/>
    <w:link w:val="62"/>
    <w:qFormat/>
    <w:uiPriority w:val="0"/>
    <w:rPr>
      <w:rFonts w:ascii="仿宋" w:hAnsi="仿宋" w:eastAsia="黑体" w:cs="Times New Roman"/>
      <w14:ligatures w14:val="none"/>
    </w:rPr>
  </w:style>
  <w:style w:type="paragraph" w:customStyle="1" w:styleId="65">
    <w:name w:val="C正文"/>
    <w:basedOn w:val="62"/>
    <w:link w:val="66"/>
    <w:qFormat/>
    <w:uiPriority w:val="0"/>
    <w:pPr>
      <w:spacing w:before="0" w:beforeLines="0" w:after="0" w:afterLines="0"/>
      <w:ind w:firstLine="200" w:firstLineChars="200"/>
      <w:jc w:val="both"/>
    </w:pPr>
    <w:rPr>
      <w:rFonts w:eastAsia="宋体"/>
    </w:rPr>
  </w:style>
  <w:style w:type="character" w:customStyle="1" w:styleId="66">
    <w:name w:val="C正文 字符"/>
    <w:basedOn w:val="64"/>
    <w:link w:val="65"/>
    <w:qFormat/>
    <w:uiPriority w:val="0"/>
    <w:rPr>
      <w:rFonts w:ascii="仿宋" w:hAnsi="仿宋" w:eastAsia="宋体" w:cs="Times New Roman"/>
      <w14:ligatures w14:val="none"/>
    </w:rPr>
  </w:style>
  <w:style w:type="character" w:customStyle="1" w:styleId="67">
    <w:name w:val="尾注文本 字符"/>
    <w:basedOn w:val="23"/>
    <w:link w:val="14"/>
    <w:qFormat/>
    <w:uiPriority w:val="99"/>
    <w:rPr>
      <w:rFonts w:ascii="Arial" w:hAnsi="Arial" w:eastAsia="黑体"/>
      <w:sz w:val="20"/>
      <w:szCs w:val="24"/>
      <w14:ligatures w14:val="none"/>
    </w:rPr>
  </w:style>
  <w:style w:type="character" w:customStyle="1" w:styleId="68">
    <w:name w:val="日期 字符"/>
    <w:basedOn w:val="23"/>
    <w:link w:val="13"/>
    <w:semiHidden/>
    <w:qFormat/>
    <w:uiPriority w:val="99"/>
  </w:style>
  <w:style w:type="table" w:customStyle="1" w:styleId="69">
    <w:name w:val="网格型1"/>
    <w:basedOn w:val="21"/>
    <w:qFormat/>
    <w:uiPriority w:val="39"/>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0">
    <w:name w:val="katex-mathml"/>
    <w:basedOn w:val="23"/>
    <w:qFormat/>
    <w:uiPriority w:val="0"/>
  </w:style>
  <w:style w:type="character" w:customStyle="1" w:styleId="71">
    <w:name w:val="mord"/>
    <w:basedOn w:val="23"/>
    <w:qFormat/>
    <w:uiPriority w:val="0"/>
  </w:style>
  <w:style w:type="character" w:customStyle="1" w:styleId="72">
    <w:name w:val="vlist-s"/>
    <w:basedOn w:val="23"/>
    <w:qFormat/>
    <w:uiPriority w:val="0"/>
  </w:style>
  <w:style w:type="character" w:customStyle="1" w:styleId="73">
    <w:name w:val="title-text"/>
    <w:basedOn w:val="23"/>
    <w:qFormat/>
    <w:uiPriority w:val="0"/>
  </w:style>
  <w:style w:type="character" w:customStyle="1" w:styleId="74">
    <w:name w:val="anchor-text"/>
    <w:basedOn w:val="23"/>
    <w:qFormat/>
    <w:uiPriority w:val="0"/>
  </w:style>
  <w:style w:type="character" w:customStyle="1" w:styleId="75">
    <w:name w:val="批注文字 字符"/>
    <w:basedOn w:val="23"/>
    <w:link w:val="12"/>
    <w:semiHidden/>
    <w:qFormat/>
    <w:uiPriority w:val="99"/>
  </w:style>
  <w:style w:type="character" w:customStyle="1" w:styleId="76">
    <w:name w:val="批注主题 字符"/>
    <w:basedOn w:val="75"/>
    <w:link w:val="20"/>
    <w:semiHidden/>
    <w:qFormat/>
    <w:uiPriority w:val="99"/>
    <w:rPr>
      <w:b/>
      <w:bCs/>
    </w:rPr>
  </w:style>
  <w:style w:type="character" w:customStyle="1" w:styleId="77">
    <w:name w:val="批注框文本 字符"/>
    <w:basedOn w:val="23"/>
    <w:link w:val="15"/>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0" Type="http://schemas.openxmlformats.org/officeDocument/2006/relationships/fontTable" Target="fontTable.xml"/><Relationship Id="rId4" Type="http://schemas.openxmlformats.org/officeDocument/2006/relationships/header" Target="header2.xml"/><Relationship Id="rId39" Type="http://schemas.openxmlformats.org/officeDocument/2006/relationships/customXml" Target="../customXml/item1.xml"/><Relationship Id="rId38" Type="http://schemas.openxmlformats.org/officeDocument/2006/relationships/image" Target="media/image14.png"/><Relationship Id="rId37" Type="http://schemas.openxmlformats.org/officeDocument/2006/relationships/image" Target="media/image13.wmf"/><Relationship Id="rId36" Type="http://schemas.openxmlformats.org/officeDocument/2006/relationships/oleObject" Target="embeddings/oleObject15.bin"/><Relationship Id="rId35" Type="http://schemas.openxmlformats.org/officeDocument/2006/relationships/image" Target="media/image12.wmf"/><Relationship Id="rId34" Type="http://schemas.openxmlformats.org/officeDocument/2006/relationships/oleObject" Target="embeddings/oleObject14.bin"/><Relationship Id="rId33" Type="http://schemas.openxmlformats.org/officeDocument/2006/relationships/image" Target="media/image11.wmf"/><Relationship Id="rId32" Type="http://schemas.openxmlformats.org/officeDocument/2006/relationships/oleObject" Target="embeddings/oleObject13.bin"/><Relationship Id="rId31" Type="http://schemas.openxmlformats.org/officeDocument/2006/relationships/image" Target="media/image10.wmf"/><Relationship Id="rId30" Type="http://schemas.openxmlformats.org/officeDocument/2006/relationships/oleObject" Target="embeddings/oleObject12.bin"/><Relationship Id="rId3" Type="http://schemas.openxmlformats.org/officeDocument/2006/relationships/header" Target="header1.xml"/><Relationship Id="rId29" Type="http://schemas.openxmlformats.org/officeDocument/2006/relationships/oleObject" Target="embeddings/oleObject11.bin"/><Relationship Id="rId28" Type="http://schemas.openxmlformats.org/officeDocument/2006/relationships/image" Target="media/image9.wmf"/><Relationship Id="rId27" Type="http://schemas.openxmlformats.org/officeDocument/2006/relationships/oleObject" Target="embeddings/oleObject10.bin"/><Relationship Id="rId26" Type="http://schemas.openxmlformats.org/officeDocument/2006/relationships/image" Target="media/image8.wmf"/><Relationship Id="rId25" Type="http://schemas.openxmlformats.org/officeDocument/2006/relationships/oleObject" Target="embeddings/oleObject9.bin"/><Relationship Id="rId24" Type="http://schemas.openxmlformats.org/officeDocument/2006/relationships/image" Target="media/image7.wmf"/><Relationship Id="rId23" Type="http://schemas.openxmlformats.org/officeDocument/2006/relationships/oleObject" Target="embeddings/oleObject8.bin"/><Relationship Id="rId22" Type="http://schemas.openxmlformats.org/officeDocument/2006/relationships/image" Target="media/image6.wmf"/><Relationship Id="rId21" Type="http://schemas.openxmlformats.org/officeDocument/2006/relationships/oleObject" Target="embeddings/oleObject7.bin"/><Relationship Id="rId20" Type="http://schemas.openxmlformats.org/officeDocument/2006/relationships/oleObject" Target="embeddings/oleObject6.bin"/><Relationship Id="rId2" Type="http://schemas.openxmlformats.org/officeDocument/2006/relationships/settings" Target="settings.xml"/><Relationship Id="rId19" Type="http://schemas.openxmlformats.org/officeDocument/2006/relationships/image" Target="media/image5.wmf"/><Relationship Id="rId18" Type="http://schemas.openxmlformats.org/officeDocument/2006/relationships/oleObject" Target="embeddings/oleObject5.bin"/><Relationship Id="rId17" Type="http://schemas.openxmlformats.org/officeDocument/2006/relationships/image" Target="media/image4.wmf"/><Relationship Id="rId16" Type="http://schemas.openxmlformats.org/officeDocument/2006/relationships/oleObject" Target="embeddings/oleObject4.bin"/><Relationship Id="rId15" Type="http://schemas.openxmlformats.org/officeDocument/2006/relationships/image" Target="media/image3.wmf"/><Relationship Id="rId14" Type="http://schemas.openxmlformats.org/officeDocument/2006/relationships/oleObject" Target="embeddings/oleObject3.bin"/><Relationship Id="rId13" Type="http://schemas.openxmlformats.org/officeDocument/2006/relationships/image" Target="media/image2.wmf"/><Relationship Id="rId12" Type="http://schemas.openxmlformats.org/officeDocument/2006/relationships/oleObject" Target="embeddings/oleObject2.bin"/><Relationship Id="rId11" Type="http://schemas.openxmlformats.org/officeDocument/2006/relationships/image" Target="media/image1.w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4AF28-49A7-48F9-BFEE-7162E5FE826D}">
  <ds:schemaRefs/>
</ds:datastoreItem>
</file>

<file path=docProps/app.xml><?xml version="1.0" encoding="utf-8"?>
<Properties xmlns="http://schemas.openxmlformats.org/officeDocument/2006/extended-properties" xmlns:vt="http://schemas.openxmlformats.org/officeDocument/2006/docPropsVTypes">
  <Template>Normal</Template>
  <Pages>9</Pages>
  <Words>9561</Words>
  <Characters>13513</Characters>
  <Lines>104</Lines>
  <Paragraphs>29</Paragraphs>
  <TotalTime>62</TotalTime>
  <ScaleCrop>false</ScaleCrop>
  <LinksUpToDate>false</LinksUpToDate>
  <CharactersWithSpaces>14103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2025-09-01T08:32:00Z</dcterms:created>
  <dc:creator>熙 金</dc:creator>
  <cp:lastModifiedBy>WPS_1640049877</cp:lastModifiedBy>
  <cp:lastPrinted>2025-05-14T07:08:00Z</cp:lastPrinted>
  <dcterms:modified xsi:type="dcterms:W3CDTF">2025-10-24T06:50:18Z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y fmtid="{D5CDD505-2E9C-101B-9397-08002B2CF9AE}" pid="4" name="MTWinEqns">
    <vt:bool>true</vt:bool>
  </property>
  <property fmtid="{D5CDD505-2E9C-101B-9397-08002B2CF9AE}" pid="5" name="KSOTemplateDocerSaveRecord">
    <vt:lpwstr>eyJoZGlkIjoiZmJlNTRkODU4Mzc2YjVhMzdlN2ZiN2EyZjE2YWUxN2EiLCJ1c2VySWQiOiIxMzA3NDIwNjIyIn0=</vt:lpwstr>
  </property>
  <property fmtid="{D5CDD505-2E9C-101B-9397-08002B2CF9AE}" pid="6" name="KSOProductBuildVer">
    <vt:lpwstr>2052-12.1.0.23125</vt:lpwstr>
  </property>
  <property fmtid="{D5CDD505-2E9C-101B-9397-08002B2CF9AE}" pid="7" name="ICV">
    <vt:lpwstr>AED5F3E20CA944CAA23B3BFCC8D9FAC6_13</vt:lpwstr>
  </property>
</Properties>
</file>