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01B15E6" w14:textId="43E16423" w:rsidR="00BD6A7C" w:rsidRPr="000C1905" w:rsidRDefault="007E2771">
      <w:pPr>
        <w:jc w:val="center"/>
        <w:rPr>
          <w:rFonts w:ascii="楷体" w:eastAsia="楷体" w:hAnsi="楷体"/>
          <w:b/>
          <w:sz w:val="32"/>
          <w:szCs w:val="32"/>
          <w:vertAlign w:val="superscript"/>
        </w:rPr>
      </w:pPr>
      <w:r w:rsidRPr="000C1905">
        <w:rPr>
          <w:rFonts w:ascii="黑体" w:eastAsia="黑体" w:hAnsi="黑体" w:hint="eastAsia"/>
          <w:b/>
          <w:sz w:val="32"/>
          <w:szCs w:val="32"/>
        </w:rPr>
        <w:fldChar w:fldCharType="begin"/>
      </w:r>
      <w:r w:rsidRPr="000C1905">
        <w:rPr>
          <w:rFonts w:ascii="黑体" w:eastAsia="黑体" w:hAnsi="黑体" w:hint="eastAsia"/>
          <w:b/>
          <w:sz w:val="32"/>
          <w:szCs w:val="32"/>
        </w:rPr>
        <w:instrText xml:space="preserve"> MACROBUTTON MTEditEquationSection2 </w:instrText>
      </w:r>
      <w:r w:rsidRPr="000C1905">
        <w:rPr>
          <w:rStyle w:val="MTEquationSection"/>
          <w:rFonts w:hint="eastAsia"/>
          <w:color w:val="auto"/>
        </w:rPr>
        <w:instrText>Equation Chapter 1 Section 1</w:instrText>
      </w:r>
      <w:r w:rsidRPr="000C1905">
        <w:rPr>
          <w:rFonts w:ascii="黑体" w:eastAsia="黑体" w:hAnsi="黑体" w:hint="eastAsia"/>
          <w:b/>
          <w:sz w:val="32"/>
          <w:szCs w:val="32"/>
        </w:rPr>
        <w:fldChar w:fldCharType="begin"/>
      </w:r>
      <w:r w:rsidRPr="000C1905">
        <w:rPr>
          <w:rFonts w:ascii="黑体" w:eastAsia="黑体" w:hAnsi="黑体" w:hint="eastAsia"/>
          <w:b/>
          <w:sz w:val="32"/>
          <w:szCs w:val="32"/>
        </w:rPr>
        <w:instrText xml:space="preserve"> SEQ MTEqn \r \h \* MERGEFORMAT </w:instrText>
      </w:r>
      <w:r w:rsidRPr="000C1905">
        <w:rPr>
          <w:rFonts w:ascii="黑体" w:eastAsia="黑体" w:hAnsi="黑体" w:hint="eastAsia"/>
          <w:b/>
          <w:sz w:val="32"/>
          <w:szCs w:val="32"/>
        </w:rPr>
        <w:fldChar w:fldCharType="end"/>
      </w:r>
      <w:r w:rsidRPr="000C1905">
        <w:rPr>
          <w:rFonts w:ascii="黑体" w:eastAsia="黑体" w:hAnsi="黑体" w:hint="eastAsia"/>
          <w:b/>
          <w:sz w:val="32"/>
          <w:szCs w:val="32"/>
        </w:rPr>
        <w:fldChar w:fldCharType="begin"/>
      </w:r>
      <w:r w:rsidRPr="000C1905">
        <w:rPr>
          <w:rFonts w:ascii="黑体" w:eastAsia="黑体" w:hAnsi="黑体" w:hint="eastAsia"/>
          <w:b/>
          <w:sz w:val="32"/>
          <w:szCs w:val="32"/>
        </w:rPr>
        <w:instrText xml:space="preserve"> SEQ MTSec \r 1 \h \* MERGEFORMAT </w:instrText>
      </w:r>
      <w:r w:rsidRPr="000C1905">
        <w:rPr>
          <w:rFonts w:ascii="黑体" w:eastAsia="黑体" w:hAnsi="黑体" w:hint="eastAsia"/>
          <w:b/>
          <w:sz w:val="32"/>
          <w:szCs w:val="32"/>
        </w:rPr>
        <w:fldChar w:fldCharType="end"/>
      </w:r>
      <w:r w:rsidRPr="000C1905">
        <w:rPr>
          <w:rFonts w:ascii="黑体" w:eastAsia="黑体" w:hAnsi="黑体" w:hint="eastAsia"/>
          <w:b/>
          <w:sz w:val="32"/>
          <w:szCs w:val="32"/>
        </w:rPr>
        <w:fldChar w:fldCharType="begin"/>
      </w:r>
      <w:r w:rsidRPr="000C1905">
        <w:rPr>
          <w:rFonts w:ascii="黑体" w:eastAsia="黑体" w:hAnsi="黑体" w:hint="eastAsia"/>
          <w:b/>
          <w:sz w:val="32"/>
          <w:szCs w:val="32"/>
        </w:rPr>
        <w:instrText xml:space="preserve"> SEQ MTChap \r 1 \h \* MERGEFORMAT </w:instrText>
      </w:r>
      <w:r w:rsidRPr="000C1905">
        <w:rPr>
          <w:rFonts w:ascii="黑体" w:eastAsia="黑体" w:hAnsi="黑体" w:hint="eastAsia"/>
          <w:b/>
          <w:sz w:val="32"/>
          <w:szCs w:val="32"/>
        </w:rPr>
        <w:fldChar w:fldCharType="end"/>
      </w:r>
      <w:r w:rsidRPr="000C1905">
        <w:rPr>
          <w:rFonts w:ascii="黑体" w:eastAsia="黑体" w:hAnsi="黑体" w:hint="eastAsia"/>
          <w:b/>
          <w:sz w:val="32"/>
          <w:szCs w:val="32"/>
        </w:rPr>
        <w:fldChar w:fldCharType="end"/>
      </w:r>
      <w:r w:rsidR="00083F22" w:rsidRPr="000C1905">
        <w:rPr>
          <w:rFonts w:ascii="黑体" w:eastAsia="黑体" w:hAnsi="黑体" w:hint="eastAsia"/>
          <w:b/>
          <w:sz w:val="32"/>
          <w:szCs w:val="32"/>
        </w:rPr>
        <w:t>基于离子调控的液体太赫兹辐射增强与抑制</w:t>
      </w:r>
    </w:p>
    <w:p w14:paraId="7A23CE80" w14:textId="2EFDB522" w:rsidR="00BD6A7C" w:rsidRPr="000C1905" w:rsidRDefault="00BF139A">
      <w:pPr>
        <w:spacing w:line="360" w:lineRule="auto"/>
        <w:jc w:val="center"/>
        <w:rPr>
          <w:rFonts w:ascii="楷体_GB2312" w:eastAsia="楷体_GB2312" w:hAnsi="楷体"/>
          <w:b/>
          <w:sz w:val="24"/>
        </w:rPr>
      </w:pPr>
      <w:r w:rsidRPr="000C1905">
        <w:rPr>
          <w:rFonts w:ascii="楷体_GB2312" w:eastAsia="楷体_GB2312" w:hAnsi="楷体" w:hint="eastAsia"/>
          <w:b/>
          <w:sz w:val="24"/>
        </w:rPr>
        <w:t>李立容</w:t>
      </w:r>
      <w:r w:rsidR="00B23A30" w:rsidRPr="000C1905">
        <w:rPr>
          <w:rFonts w:ascii="楷体_GB2312" w:eastAsia="楷体_GB2312" w:hAnsi="楷体"/>
          <w:b/>
          <w:sz w:val="24"/>
        </w:rPr>
        <w:t>*</w:t>
      </w:r>
      <w:r w:rsidR="00083F22" w:rsidRPr="000C1905">
        <w:rPr>
          <w:rFonts w:ascii="楷体_GB2312" w:eastAsia="楷体_GB2312" w:hAnsi="楷体" w:hint="eastAsia"/>
          <w:b/>
          <w:sz w:val="24"/>
        </w:rPr>
        <w:t>、常超、贺广超</w:t>
      </w:r>
      <w:r w:rsidR="00DF7B5C" w:rsidRPr="000C1905">
        <w:rPr>
          <w:rFonts w:ascii="楷体_GB2312" w:eastAsia="楷体_GB2312" w:hAnsi="楷体" w:hint="eastAsia"/>
          <w:b/>
          <w:sz w:val="24"/>
        </w:rPr>
        <w:t>、张勇</w:t>
      </w:r>
    </w:p>
    <w:p w14:paraId="4AB5FC4F" w14:textId="301836FE" w:rsidR="00BD6A7C" w:rsidRPr="000C1905" w:rsidRDefault="00DF7B5C">
      <w:pPr>
        <w:spacing w:line="360" w:lineRule="auto"/>
        <w:jc w:val="center"/>
        <w:rPr>
          <w:rFonts w:asciiTheme="majorEastAsia" w:eastAsiaTheme="majorEastAsia" w:hAnsiTheme="majorEastAsia"/>
          <w:sz w:val="15"/>
          <w:szCs w:val="15"/>
        </w:rPr>
      </w:pPr>
      <w:r w:rsidRPr="000C1905">
        <w:rPr>
          <w:rFonts w:asciiTheme="majorEastAsia" w:eastAsiaTheme="majorEastAsia" w:hAnsiTheme="majorEastAsia" w:hint="eastAsia"/>
          <w:sz w:val="15"/>
          <w:szCs w:val="15"/>
        </w:rPr>
        <w:t>(昆明理工大学 信息工程与自动化学院，</w:t>
      </w:r>
      <w:r w:rsidR="00641F95" w:rsidRPr="000C1905">
        <w:rPr>
          <w:rFonts w:asciiTheme="majorEastAsia" w:eastAsiaTheme="majorEastAsia" w:hAnsiTheme="majorEastAsia" w:hint="eastAsia"/>
          <w:sz w:val="15"/>
          <w:szCs w:val="15"/>
        </w:rPr>
        <w:t>太赫兹辐射创新实验室,</w:t>
      </w:r>
      <w:r w:rsidRPr="000C1905">
        <w:rPr>
          <w:rFonts w:asciiTheme="majorEastAsia" w:eastAsiaTheme="majorEastAsia" w:hAnsiTheme="majorEastAsia" w:hint="eastAsia"/>
          <w:sz w:val="15"/>
          <w:szCs w:val="15"/>
        </w:rPr>
        <w:t>昆明 6500</w:t>
      </w:r>
      <w:r w:rsidR="00083F22" w:rsidRPr="000C1905">
        <w:rPr>
          <w:rFonts w:asciiTheme="majorEastAsia" w:eastAsiaTheme="majorEastAsia" w:hAnsiTheme="majorEastAsia" w:hint="eastAsia"/>
          <w:sz w:val="15"/>
          <w:szCs w:val="15"/>
        </w:rPr>
        <w:t>93</w:t>
      </w:r>
      <w:r w:rsidRPr="000C1905">
        <w:rPr>
          <w:rFonts w:asciiTheme="majorEastAsia" w:eastAsiaTheme="majorEastAsia" w:hAnsiTheme="majorEastAsia" w:hint="eastAsia"/>
          <w:sz w:val="15"/>
          <w:szCs w:val="15"/>
        </w:rPr>
        <w:t>)</w:t>
      </w:r>
    </w:p>
    <w:p w14:paraId="429D4D9F" w14:textId="12364837" w:rsidR="00BD6A7C" w:rsidRPr="001448FF" w:rsidRDefault="00DF7B5C">
      <w:pPr>
        <w:rPr>
          <w:rFonts w:eastAsia="楷体_GB2312"/>
          <w:sz w:val="18"/>
          <w:szCs w:val="18"/>
        </w:rPr>
      </w:pPr>
      <w:r w:rsidRPr="000C1905">
        <w:rPr>
          <w:rFonts w:ascii="宋体" w:hAnsi="宋体" w:hint="eastAsia"/>
          <w:b/>
          <w:sz w:val="18"/>
          <w:szCs w:val="18"/>
        </w:rPr>
        <w:t>摘要：</w:t>
      </w:r>
      <w:r w:rsidR="001054C8" w:rsidRPr="001448FF">
        <w:rPr>
          <w:rFonts w:eastAsia="楷体_GB2312"/>
          <w:sz w:val="18"/>
          <w:szCs w:val="18"/>
        </w:rPr>
        <w:t>为了阐明离子调控液态太赫兹辐射机制，</w:t>
      </w:r>
      <w:r w:rsidR="001448FF" w:rsidRPr="001448FF">
        <w:rPr>
          <w:rFonts w:eastAsia="楷体_GB2312"/>
          <w:color w:val="0F1115"/>
          <w:sz w:val="18"/>
          <w:szCs w:val="18"/>
          <w:shd w:val="clear" w:color="auto" w:fill="FFFFFF"/>
        </w:rPr>
        <w:t>本研究系统探究了</w:t>
      </w:r>
      <w:r w:rsidR="001448FF" w:rsidRPr="001448FF">
        <w:rPr>
          <w:rFonts w:eastAsia="楷体_GB2312"/>
          <w:color w:val="0F1115"/>
          <w:sz w:val="18"/>
          <w:szCs w:val="18"/>
          <w:shd w:val="clear" w:color="auto" w:fill="FFFFFF"/>
        </w:rPr>
        <w:t>Cl</w:t>
      </w:r>
      <w:r w:rsidR="001448FF" w:rsidRPr="001448FF">
        <w:rPr>
          <w:rFonts w:eastAsia="MS Mincho"/>
          <w:color w:val="0F1115"/>
          <w:sz w:val="18"/>
          <w:szCs w:val="18"/>
          <w:shd w:val="clear" w:color="auto" w:fill="FFFFFF"/>
        </w:rPr>
        <w:t>⁻</w:t>
      </w:r>
      <w:r w:rsidR="001448FF" w:rsidRPr="001448FF">
        <w:rPr>
          <w:rFonts w:eastAsia="楷体_GB2312"/>
          <w:color w:val="0F1115"/>
          <w:sz w:val="18"/>
          <w:szCs w:val="18"/>
          <w:shd w:val="clear" w:color="auto" w:fill="FFFFFF"/>
        </w:rPr>
        <w:t>、</w:t>
      </w:r>
      <w:r w:rsidR="001448FF" w:rsidRPr="001448FF">
        <w:rPr>
          <w:rFonts w:eastAsia="楷体_GB2312"/>
          <w:color w:val="0F1115"/>
          <w:sz w:val="18"/>
          <w:szCs w:val="18"/>
          <w:shd w:val="clear" w:color="auto" w:fill="FFFFFF"/>
        </w:rPr>
        <w:t>HCO₃⁻</w:t>
      </w:r>
      <w:r w:rsidR="001448FF" w:rsidRPr="001448FF">
        <w:rPr>
          <w:rFonts w:eastAsia="楷体_GB2312"/>
          <w:color w:val="0F1115"/>
          <w:sz w:val="18"/>
          <w:szCs w:val="18"/>
          <w:shd w:val="clear" w:color="auto" w:fill="FFFFFF"/>
        </w:rPr>
        <w:t>、</w:t>
      </w:r>
      <w:r w:rsidR="001448FF" w:rsidRPr="001448FF">
        <w:rPr>
          <w:rFonts w:eastAsia="楷体_GB2312"/>
          <w:color w:val="0F1115"/>
          <w:sz w:val="18"/>
          <w:szCs w:val="18"/>
          <w:shd w:val="clear" w:color="auto" w:fill="FFFFFF"/>
        </w:rPr>
        <w:t>Na</w:t>
      </w:r>
      <w:r w:rsidR="001448FF" w:rsidRPr="001448FF">
        <w:rPr>
          <w:rFonts w:eastAsia="MS Mincho"/>
          <w:color w:val="0F1115"/>
          <w:sz w:val="18"/>
          <w:szCs w:val="18"/>
          <w:shd w:val="clear" w:color="auto" w:fill="FFFFFF"/>
        </w:rPr>
        <w:t>⁺</w:t>
      </w:r>
      <w:r w:rsidR="001448FF" w:rsidRPr="001448FF">
        <w:rPr>
          <w:rFonts w:eastAsia="楷体_GB2312"/>
          <w:color w:val="0F1115"/>
          <w:sz w:val="18"/>
          <w:szCs w:val="18"/>
          <w:shd w:val="clear" w:color="auto" w:fill="FFFFFF"/>
        </w:rPr>
        <w:t>和</w:t>
      </w:r>
      <w:r w:rsidR="001448FF" w:rsidRPr="001448FF">
        <w:rPr>
          <w:rFonts w:eastAsia="楷体_GB2312"/>
          <w:color w:val="0F1115"/>
          <w:sz w:val="18"/>
          <w:szCs w:val="18"/>
          <w:shd w:val="clear" w:color="auto" w:fill="FFFFFF"/>
        </w:rPr>
        <w:t>Ca²⁺</w:t>
      </w:r>
      <w:r w:rsidR="001448FF" w:rsidRPr="001448FF">
        <w:rPr>
          <w:rFonts w:eastAsia="楷体_GB2312"/>
          <w:color w:val="0F1115"/>
          <w:sz w:val="18"/>
          <w:szCs w:val="18"/>
          <w:shd w:val="clear" w:color="auto" w:fill="FFFFFF"/>
        </w:rPr>
        <w:t>对飞秒激光诱导水射流太赫兹辐射的调控机制。通过结合电导率、折射率测量与分子动力学模拟，揭示了</w:t>
      </w:r>
      <w:r w:rsidR="001448FF" w:rsidRPr="001448FF">
        <w:rPr>
          <w:rFonts w:eastAsia="楷体_GB2312"/>
          <w:color w:val="0F1115"/>
          <w:sz w:val="18"/>
          <w:szCs w:val="18"/>
          <w:shd w:val="clear" w:color="auto" w:fill="FFFFFF"/>
        </w:rPr>
        <w:t>0.1</w:t>
      </w:r>
      <w:r w:rsidR="001448FF" w:rsidRPr="001448FF">
        <w:rPr>
          <w:rFonts w:eastAsia="微软雅黑"/>
          <w:color w:val="0F1115"/>
          <w:sz w:val="18"/>
          <w:szCs w:val="18"/>
          <w:shd w:val="clear" w:color="auto" w:fill="FFFFFF"/>
        </w:rPr>
        <w:t>–</w:t>
      </w:r>
      <w:r w:rsidR="001448FF" w:rsidRPr="001448FF">
        <w:rPr>
          <w:rFonts w:eastAsia="楷体_GB2312"/>
          <w:color w:val="0F1115"/>
          <w:sz w:val="18"/>
          <w:szCs w:val="18"/>
          <w:shd w:val="clear" w:color="auto" w:fill="FFFFFF"/>
        </w:rPr>
        <w:t>0.6 mol/L NaCl</w:t>
      </w:r>
      <w:r w:rsidR="001448FF" w:rsidRPr="001448FF">
        <w:rPr>
          <w:rFonts w:eastAsia="楷体_GB2312"/>
          <w:color w:val="0F1115"/>
          <w:sz w:val="18"/>
          <w:szCs w:val="18"/>
          <w:shd w:val="clear" w:color="auto" w:fill="FFFFFF"/>
        </w:rPr>
        <w:t>、</w:t>
      </w:r>
      <w:r w:rsidR="001448FF" w:rsidRPr="001448FF">
        <w:rPr>
          <w:rFonts w:eastAsia="楷体_GB2312"/>
          <w:color w:val="0F1115"/>
          <w:sz w:val="18"/>
          <w:szCs w:val="18"/>
          <w:shd w:val="clear" w:color="auto" w:fill="FFFFFF"/>
        </w:rPr>
        <w:t>CaCl₂</w:t>
      </w:r>
      <w:r w:rsidR="001448FF" w:rsidRPr="001448FF">
        <w:rPr>
          <w:rFonts w:eastAsia="楷体_GB2312"/>
          <w:color w:val="0F1115"/>
          <w:sz w:val="18"/>
          <w:szCs w:val="18"/>
          <w:shd w:val="clear" w:color="auto" w:fill="FFFFFF"/>
        </w:rPr>
        <w:t>、</w:t>
      </w:r>
      <w:r w:rsidR="001448FF" w:rsidRPr="001448FF">
        <w:rPr>
          <w:rFonts w:eastAsia="楷体_GB2312"/>
          <w:color w:val="0F1115"/>
          <w:sz w:val="18"/>
          <w:szCs w:val="18"/>
          <w:shd w:val="clear" w:color="auto" w:fill="FFFFFF"/>
        </w:rPr>
        <w:t>NaHCO₃</w:t>
      </w:r>
      <w:r w:rsidR="001448FF" w:rsidRPr="001448FF">
        <w:rPr>
          <w:rFonts w:eastAsia="楷体_GB2312"/>
          <w:color w:val="0F1115"/>
          <w:sz w:val="18"/>
          <w:szCs w:val="18"/>
          <w:shd w:val="clear" w:color="auto" w:fill="FFFFFF"/>
        </w:rPr>
        <w:t>、</w:t>
      </w:r>
      <w:r w:rsidR="001448FF" w:rsidRPr="001448FF">
        <w:rPr>
          <w:rFonts w:eastAsia="楷体_GB2312"/>
          <w:color w:val="0F1115"/>
          <w:sz w:val="18"/>
          <w:szCs w:val="18"/>
          <w:shd w:val="clear" w:color="auto" w:fill="FFFFFF"/>
        </w:rPr>
        <w:t>Ca(HCO₃)₂</w:t>
      </w:r>
      <w:r w:rsidR="001448FF" w:rsidRPr="001448FF">
        <w:rPr>
          <w:rFonts w:eastAsia="楷体_GB2312"/>
          <w:color w:val="0F1115"/>
          <w:sz w:val="18"/>
          <w:szCs w:val="18"/>
          <w:shd w:val="clear" w:color="auto" w:fill="FFFFFF"/>
        </w:rPr>
        <w:t>溶液中的辐射行为。实验表明，</w:t>
      </w:r>
      <w:r w:rsidR="001448FF" w:rsidRPr="001448FF">
        <w:rPr>
          <w:rFonts w:eastAsia="楷体_GB2312"/>
          <w:color w:val="0F1115"/>
          <w:sz w:val="18"/>
          <w:szCs w:val="18"/>
          <w:shd w:val="clear" w:color="auto" w:fill="FFFFFF"/>
        </w:rPr>
        <w:t>NaCl</w:t>
      </w:r>
      <w:r w:rsidR="001448FF" w:rsidRPr="001448FF">
        <w:rPr>
          <w:rFonts w:eastAsia="楷体_GB2312"/>
          <w:color w:val="0F1115"/>
          <w:sz w:val="18"/>
          <w:szCs w:val="18"/>
          <w:shd w:val="clear" w:color="auto" w:fill="FFFFFF"/>
        </w:rPr>
        <w:t>在</w:t>
      </w:r>
      <w:r w:rsidR="001448FF" w:rsidRPr="001448FF">
        <w:rPr>
          <w:rFonts w:eastAsia="楷体_GB2312"/>
          <w:color w:val="0F1115"/>
          <w:sz w:val="18"/>
          <w:szCs w:val="18"/>
          <w:shd w:val="clear" w:color="auto" w:fill="FFFFFF"/>
        </w:rPr>
        <w:t>0.5 mol/L</w:t>
      </w:r>
      <w:r w:rsidR="001448FF" w:rsidRPr="001448FF">
        <w:rPr>
          <w:rFonts w:eastAsia="楷体_GB2312"/>
          <w:color w:val="0F1115"/>
          <w:sz w:val="18"/>
          <w:szCs w:val="18"/>
          <w:shd w:val="clear" w:color="auto" w:fill="FFFFFF"/>
        </w:rPr>
        <w:t>时辐射强度较纯水提升</w:t>
      </w:r>
      <w:r w:rsidR="001448FF" w:rsidRPr="001448FF">
        <w:rPr>
          <w:rFonts w:eastAsia="楷体_GB2312"/>
          <w:color w:val="0F1115"/>
          <w:sz w:val="18"/>
          <w:szCs w:val="18"/>
          <w:shd w:val="clear" w:color="auto" w:fill="FFFFFF"/>
        </w:rPr>
        <w:t>30%</w:t>
      </w:r>
      <w:r w:rsidR="001448FF" w:rsidRPr="001448FF">
        <w:rPr>
          <w:rFonts w:eastAsia="楷体_GB2312"/>
          <w:color w:val="0F1115"/>
          <w:sz w:val="18"/>
          <w:szCs w:val="18"/>
          <w:shd w:val="clear" w:color="auto" w:fill="FFFFFF"/>
        </w:rPr>
        <w:t>，而含</w:t>
      </w:r>
      <w:r w:rsidR="001448FF" w:rsidRPr="001448FF">
        <w:rPr>
          <w:rFonts w:eastAsia="楷体_GB2312"/>
          <w:color w:val="0F1115"/>
          <w:sz w:val="18"/>
          <w:szCs w:val="18"/>
          <w:shd w:val="clear" w:color="auto" w:fill="FFFFFF"/>
        </w:rPr>
        <w:t>HCO₃⁻</w:t>
      </w:r>
      <w:r w:rsidR="001448FF" w:rsidRPr="001448FF">
        <w:rPr>
          <w:rFonts w:eastAsia="楷体_GB2312"/>
          <w:color w:val="0F1115"/>
          <w:sz w:val="18"/>
          <w:szCs w:val="18"/>
          <w:shd w:val="clear" w:color="auto" w:fill="FFFFFF"/>
        </w:rPr>
        <w:t>体系自</w:t>
      </w:r>
      <w:r w:rsidR="001448FF" w:rsidRPr="001448FF">
        <w:rPr>
          <w:rFonts w:eastAsia="楷体_GB2312"/>
          <w:color w:val="0F1115"/>
          <w:sz w:val="18"/>
          <w:szCs w:val="18"/>
          <w:shd w:val="clear" w:color="auto" w:fill="FFFFFF"/>
        </w:rPr>
        <w:t>0.2 mol/L</w:t>
      </w:r>
      <w:r w:rsidR="001448FF" w:rsidRPr="001448FF">
        <w:rPr>
          <w:rFonts w:eastAsia="楷体_GB2312"/>
          <w:color w:val="0F1115"/>
          <w:sz w:val="18"/>
          <w:szCs w:val="18"/>
          <w:shd w:val="clear" w:color="auto" w:fill="FFFFFF"/>
        </w:rPr>
        <w:t>起显著抑制辐射，且抑制程度与电导率呈负相关。温度升高至</w:t>
      </w:r>
      <w:r w:rsidR="001448FF" w:rsidRPr="001448FF">
        <w:rPr>
          <w:rFonts w:eastAsia="楷体_GB2312"/>
          <w:color w:val="0F1115"/>
          <w:sz w:val="18"/>
          <w:szCs w:val="18"/>
          <w:shd w:val="clear" w:color="auto" w:fill="FFFFFF"/>
        </w:rPr>
        <w:t>40℃</w:t>
      </w:r>
      <w:r w:rsidR="001448FF" w:rsidRPr="001448FF">
        <w:rPr>
          <w:rFonts w:eastAsia="楷体_GB2312"/>
          <w:color w:val="0F1115"/>
          <w:sz w:val="18"/>
          <w:szCs w:val="18"/>
          <w:shd w:val="clear" w:color="auto" w:fill="FFFFFF"/>
        </w:rPr>
        <w:t>可进一步增强</w:t>
      </w:r>
      <w:r w:rsidR="001448FF" w:rsidRPr="001448FF">
        <w:rPr>
          <w:rFonts w:eastAsia="楷体_GB2312"/>
          <w:color w:val="0F1115"/>
          <w:sz w:val="18"/>
          <w:szCs w:val="18"/>
          <w:shd w:val="clear" w:color="auto" w:fill="FFFFFF"/>
        </w:rPr>
        <w:t>NaCl</w:t>
      </w:r>
      <w:r w:rsidR="001448FF" w:rsidRPr="001448FF">
        <w:rPr>
          <w:rFonts w:eastAsia="楷体_GB2312"/>
          <w:color w:val="0F1115"/>
          <w:sz w:val="18"/>
          <w:szCs w:val="18"/>
          <w:shd w:val="clear" w:color="auto" w:fill="FFFFFF"/>
        </w:rPr>
        <w:t>的增益效应。模拟结果显示，</w:t>
      </w:r>
      <w:r w:rsidR="001448FF" w:rsidRPr="001448FF">
        <w:rPr>
          <w:rFonts w:eastAsia="楷体_GB2312"/>
          <w:color w:val="0F1115"/>
          <w:sz w:val="18"/>
          <w:szCs w:val="18"/>
          <w:shd w:val="clear" w:color="auto" w:fill="FFFFFF"/>
        </w:rPr>
        <w:t>Cl</w:t>
      </w:r>
      <w:r w:rsidR="001448FF" w:rsidRPr="001448FF">
        <w:rPr>
          <w:rFonts w:eastAsia="MS Mincho"/>
          <w:color w:val="0F1115"/>
          <w:sz w:val="18"/>
          <w:szCs w:val="18"/>
          <w:shd w:val="clear" w:color="auto" w:fill="FFFFFF"/>
        </w:rPr>
        <w:t>⁻</w:t>
      </w:r>
      <w:r w:rsidR="001448FF" w:rsidRPr="001448FF">
        <w:rPr>
          <w:rFonts w:eastAsia="楷体_GB2312"/>
          <w:color w:val="0F1115"/>
          <w:sz w:val="18"/>
          <w:szCs w:val="18"/>
          <w:shd w:val="clear" w:color="auto" w:fill="FFFFFF"/>
        </w:rPr>
        <w:t>通过削弱氢键网络、提升载流子迁移率增强辐射，而</w:t>
      </w:r>
      <w:r w:rsidR="001448FF" w:rsidRPr="001448FF">
        <w:rPr>
          <w:rFonts w:eastAsia="楷体_GB2312"/>
          <w:color w:val="0F1115"/>
          <w:sz w:val="18"/>
          <w:szCs w:val="18"/>
          <w:shd w:val="clear" w:color="auto" w:fill="FFFFFF"/>
        </w:rPr>
        <w:t>HCO₃⁻</w:t>
      </w:r>
      <w:r w:rsidR="001448FF" w:rsidRPr="001448FF">
        <w:rPr>
          <w:rFonts w:eastAsia="楷体_GB2312"/>
          <w:color w:val="0F1115"/>
          <w:sz w:val="18"/>
          <w:szCs w:val="18"/>
          <w:shd w:val="clear" w:color="auto" w:fill="FFFFFF"/>
        </w:rPr>
        <w:t>则通过俘获电子抑制辐射。</w:t>
      </w:r>
    </w:p>
    <w:p w14:paraId="27B7AE52" w14:textId="4DA6E743" w:rsidR="00BD6A7C" w:rsidRPr="000C1905" w:rsidRDefault="00DF7B5C">
      <w:pPr>
        <w:rPr>
          <w:sz w:val="18"/>
          <w:szCs w:val="18"/>
        </w:rPr>
      </w:pPr>
      <w:r w:rsidRPr="000C1905">
        <w:rPr>
          <w:rFonts w:ascii="楷体_GB2312" w:eastAsia="楷体_GB2312" w:hint="eastAsia"/>
          <w:b/>
          <w:sz w:val="18"/>
          <w:szCs w:val="18"/>
        </w:rPr>
        <w:t>关键词：</w:t>
      </w:r>
      <w:r w:rsidR="000A1F85" w:rsidRPr="000C1905">
        <w:rPr>
          <w:rFonts w:ascii="楷体_GB2312" w:eastAsia="楷体_GB2312" w:hint="eastAsia"/>
          <w:sz w:val="18"/>
          <w:szCs w:val="18"/>
        </w:rPr>
        <w:t>太赫兹辐射</w:t>
      </w:r>
      <w:r w:rsidRPr="000C1905">
        <w:rPr>
          <w:rFonts w:ascii="楷体_GB2312" w:eastAsia="楷体_GB2312" w:hint="eastAsia"/>
          <w:sz w:val="18"/>
          <w:szCs w:val="18"/>
        </w:rPr>
        <w:t>；</w:t>
      </w:r>
      <w:r w:rsidR="00FA0FD7" w:rsidRPr="000C1905">
        <w:rPr>
          <w:rFonts w:ascii="楷体_GB2312" w:eastAsia="楷体_GB2312" w:hint="eastAsia"/>
          <w:sz w:val="18"/>
          <w:szCs w:val="18"/>
        </w:rPr>
        <w:t>飞秒激光</w:t>
      </w:r>
      <w:r w:rsidRPr="000C1905">
        <w:rPr>
          <w:rFonts w:ascii="楷体_GB2312" w:eastAsia="楷体_GB2312" w:hint="eastAsia"/>
          <w:sz w:val="18"/>
          <w:szCs w:val="18"/>
        </w:rPr>
        <w:t>；</w:t>
      </w:r>
      <w:r w:rsidR="00FA0FD7" w:rsidRPr="000C1905">
        <w:rPr>
          <w:rFonts w:ascii="楷体_GB2312" w:eastAsia="楷体_GB2312" w:hint="eastAsia"/>
          <w:sz w:val="18"/>
          <w:szCs w:val="18"/>
        </w:rPr>
        <w:t>离子调控</w:t>
      </w:r>
      <w:r w:rsidRPr="000C1905">
        <w:rPr>
          <w:rFonts w:ascii="楷体_GB2312" w:eastAsia="楷体_GB2312" w:hint="eastAsia"/>
          <w:sz w:val="18"/>
          <w:szCs w:val="18"/>
        </w:rPr>
        <w:t>；</w:t>
      </w:r>
      <w:r w:rsidR="00FA0FD7" w:rsidRPr="000C1905">
        <w:rPr>
          <w:rFonts w:ascii="楷体_GB2312" w:eastAsia="楷体_GB2312" w:hint="eastAsia"/>
          <w:sz w:val="18"/>
          <w:szCs w:val="18"/>
        </w:rPr>
        <w:t>氢键网络</w:t>
      </w:r>
      <w:r w:rsidR="00083F22" w:rsidRPr="000C1905">
        <w:rPr>
          <w:rFonts w:ascii="楷体_GB2312" w:eastAsia="楷体_GB2312" w:hint="eastAsia"/>
          <w:sz w:val="18"/>
          <w:szCs w:val="18"/>
        </w:rPr>
        <w:t>；</w:t>
      </w:r>
      <w:r w:rsidR="00B732B1">
        <w:rPr>
          <w:rFonts w:ascii="楷体_GB2312" w:eastAsia="楷体_GB2312" w:hint="eastAsia"/>
          <w:sz w:val="18"/>
          <w:szCs w:val="18"/>
        </w:rPr>
        <w:t>分子</w:t>
      </w:r>
      <w:r w:rsidR="00083F22" w:rsidRPr="000C1905">
        <w:rPr>
          <w:rFonts w:ascii="楷体_GB2312" w:eastAsia="楷体_GB2312" w:hint="eastAsia"/>
          <w:sz w:val="18"/>
          <w:szCs w:val="18"/>
        </w:rPr>
        <w:t>动力学</w:t>
      </w:r>
    </w:p>
    <w:p w14:paraId="4CA7464C" w14:textId="6E9FA169" w:rsidR="00BD6A7C" w:rsidRPr="000C1905" w:rsidRDefault="00083F22">
      <w:pPr>
        <w:spacing w:line="360" w:lineRule="auto"/>
        <w:jc w:val="center"/>
        <w:rPr>
          <w:rFonts w:eastAsia="微软雅黑"/>
          <w:b/>
          <w:sz w:val="32"/>
          <w:szCs w:val="36"/>
        </w:rPr>
      </w:pPr>
      <w:r w:rsidRPr="000C1905">
        <w:rPr>
          <w:rFonts w:eastAsia="微软雅黑"/>
          <w:b/>
          <w:sz w:val="32"/>
          <w:szCs w:val="36"/>
        </w:rPr>
        <w:t>Enhancement and suppression of terahertz radiation in liquids based on ion regulatio</w:t>
      </w:r>
      <w:r w:rsidRPr="000C1905">
        <w:rPr>
          <w:rFonts w:eastAsia="微软雅黑" w:hint="eastAsia"/>
          <w:b/>
          <w:sz w:val="32"/>
          <w:szCs w:val="36"/>
        </w:rPr>
        <w:t>n</w:t>
      </w:r>
    </w:p>
    <w:p w14:paraId="4840A887" w14:textId="407D15A1" w:rsidR="00BD6A7C" w:rsidRPr="000C1905" w:rsidRDefault="00083F22">
      <w:pPr>
        <w:spacing w:line="360" w:lineRule="auto"/>
        <w:jc w:val="center"/>
        <w:rPr>
          <w:rFonts w:eastAsia="黑体"/>
          <w:b/>
          <w:szCs w:val="21"/>
        </w:rPr>
      </w:pPr>
      <w:r w:rsidRPr="000C1905">
        <w:rPr>
          <w:rFonts w:eastAsia="黑体"/>
          <w:b/>
          <w:szCs w:val="21"/>
        </w:rPr>
        <w:t>LI Lirong*, CHANG Chao, HE Guangchao, ZHANG Yong</w:t>
      </w:r>
    </w:p>
    <w:p w14:paraId="738E117D" w14:textId="7A4235F5" w:rsidR="00BD6A7C" w:rsidRPr="000C1905" w:rsidRDefault="00DF7B5C">
      <w:pPr>
        <w:spacing w:line="360" w:lineRule="auto"/>
        <w:jc w:val="center"/>
        <w:rPr>
          <w:b/>
          <w:sz w:val="15"/>
          <w:szCs w:val="15"/>
        </w:rPr>
      </w:pPr>
      <w:r w:rsidRPr="000C1905">
        <w:rPr>
          <w:rFonts w:hint="eastAsia"/>
          <w:b/>
          <w:sz w:val="15"/>
          <w:szCs w:val="15"/>
        </w:rPr>
        <w:t>(Faculty of Information and Automating,</w:t>
      </w:r>
      <w:r w:rsidR="00D649E3" w:rsidRPr="000C1905">
        <w:rPr>
          <w:rFonts w:hint="eastAsia"/>
          <w:b/>
          <w:sz w:val="15"/>
          <w:szCs w:val="15"/>
        </w:rPr>
        <w:t xml:space="preserve"> </w:t>
      </w:r>
      <w:r w:rsidRPr="000C1905">
        <w:rPr>
          <w:rFonts w:hint="eastAsia"/>
          <w:b/>
          <w:sz w:val="15"/>
          <w:szCs w:val="15"/>
        </w:rPr>
        <w:t>Kunming University of Science and Technology</w:t>
      </w:r>
      <w:r w:rsidR="00641F95" w:rsidRPr="000C1905">
        <w:rPr>
          <w:rFonts w:hint="eastAsia"/>
          <w:b/>
          <w:sz w:val="15"/>
          <w:szCs w:val="15"/>
        </w:rPr>
        <w:t xml:space="preserve">, </w:t>
      </w:r>
      <w:r w:rsidR="00641F95" w:rsidRPr="000C1905">
        <w:rPr>
          <w:b/>
          <w:sz w:val="15"/>
          <w:szCs w:val="15"/>
        </w:rPr>
        <w:t>Terahertz Radiation Innovation Laboratory</w:t>
      </w:r>
      <w:r w:rsidRPr="000C1905">
        <w:rPr>
          <w:rFonts w:hint="eastAsia"/>
          <w:b/>
          <w:sz w:val="15"/>
          <w:szCs w:val="15"/>
        </w:rPr>
        <w:t>, Kunming 6500</w:t>
      </w:r>
      <w:r w:rsidR="00083F22" w:rsidRPr="000C1905">
        <w:rPr>
          <w:rFonts w:hint="eastAsia"/>
          <w:b/>
          <w:sz w:val="15"/>
          <w:szCs w:val="15"/>
        </w:rPr>
        <w:t>93</w:t>
      </w:r>
      <w:r w:rsidR="00641F95" w:rsidRPr="000C1905">
        <w:rPr>
          <w:rFonts w:hint="eastAsia"/>
          <w:b/>
          <w:sz w:val="15"/>
          <w:szCs w:val="15"/>
        </w:rPr>
        <w:t>, China</w:t>
      </w:r>
      <w:r w:rsidRPr="000C1905">
        <w:rPr>
          <w:rFonts w:hint="eastAsia"/>
          <w:b/>
          <w:sz w:val="15"/>
          <w:szCs w:val="15"/>
        </w:rPr>
        <w:t>)</w:t>
      </w:r>
    </w:p>
    <w:p w14:paraId="2C41EF6F" w14:textId="23F03FB1" w:rsidR="00BD6A7C" w:rsidRPr="000C1905" w:rsidRDefault="00DF7B5C">
      <w:r w:rsidRPr="000C1905">
        <w:rPr>
          <w:rFonts w:hint="eastAsia"/>
          <w:b/>
          <w:bCs/>
          <w:sz w:val="18"/>
          <w:szCs w:val="18"/>
        </w:rPr>
        <w:t>Abstract:</w:t>
      </w:r>
      <w:r w:rsidR="001E4312" w:rsidRPr="000C1905">
        <w:rPr>
          <w:rFonts w:hint="eastAsia"/>
          <w:sz w:val="18"/>
          <w:szCs w:val="18"/>
        </w:rPr>
        <w:t xml:space="preserve"> </w:t>
      </w:r>
      <w:r w:rsidR="001054C8" w:rsidRPr="001054C8">
        <w:rPr>
          <w:sz w:val="18"/>
          <w:szCs w:val="18"/>
        </w:rPr>
        <w:t xml:space="preserve">In order to clarify the mechanism of ion-regulated liquid terahertz radiation, this study used femtosecond laser to excite water jets, combined with conductivity, refractive index measurements and molecular dynamics simulations, and systematically compared the terahertz radiation characteristics of 0.1–0.6 mol/L NaCl, </w:t>
      </w:r>
      <w:r w:rsidR="001054C8" w:rsidRPr="001054C8">
        <w:rPr>
          <w:rFonts w:hint="eastAsia"/>
          <w:sz w:val="18"/>
          <w:szCs w:val="18"/>
        </w:rPr>
        <w:t>CaCl</w:t>
      </w:r>
      <w:r w:rsidR="001054C8" w:rsidRPr="001054C8">
        <w:rPr>
          <w:rFonts w:hint="eastAsia"/>
          <w:sz w:val="18"/>
          <w:szCs w:val="18"/>
          <w:vertAlign w:val="subscript"/>
        </w:rPr>
        <w:t>2</w:t>
      </w:r>
      <w:r w:rsidR="001054C8" w:rsidRPr="001054C8">
        <w:rPr>
          <w:sz w:val="18"/>
          <w:szCs w:val="18"/>
        </w:rPr>
        <w:t xml:space="preserve">, </w:t>
      </w:r>
      <w:r w:rsidR="001054C8" w:rsidRPr="001054C8">
        <w:rPr>
          <w:rFonts w:hint="eastAsia"/>
          <w:sz w:val="18"/>
          <w:szCs w:val="18"/>
        </w:rPr>
        <w:t>NaHCO</w:t>
      </w:r>
      <w:r w:rsidR="001054C8" w:rsidRPr="001054C8">
        <w:rPr>
          <w:rFonts w:hint="eastAsia"/>
          <w:sz w:val="18"/>
          <w:szCs w:val="18"/>
          <w:vertAlign w:val="subscript"/>
        </w:rPr>
        <w:t>3</w:t>
      </w:r>
      <w:r w:rsidR="001054C8" w:rsidRPr="001054C8">
        <w:rPr>
          <w:sz w:val="18"/>
          <w:szCs w:val="18"/>
        </w:rPr>
        <w:t xml:space="preserve">, and </w:t>
      </w:r>
      <w:r w:rsidR="001054C8" w:rsidRPr="001054C8">
        <w:rPr>
          <w:rFonts w:hint="eastAsia"/>
          <w:sz w:val="18"/>
          <w:szCs w:val="18"/>
        </w:rPr>
        <w:t>Ca(HCO</w:t>
      </w:r>
      <w:r w:rsidR="001054C8" w:rsidRPr="001054C8">
        <w:rPr>
          <w:rFonts w:hint="eastAsia"/>
          <w:sz w:val="18"/>
          <w:szCs w:val="18"/>
          <w:vertAlign w:val="subscript"/>
        </w:rPr>
        <w:t>3</w:t>
      </w:r>
      <w:r w:rsidR="001054C8" w:rsidRPr="001054C8">
        <w:rPr>
          <w:rFonts w:hint="eastAsia"/>
          <w:sz w:val="18"/>
          <w:szCs w:val="18"/>
        </w:rPr>
        <w:t>)</w:t>
      </w:r>
      <w:r w:rsidR="001054C8" w:rsidRPr="001054C8">
        <w:rPr>
          <w:rFonts w:hint="eastAsia"/>
          <w:sz w:val="18"/>
          <w:szCs w:val="18"/>
          <w:vertAlign w:val="subscript"/>
        </w:rPr>
        <w:t>2</w:t>
      </w:r>
      <w:r w:rsidR="001054C8" w:rsidRPr="001054C8">
        <w:rPr>
          <w:sz w:val="18"/>
          <w:szCs w:val="18"/>
        </w:rPr>
        <w:t xml:space="preserve"> solutions. The results show that the radiation intensity of NaCl solution at 0.5 mol/L increased by 30% compared with pure water, followed by </w:t>
      </w:r>
      <w:r w:rsidR="001054C8" w:rsidRPr="001054C8">
        <w:rPr>
          <w:rFonts w:hint="eastAsia"/>
          <w:sz w:val="18"/>
          <w:szCs w:val="18"/>
        </w:rPr>
        <w:t>CaCl</w:t>
      </w:r>
      <w:r w:rsidR="001054C8" w:rsidRPr="001054C8">
        <w:rPr>
          <w:rFonts w:hint="eastAsia"/>
          <w:sz w:val="18"/>
          <w:szCs w:val="18"/>
          <w:vertAlign w:val="subscript"/>
        </w:rPr>
        <w:t>2</w:t>
      </w:r>
      <w:r w:rsidR="001054C8" w:rsidRPr="001054C8">
        <w:rPr>
          <w:sz w:val="18"/>
          <w:szCs w:val="18"/>
        </w:rPr>
        <w:t xml:space="preserve"> solution; while the terahertz radiation of the HCO₃⁻ system was significantly suppressed from 0.2 mol/L, and its radiation intensity was negatively correlated with conductivity. In addition, increasing the temperature to 40 </w:t>
      </w:r>
      <w:r w:rsidR="001054C8" w:rsidRPr="001054C8">
        <w:rPr>
          <w:rFonts w:hint="eastAsia"/>
          <w:sz w:val="18"/>
          <w:szCs w:val="18"/>
        </w:rPr>
        <w:t>℃</w:t>
      </w:r>
      <w:r w:rsidR="001054C8" w:rsidRPr="001054C8">
        <w:rPr>
          <w:sz w:val="18"/>
          <w:szCs w:val="18"/>
        </w:rPr>
        <w:t xml:space="preserve"> can further amplify the gain effect of NaCl solution. Molecular dynamics simulations reveal that Cl⁻ enhances terahertz radiation by weakening the hydrogen bond network and improving carrier mobility, while HCO₃⁻ suppresses radiation by capturing electrons. The study also found that ion valence and hydration energy are key factors in determining radiation efficiency. This study provides new ideas for the coordinated regulation of liquid terahertz sources by ions</w:t>
      </w:r>
      <w:r w:rsidR="00D75906" w:rsidRPr="000C1905">
        <w:rPr>
          <w:sz w:val="18"/>
          <w:szCs w:val="18"/>
        </w:rPr>
        <w:t>.</w:t>
      </w:r>
    </w:p>
    <w:p w14:paraId="788B3516" w14:textId="4E9CAA2F" w:rsidR="00BD6A7C" w:rsidRPr="000C1905" w:rsidRDefault="00DF7B5C">
      <w:pPr>
        <w:rPr>
          <w:sz w:val="18"/>
          <w:szCs w:val="18"/>
        </w:rPr>
      </w:pPr>
      <w:r w:rsidRPr="000C1905">
        <w:rPr>
          <w:rFonts w:hint="eastAsia"/>
          <w:b/>
          <w:sz w:val="18"/>
          <w:szCs w:val="18"/>
        </w:rPr>
        <w:t>Key words:</w:t>
      </w:r>
      <w:r w:rsidRPr="000C1905">
        <w:rPr>
          <w:sz w:val="18"/>
          <w:szCs w:val="18"/>
        </w:rPr>
        <w:t xml:space="preserve"> </w:t>
      </w:r>
      <w:r w:rsidR="009A05B5" w:rsidRPr="000C1905">
        <w:rPr>
          <w:sz w:val="18"/>
          <w:szCs w:val="18"/>
        </w:rPr>
        <w:t>Terahertz Radiation;</w:t>
      </w:r>
      <w:r w:rsidR="009A05B5" w:rsidRPr="000C1905">
        <w:t xml:space="preserve"> </w:t>
      </w:r>
      <w:r w:rsidR="009A05B5" w:rsidRPr="000C1905">
        <w:rPr>
          <w:sz w:val="18"/>
          <w:szCs w:val="18"/>
        </w:rPr>
        <w:t>Femtosecond Laser;</w:t>
      </w:r>
      <w:r w:rsidR="009A05B5" w:rsidRPr="000C1905">
        <w:t xml:space="preserve"> </w:t>
      </w:r>
      <w:r w:rsidR="009A05B5" w:rsidRPr="000C1905">
        <w:rPr>
          <w:sz w:val="18"/>
          <w:szCs w:val="18"/>
        </w:rPr>
        <w:t>Ion Control;</w:t>
      </w:r>
      <w:r w:rsidR="009A05B5" w:rsidRPr="000C1905">
        <w:t xml:space="preserve"> </w:t>
      </w:r>
      <w:r w:rsidR="009A05B5" w:rsidRPr="000C1905">
        <w:rPr>
          <w:sz w:val="18"/>
          <w:szCs w:val="18"/>
        </w:rPr>
        <w:t>Hydrogen Bond Network</w:t>
      </w:r>
      <w:r w:rsidR="00083F22" w:rsidRPr="000C1905">
        <w:rPr>
          <w:sz w:val="18"/>
          <w:szCs w:val="18"/>
        </w:rPr>
        <w:t xml:space="preserve">; </w:t>
      </w:r>
      <w:r w:rsidR="00962EDB" w:rsidRPr="00962EDB">
        <w:rPr>
          <w:sz w:val="18"/>
          <w:szCs w:val="18"/>
        </w:rPr>
        <w:t>Molecular dynamics</w:t>
      </w:r>
    </w:p>
    <w:p w14:paraId="0F807CF0" w14:textId="77777777" w:rsidR="00BD6A7C" w:rsidRPr="000C1905" w:rsidRDefault="00DF7B5C" w:rsidP="00E13729">
      <w:pPr>
        <w:rPr>
          <w:b/>
          <w:sz w:val="28"/>
          <w:szCs w:val="28"/>
        </w:rPr>
      </w:pPr>
      <w:r w:rsidRPr="000C1905">
        <w:rPr>
          <w:b/>
          <w:sz w:val="28"/>
          <w:szCs w:val="28"/>
        </w:rPr>
        <w:t>0</w:t>
      </w:r>
      <w:r w:rsidRPr="000C1905">
        <w:rPr>
          <w:b/>
          <w:sz w:val="28"/>
          <w:szCs w:val="28"/>
        </w:rPr>
        <w:t>引言</w:t>
      </w:r>
    </w:p>
    <w:p w14:paraId="4F45C50D" w14:textId="302CF8D3" w:rsidR="00BD6A7C" w:rsidRPr="000C1905" w:rsidRDefault="008C714A">
      <w:pPr>
        <w:ind w:firstLineChars="200" w:firstLine="420"/>
        <w:rPr>
          <w:rFonts w:ascii="宋体" w:hAnsi="宋体"/>
          <w:szCs w:val="21"/>
        </w:rPr>
      </w:pPr>
      <w:r w:rsidRPr="000C1905">
        <w:rPr>
          <w:rFonts w:ascii="宋体" w:hAnsi="宋体" w:hint="eastAsia"/>
          <w:szCs w:val="21"/>
        </w:rPr>
        <w:t>太赫兹辐射占据约0.1</w:t>
      </w:r>
      <w:r w:rsidR="00C24B33">
        <w:rPr>
          <w:rFonts w:ascii="宋体" w:hAnsi="宋体" w:hint="eastAsia"/>
          <w:szCs w:val="21"/>
        </w:rPr>
        <w:t>~</w:t>
      </w:r>
      <w:r w:rsidRPr="000C1905">
        <w:rPr>
          <w:rFonts w:ascii="宋体" w:hAnsi="宋体" w:hint="eastAsia"/>
          <w:szCs w:val="21"/>
        </w:rPr>
        <w:t>10 THz的光谱区域，因其在生物医学成像、无损检测、通信和安全检查等领域的独特应用而备受关注</w:t>
      </w:r>
      <w:r w:rsidR="00953317" w:rsidRPr="000C1905">
        <w:rPr>
          <w:rFonts w:ascii="宋体" w:hAnsi="宋体" w:hint="eastAsia"/>
          <w:szCs w:val="21"/>
          <w:vertAlign w:val="superscript"/>
        </w:rPr>
        <w:fldChar w:fldCharType="begin"/>
      </w:r>
      <w:r w:rsidR="00953317" w:rsidRPr="000C1905">
        <w:rPr>
          <w:rFonts w:ascii="宋体" w:hAnsi="宋体" w:hint="eastAsia"/>
          <w:szCs w:val="21"/>
          <w:vertAlign w:val="superscript"/>
        </w:rPr>
        <w:instrText xml:space="preserve"> REF _Ref196148129 \r \h  \* MERGEFORMAT </w:instrText>
      </w:r>
      <w:r w:rsidR="00953317" w:rsidRPr="000C1905">
        <w:rPr>
          <w:rFonts w:ascii="宋体" w:hAnsi="宋体" w:hint="eastAsia"/>
          <w:szCs w:val="21"/>
          <w:vertAlign w:val="superscript"/>
        </w:rPr>
      </w:r>
      <w:r w:rsidR="00953317" w:rsidRPr="000C1905">
        <w:rPr>
          <w:rFonts w:ascii="宋体" w:hAnsi="宋体" w:hint="eastAsia"/>
          <w:szCs w:val="21"/>
          <w:vertAlign w:val="superscript"/>
        </w:rPr>
        <w:fldChar w:fldCharType="separate"/>
      </w:r>
      <w:r w:rsidR="008F6340" w:rsidRPr="000C1905">
        <w:rPr>
          <w:rFonts w:ascii="宋体" w:hAnsi="宋体"/>
          <w:szCs w:val="21"/>
          <w:vertAlign w:val="superscript"/>
        </w:rPr>
        <w:t>[1]</w:t>
      </w:r>
      <w:r w:rsidR="00953317" w:rsidRPr="000C1905">
        <w:rPr>
          <w:rFonts w:ascii="宋体" w:hAnsi="宋体" w:hint="eastAsia"/>
          <w:szCs w:val="21"/>
          <w:vertAlign w:val="superscript"/>
        </w:rPr>
        <w:fldChar w:fldCharType="end"/>
      </w:r>
      <w:r w:rsidRPr="000C1905">
        <w:rPr>
          <w:rFonts w:ascii="宋体" w:hAnsi="宋体" w:hint="eastAsia"/>
          <w:szCs w:val="21"/>
        </w:rPr>
        <w:t>。高效产生和操控太赫兹辐射仍是这些领域的关键挑战。传统上，飞秒激光激发的固态和气态介质因其效率和可调谐性而被广泛用作太赫兹发射源</w:t>
      </w:r>
      <w:r w:rsidR="00911FF3" w:rsidRPr="000C1905">
        <w:rPr>
          <w:rFonts w:ascii="宋体" w:hAnsi="宋体" w:hint="eastAsia"/>
          <w:szCs w:val="21"/>
          <w:vertAlign w:val="superscript"/>
        </w:rPr>
        <w:fldChar w:fldCharType="begin"/>
      </w:r>
      <w:r w:rsidR="00911FF3" w:rsidRPr="000C1905">
        <w:rPr>
          <w:rFonts w:ascii="宋体" w:hAnsi="宋体" w:hint="eastAsia"/>
          <w:szCs w:val="21"/>
          <w:vertAlign w:val="superscript"/>
        </w:rPr>
        <w:instrText xml:space="preserve"> REF _Ref196148160 \r \h  \* MERGEFORMAT </w:instrText>
      </w:r>
      <w:r w:rsidR="00911FF3" w:rsidRPr="000C1905">
        <w:rPr>
          <w:rFonts w:ascii="宋体" w:hAnsi="宋体" w:hint="eastAsia"/>
          <w:szCs w:val="21"/>
          <w:vertAlign w:val="superscript"/>
        </w:rPr>
      </w:r>
      <w:r w:rsidR="00911FF3" w:rsidRPr="000C1905">
        <w:rPr>
          <w:rFonts w:ascii="宋体" w:hAnsi="宋体" w:hint="eastAsia"/>
          <w:szCs w:val="21"/>
          <w:vertAlign w:val="superscript"/>
        </w:rPr>
        <w:fldChar w:fldCharType="separate"/>
      </w:r>
      <w:r w:rsidR="008F6340" w:rsidRPr="000C1905">
        <w:rPr>
          <w:rFonts w:ascii="宋体" w:hAnsi="宋体"/>
          <w:szCs w:val="21"/>
          <w:vertAlign w:val="superscript"/>
        </w:rPr>
        <w:t>[2]</w:t>
      </w:r>
      <w:r w:rsidR="00911FF3" w:rsidRPr="000C1905">
        <w:rPr>
          <w:rFonts w:ascii="宋体" w:hAnsi="宋体" w:hint="eastAsia"/>
          <w:szCs w:val="21"/>
          <w:vertAlign w:val="superscript"/>
        </w:rPr>
        <w:fldChar w:fldCharType="end"/>
      </w:r>
      <w:r w:rsidRPr="000C1905">
        <w:rPr>
          <w:rFonts w:ascii="宋体" w:hAnsi="宋体" w:hint="eastAsia"/>
          <w:szCs w:val="21"/>
        </w:rPr>
        <w:t>。相比之下，液态介质，尤其是水，最初在太赫兹产生方面被忽视，主要由于其强烈的太赫兹吸收会显著降低辐射效率</w:t>
      </w:r>
      <w:r w:rsidR="00911FF3" w:rsidRPr="000C1905">
        <w:rPr>
          <w:rFonts w:ascii="宋体" w:hAnsi="宋体" w:hint="eastAsia"/>
          <w:szCs w:val="21"/>
          <w:vertAlign w:val="superscript"/>
        </w:rPr>
        <w:fldChar w:fldCharType="begin"/>
      </w:r>
      <w:r w:rsidR="00911FF3" w:rsidRPr="000C1905">
        <w:rPr>
          <w:rFonts w:ascii="宋体" w:hAnsi="宋体" w:hint="eastAsia"/>
          <w:szCs w:val="21"/>
          <w:vertAlign w:val="superscript"/>
        </w:rPr>
        <w:instrText xml:space="preserve"> REF _Ref196148178 \r \h </w:instrText>
      </w:r>
      <w:r w:rsidR="003C3FCA" w:rsidRPr="000C1905">
        <w:rPr>
          <w:rFonts w:ascii="宋体" w:hAnsi="宋体" w:hint="eastAsia"/>
          <w:szCs w:val="21"/>
          <w:vertAlign w:val="superscript"/>
        </w:rPr>
        <w:instrText xml:space="preserve"> \* MERGEFORMAT </w:instrText>
      </w:r>
      <w:r w:rsidR="00911FF3" w:rsidRPr="000C1905">
        <w:rPr>
          <w:rFonts w:ascii="宋体" w:hAnsi="宋体" w:hint="eastAsia"/>
          <w:szCs w:val="21"/>
          <w:vertAlign w:val="superscript"/>
        </w:rPr>
      </w:r>
      <w:r w:rsidR="00911FF3" w:rsidRPr="000C1905">
        <w:rPr>
          <w:rFonts w:ascii="宋体" w:hAnsi="宋体" w:hint="eastAsia"/>
          <w:szCs w:val="21"/>
          <w:vertAlign w:val="superscript"/>
        </w:rPr>
        <w:fldChar w:fldCharType="separate"/>
      </w:r>
      <w:r w:rsidR="008F6340" w:rsidRPr="000C1905">
        <w:rPr>
          <w:rFonts w:ascii="宋体" w:hAnsi="宋体"/>
          <w:szCs w:val="21"/>
          <w:vertAlign w:val="superscript"/>
        </w:rPr>
        <w:t>[3]</w:t>
      </w:r>
      <w:r w:rsidR="00911FF3" w:rsidRPr="000C1905">
        <w:rPr>
          <w:rFonts w:ascii="宋体" w:hAnsi="宋体" w:hint="eastAsia"/>
          <w:szCs w:val="21"/>
          <w:vertAlign w:val="superscript"/>
        </w:rPr>
        <w:fldChar w:fldCharType="end"/>
      </w:r>
      <w:r w:rsidRPr="000C1905">
        <w:rPr>
          <w:rFonts w:ascii="宋体" w:hAnsi="宋体" w:hint="eastAsia"/>
          <w:szCs w:val="21"/>
        </w:rPr>
        <w:t>。2017年，研究发现当飞秒激光脉冲聚焦到水薄膜</w:t>
      </w:r>
      <w:r w:rsidR="00911FF3" w:rsidRPr="000C1905">
        <w:rPr>
          <w:rFonts w:ascii="宋体" w:hAnsi="宋体" w:hint="eastAsia"/>
          <w:szCs w:val="21"/>
          <w:vertAlign w:val="superscript"/>
        </w:rPr>
        <w:fldChar w:fldCharType="begin"/>
      </w:r>
      <w:r w:rsidR="00911FF3" w:rsidRPr="000C1905">
        <w:rPr>
          <w:rFonts w:ascii="宋体" w:hAnsi="宋体" w:hint="eastAsia"/>
          <w:szCs w:val="21"/>
          <w:vertAlign w:val="superscript"/>
        </w:rPr>
        <w:instrText xml:space="preserve"> REF _Ref196148196 \r \h </w:instrText>
      </w:r>
      <w:r w:rsidR="003C3FCA" w:rsidRPr="000C1905">
        <w:rPr>
          <w:rFonts w:ascii="宋体" w:hAnsi="宋体" w:hint="eastAsia"/>
          <w:szCs w:val="21"/>
          <w:vertAlign w:val="superscript"/>
        </w:rPr>
        <w:instrText xml:space="preserve"> \* MERGEFORMAT </w:instrText>
      </w:r>
      <w:r w:rsidR="00911FF3" w:rsidRPr="000C1905">
        <w:rPr>
          <w:rFonts w:ascii="宋体" w:hAnsi="宋体" w:hint="eastAsia"/>
          <w:szCs w:val="21"/>
          <w:vertAlign w:val="superscript"/>
        </w:rPr>
      </w:r>
      <w:r w:rsidR="00911FF3" w:rsidRPr="000C1905">
        <w:rPr>
          <w:rFonts w:ascii="宋体" w:hAnsi="宋体" w:hint="eastAsia"/>
          <w:szCs w:val="21"/>
          <w:vertAlign w:val="superscript"/>
        </w:rPr>
        <w:fldChar w:fldCharType="separate"/>
      </w:r>
      <w:r w:rsidR="008F6340" w:rsidRPr="000C1905">
        <w:rPr>
          <w:rFonts w:ascii="宋体" w:hAnsi="宋体"/>
          <w:szCs w:val="21"/>
          <w:vertAlign w:val="superscript"/>
        </w:rPr>
        <w:t>[4]</w:t>
      </w:r>
      <w:r w:rsidR="00911FF3" w:rsidRPr="000C1905">
        <w:rPr>
          <w:rFonts w:ascii="宋体" w:hAnsi="宋体" w:hint="eastAsia"/>
          <w:szCs w:val="21"/>
          <w:vertAlign w:val="superscript"/>
        </w:rPr>
        <w:fldChar w:fldCharType="end"/>
      </w:r>
      <w:r w:rsidRPr="000C1905">
        <w:rPr>
          <w:rFonts w:ascii="宋体" w:hAnsi="宋体" w:hint="eastAsia"/>
          <w:szCs w:val="21"/>
        </w:rPr>
        <w:t>或</w:t>
      </w:r>
      <w:r w:rsidR="00106BDF" w:rsidRPr="000C1905">
        <w:rPr>
          <w:rFonts w:ascii="宋体" w:hAnsi="宋体" w:hint="eastAsia"/>
          <w:szCs w:val="21"/>
        </w:rPr>
        <w:t>水槽</w:t>
      </w:r>
      <w:r w:rsidR="00911FF3" w:rsidRPr="000C1905">
        <w:rPr>
          <w:rFonts w:ascii="宋体" w:hAnsi="宋体" w:hint="eastAsia"/>
          <w:szCs w:val="21"/>
          <w:vertAlign w:val="superscript"/>
        </w:rPr>
        <w:fldChar w:fldCharType="begin"/>
      </w:r>
      <w:r w:rsidR="00911FF3" w:rsidRPr="000C1905">
        <w:rPr>
          <w:rFonts w:ascii="宋体" w:hAnsi="宋体" w:hint="eastAsia"/>
          <w:szCs w:val="21"/>
          <w:vertAlign w:val="superscript"/>
        </w:rPr>
        <w:instrText xml:space="preserve"> REF _Ref196148203 \r \h </w:instrText>
      </w:r>
      <w:r w:rsidR="003C3FCA" w:rsidRPr="000C1905">
        <w:rPr>
          <w:rFonts w:ascii="宋体" w:hAnsi="宋体" w:hint="eastAsia"/>
          <w:szCs w:val="21"/>
          <w:vertAlign w:val="superscript"/>
        </w:rPr>
        <w:instrText xml:space="preserve"> \* MERGEFORMAT </w:instrText>
      </w:r>
      <w:r w:rsidR="00911FF3" w:rsidRPr="000C1905">
        <w:rPr>
          <w:rFonts w:ascii="宋体" w:hAnsi="宋体" w:hint="eastAsia"/>
          <w:szCs w:val="21"/>
          <w:vertAlign w:val="superscript"/>
        </w:rPr>
      </w:r>
      <w:r w:rsidR="00911FF3" w:rsidRPr="000C1905">
        <w:rPr>
          <w:rFonts w:ascii="宋体" w:hAnsi="宋体" w:hint="eastAsia"/>
          <w:szCs w:val="21"/>
          <w:vertAlign w:val="superscript"/>
        </w:rPr>
        <w:fldChar w:fldCharType="separate"/>
      </w:r>
      <w:r w:rsidR="008F6340" w:rsidRPr="000C1905">
        <w:rPr>
          <w:rFonts w:ascii="宋体" w:hAnsi="宋体"/>
          <w:szCs w:val="21"/>
          <w:vertAlign w:val="superscript"/>
        </w:rPr>
        <w:t>[5]</w:t>
      </w:r>
      <w:r w:rsidR="00911FF3" w:rsidRPr="000C1905">
        <w:rPr>
          <w:rFonts w:ascii="宋体" w:hAnsi="宋体" w:hint="eastAsia"/>
          <w:szCs w:val="21"/>
          <w:vertAlign w:val="superscript"/>
        </w:rPr>
        <w:fldChar w:fldCharType="end"/>
      </w:r>
      <w:r w:rsidR="00106BDF" w:rsidRPr="000C1905">
        <w:rPr>
          <w:rFonts w:ascii="宋体" w:hAnsi="宋体" w:hint="eastAsia"/>
          <w:szCs w:val="21"/>
        </w:rPr>
        <w:t>中</w:t>
      </w:r>
      <w:r w:rsidRPr="000C1905">
        <w:rPr>
          <w:rFonts w:ascii="宋体" w:hAnsi="宋体" w:hint="eastAsia"/>
          <w:szCs w:val="21"/>
        </w:rPr>
        <w:t>时，液态水可有效产生强烈而宽带的太赫兹辐射。与气体和固体相比，液体具有明显优势，如更高的分子密度和流动性，这有利于相互作用区域的持续更新，从而避免累积加热效应对材料造成损伤</w:t>
      </w:r>
      <w:r w:rsidR="00911FF3" w:rsidRPr="000C1905">
        <w:rPr>
          <w:rFonts w:ascii="宋体" w:hAnsi="宋体" w:hint="eastAsia"/>
          <w:szCs w:val="21"/>
          <w:vertAlign w:val="superscript"/>
        </w:rPr>
        <w:fldChar w:fldCharType="begin"/>
      </w:r>
      <w:r w:rsidR="00911FF3" w:rsidRPr="000C1905">
        <w:rPr>
          <w:rFonts w:ascii="宋体" w:hAnsi="宋体" w:hint="eastAsia"/>
          <w:szCs w:val="21"/>
          <w:vertAlign w:val="superscript"/>
        </w:rPr>
        <w:instrText xml:space="preserve"> REF _Ref196148211 \r \h </w:instrText>
      </w:r>
      <w:r w:rsidR="003C3FCA" w:rsidRPr="000C1905">
        <w:rPr>
          <w:rFonts w:ascii="宋体" w:hAnsi="宋体" w:hint="eastAsia"/>
          <w:szCs w:val="21"/>
          <w:vertAlign w:val="superscript"/>
        </w:rPr>
        <w:instrText xml:space="preserve"> \* MERGEFORMAT </w:instrText>
      </w:r>
      <w:r w:rsidR="00911FF3" w:rsidRPr="000C1905">
        <w:rPr>
          <w:rFonts w:ascii="宋体" w:hAnsi="宋体" w:hint="eastAsia"/>
          <w:szCs w:val="21"/>
          <w:vertAlign w:val="superscript"/>
        </w:rPr>
      </w:r>
      <w:r w:rsidR="00911FF3" w:rsidRPr="000C1905">
        <w:rPr>
          <w:rFonts w:ascii="宋体" w:hAnsi="宋体" w:hint="eastAsia"/>
          <w:szCs w:val="21"/>
          <w:vertAlign w:val="superscript"/>
        </w:rPr>
        <w:fldChar w:fldCharType="separate"/>
      </w:r>
      <w:r w:rsidR="008F6340" w:rsidRPr="000C1905">
        <w:rPr>
          <w:rFonts w:ascii="宋体" w:hAnsi="宋体"/>
          <w:szCs w:val="21"/>
          <w:vertAlign w:val="superscript"/>
        </w:rPr>
        <w:t>[6]</w:t>
      </w:r>
      <w:r w:rsidR="00911FF3" w:rsidRPr="000C1905">
        <w:rPr>
          <w:rFonts w:ascii="宋体" w:hAnsi="宋体" w:hint="eastAsia"/>
          <w:szCs w:val="21"/>
          <w:vertAlign w:val="superscript"/>
        </w:rPr>
        <w:fldChar w:fldCharType="end"/>
      </w:r>
      <w:r w:rsidRPr="000C1905">
        <w:rPr>
          <w:rFonts w:ascii="宋体" w:hAnsi="宋体" w:hint="eastAsia"/>
          <w:szCs w:val="21"/>
        </w:rPr>
        <w:t>。因此，液</w:t>
      </w:r>
      <w:r w:rsidR="00FB5EDD" w:rsidRPr="000C1905">
        <w:rPr>
          <w:rFonts w:ascii="宋体" w:hAnsi="宋体" w:hint="eastAsia"/>
          <w:szCs w:val="21"/>
        </w:rPr>
        <w:t>态</w:t>
      </w:r>
      <w:r w:rsidRPr="000C1905">
        <w:rPr>
          <w:rFonts w:ascii="宋体" w:hAnsi="宋体" w:hint="eastAsia"/>
          <w:szCs w:val="21"/>
        </w:rPr>
        <w:t>太赫兹源现被认为是有望实现高强度、稳定太赫兹发射的候选材料，这激发了对多种液体介质的广泛探索</w:t>
      </w:r>
      <w:r w:rsidR="00DF7B5C" w:rsidRPr="000C1905">
        <w:rPr>
          <w:rFonts w:ascii="宋体" w:hAnsi="宋体"/>
          <w:szCs w:val="21"/>
        </w:rPr>
        <w:t>。</w:t>
      </w:r>
    </w:p>
    <w:p w14:paraId="76685129" w14:textId="14AA39C4" w:rsidR="007E2771" w:rsidRPr="000C1905" w:rsidRDefault="008C714A">
      <w:pPr>
        <w:ind w:firstLineChars="200" w:firstLine="420"/>
        <w:rPr>
          <w:rFonts w:ascii="宋体" w:hAnsi="宋体"/>
          <w:szCs w:val="21"/>
        </w:rPr>
      </w:pPr>
      <w:r w:rsidRPr="000C1905">
        <w:rPr>
          <w:rFonts w:ascii="宋体" w:hAnsi="宋体" w:hint="eastAsia"/>
          <w:szCs w:val="21"/>
        </w:rPr>
        <w:t>近期研究表明，溶解的离子物种会显著影响液体的太赫兹发射特性。以氯化钠溶液为例，</w:t>
      </w:r>
      <w:r w:rsidRPr="000C1905">
        <w:rPr>
          <w:rFonts w:ascii="宋体" w:hAnsi="宋体" w:hint="eastAsia"/>
          <w:szCs w:val="21"/>
        </w:rPr>
        <w:lastRenderedPageBreak/>
        <w:t>与纯水相比，</w:t>
      </w:r>
      <w:r w:rsidR="00943DBC" w:rsidRPr="000C1905">
        <w:rPr>
          <w:rFonts w:ascii="宋体" w:hAnsi="宋体" w:hint="eastAsia"/>
          <w:szCs w:val="21"/>
        </w:rPr>
        <w:t>在相同激发条件下含盐溶液</w:t>
      </w:r>
      <w:r w:rsidRPr="000C1905">
        <w:rPr>
          <w:rFonts w:ascii="宋体" w:hAnsi="宋体" w:hint="eastAsia"/>
          <w:szCs w:val="21"/>
        </w:rPr>
        <w:t>太赫兹发射强度显著增强，</w:t>
      </w:r>
      <w:r w:rsidR="00943DBC" w:rsidRPr="000C1905">
        <w:rPr>
          <w:rFonts w:ascii="宋体" w:hAnsi="宋体"/>
          <w:szCs w:val="21"/>
        </w:rPr>
        <w:t>Zhang</w:t>
      </w:r>
      <w:r w:rsidR="00943DBC" w:rsidRPr="000C1905">
        <w:rPr>
          <w:rFonts w:ascii="宋体" w:hAnsi="宋体" w:hint="eastAsia"/>
          <w:szCs w:val="21"/>
        </w:rPr>
        <w:t>等人最近的实验证实，在浓度高达</w:t>
      </w:r>
      <w:r w:rsidR="00943DBC" w:rsidRPr="000C1905">
        <w:rPr>
          <w:rFonts w:ascii="宋体" w:hAnsi="宋体"/>
          <w:szCs w:val="21"/>
        </w:rPr>
        <w:t>30%</w:t>
      </w:r>
      <w:r w:rsidR="00943DBC" w:rsidRPr="000C1905">
        <w:rPr>
          <w:rFonts w:ascii="宋体" w:hAnsi="宋体" w:hint="eastAsia"/>
          <w:szCs w:val="21"/>
        </w:rPr>
        <w:t>的</w:t>
      </w:r>
      <w:r w:rsidR="00943DBC" w:rsidRPr="000C1905">
        <w:rPr>
          <w:rFonts w:ascii="宋体" w:hAnsi="宋体"/>
          <w:szCs w:val="21"/>
        </w:rPr>
        <w:t>N</w:t>
      </w:r>
      <w:r w:rsidR="001054C8">
        <w:rPr>
          <w:rFonts w:ascii="宋体" w:hAnsi="宋体" w:hint="eastAsia"/>
          <w:szCs w:val="21"/>
        </w:rPr>
        <w:t>a</w:t>
      </w:r>
      <w:r w:rsidR="001054C8">
        <w:rPr>
          <w:rFonts w:ascii="宋体" w:hAnsi="宋体"/>
          <w:szCs w:val="21"/>
        </w:rPr>
        <w:t>C</w:t>
      </w:r>
      <w:r w:rsidR="001054C8">
        <w:rPr>
          <w:rFonts w:ascii="宋体" w:hAnsi="宋体" w:hint="eastAsia"/>
          <w:szCs w:val="21"/>
        </w:rPr>
        <w:t>l</w:t>
      </w:r>
      <w:r w:rsidR="00943DBC" w:rsidRPr="000C1905">
        <w:rPr>
          <w:rFonts w:ascii="宋体" w:hAnsi="宋体" w:hint="eastAsia"/>
          <w:szCs w:val="21"/>
        </w:rPr>
        <w:t>溶液中，</w:t>
      </w:r>
      <w:r w:rsidR="00806DC9" w:rsidRPr="000C1905">
        <w:rPr>
          <w:rFonts w:ascii="宋体" w:hAnsi="宋体"/>
          <w:szCs w:val="21"/>
        </w:rPr>
        <w:t>太赫兹</w:t>
      </w:r>
      <w:r w:rsidR="00943DBC" w:rsidRPr="000C1905">
        <w:rPr>
          <w:rFonts w:ascii="宋体" w:hAnsi="宋体" w:hint="eastAsia"/>
          <w:szCs w:val="21"/>
        </w:rPr>
        <w:t>辐射强度可达到纯水的</w:t>
      </w:r>
      <w:r w:rsidR="00943DBC" w:rsidRPr="000C1905">
        <w:rPr>
          <w:rFonts w:ascii="宋体" w:hAnsi="宋体"/>
          <w:szCs w:val="21"/>
        </w:rPr>
        <w:t>1.86</w:t>
      </w:r>
      <w:r w:rsidR="00943DBC" w:rsidRPr="000C1905">
        <w:rPr>
          <w:rFonts w:ascii="宋体" w:hAnsi="宋体" w:hint="eastAsia"/>
          <w:szCs w:val="21"/>
        </w:rPr>
        <w:t>倍</w:t>
      </w:r>
      <w:r w:rsidR="00911FF3" w:rsidRPr="000C1905">
        <w:rPr>
          <w:rFonts w:ascii="宋体" w:hAnsi="宋体" w:hint="eastAsia"/>
          <w:szCs w:val="21"/>
          <w:vertAlign w:val="superscript"/>
        </w:rPr>
        <w:fldChar w:fldCharType="begin"/>
      </w:r>
      <w:r w:rsidR="00911FF3" w:rsidRPr="000C1905">
        <w:rPr>
          <w:rFonts w:ascii="宋体" w:hAnsi="宋体" w:hint="eastAsia"/>
          <w:szCs w:val="21"/>
          <w:vertAlign w:val="superscript"/>
        </w:rPr>
        <w:instrText xml:space="preserve"> REF _Ref196148219 \r \h  \* MERGEFORMAT </w:instrText>
      </w:r>
      <w:r w:rsidR="00911FF3" w:rsidRPr="000C1905">
        <w:rPr>
          <w:rFonts w:ascii="宋体" w:hAnsi="宋体" w:hint="eastAsia"/>
          <w:szCs w:val="21"/>
          <w:vertAlign w:val="superscript"/>
        </w:rPr>
      </w:r>
      <w:r w:rsidR="00911FF3" w:rsidRPr="000C1905">
        <w:rPr>
          <w:rFonts w:ascii="宋体" w:hAnsi="宋体" w:hint="eastAsia"/>
          <w:szCs w:val="21"/>
          <w:vertAlign w:val="superscript"/>
        </w:rPr>
        <w:fldChar w:fldCharType="separate"/>
      </w:r>
      <w:r w:rsidR="008F6340" w:rsidRPr="000C1905">
        <w:rPr>
          <w:rFonts w:ascii="宋体" w:hAnsi="宋体"/>
          <w:szCs w:val="21"/>
          <w:vertAlign w:val="superscript"/>
        </w:rPr>
        <w:t>[7</w:t>
      </w:r>
      <w:r w:rsidR="000C4557">
        <w:rPr>
          <w:rFonts w:ascii="宋体" w:hAnsi="宋体" w:hint="eastAsia"/>
          <w:szCs w:val="21"/>
          <w:vertAlign w:val="superscript"/>
        </w:rPr>
        <w:t>-</w:t>
      </w:r>
      <w:r w:rsidR="00911FF3" w:rsidRPr="000C1905">
        <w:rPr>
          <w:rFonts w:ascii="宋体" w:hAnsi="宋体" w:hint="eastAsia"/>
          <w:szCs w:val="21"/>
          <w:vertAlign w:val="superscript"/>
        </w:rPr>
        <w:fldChar w:fldCharType="end"/>
      </w:r>
      <w:r w:rsidR="00911FF3" w:rsidRPr="000C1905">
        <w:rPr>
          <w:rFonts w:ascii="宋体" w:hAnsi="宋体" w:hint="eastAsia"/>
          <w:szCs w:val="21"/>
          <w:vertAlign w:val="superscript"/>
        </w:rPr>
        <w:fldChar w:fldCharType="begin"/>
      </w:r>
      <w:r w:rsidR="00911FF3" w:rsidRPr="000C1905">
        <w:rPr>
          <w:rFonts w:ascii="宋体" w:hAnsi="宋体" w:hint="eastAsia"/>
          <w:szCs w:val="21"/>
          <w:vertAlign w:val="superscript"/>
        </w:rPr>
        <w:instrText xml:space="preserve"> REF _Ref196148221 \r \h  \* MERGEFORMAT </w:instrText>
      </w:r>
      <w:r w:rsidR="00911FF3" w:rsidRPr="000C1905">
        <w:rPr>
          <w:rFonts w:ascii="宋体" w:hAnsi="宋体" w:hint="eastAsia"/>
          <w:szCs w:val="21"/>
          <w:vertAlign w:val="superscript"/>
        </w:rPr>
      </w:r>
      <w:r w:rsidR="00911FF3" w:rsidRPr="000C1905">
        <w:rPr>
          <w:rFonts w:ascii="宋体" w:hAnsi="宋体" w:hint="eastAsia"/>
          <w:szCs w:val="21"/>
          <w:vertAlign w:val="superscript"/>
        </w:rPr>
        <w:fldChar w:fldCharType="separate"/>
      </w:r>
      <w:r w:rsidR="008F6340" w:rsidRPr="000C1905">
        <w:rPr>
          <w:rFonts w:ascii="宋体" w:hAnsi="宋体"/>
          <w:szCs w:val="21"/>
          <w:vertAlign w:val="superscript"/>
        </w:rPr>
        <w:t>9]</w:t>
      </w:r>
      <w:r w:rsidR="00911FF3" w:rsidRPr="000C1905">
        <w:rPr>
          <w:rFonts w:ascii="宋体" w:hAnsi="宋体" w:hint="eastAsia"/>
          <w:szCs w:val="21"/>
          <w:vertAlign w:val="superscript"/>
        </w:rPr>
        <w:fldChar w:fldCharType="end"/>
      </w:r>
      <w:r w:rsidRPr="000C1905">
        <w:rPr>
          <w:rFonts w:ascii="宋体" w:hAnsi="宋体" w:hint="eastAsia"/>
          <w:szCs w:val="21"/>
        </w:rPr>
        <w:t>。</w:t>
      </w:r>
      <w:r w:rsidR="00943DBC" w:rsidRPr="000C1905">
        <w:rPr>
          <w:rFonts w:ascii="宋体" w:hAnsi="宋体" w:hint="eastAsia"/>
          <w:szCs w:val="21"/>
        </w:rPr>
        <w:t>离子对</w:t>
      </w:r>
      <w:r w:rsidR="00806DC9" w:rsidRPr="000C1905">
        <w:rPr>
          <w:rFonts w:ascii="宋体" w:hAnsi="宋体" w:hint="eastAsia"/>
          <w:szCs w:val="21"/>
        </w:rPr>
        <w:t>太赫兹</w:t>
      </w:r>
      <w:r w:rsidR="00943DBC" w:rsidRPr="000C1905">
        <w:rPr>
          <w:rFonts w:ascii="宋体" w:hAnsi="宋体" w:hint="eastAsia"/>
          <w:szCs w:val="21"/>
        </w:rPr>
        <w:t>发射的影响被认为与离子引入导致的介质光学、电学性质改变密切相关，例如折射率、等离子体密度、导电性等因素。然而，目前对于不同类型阴阳离子及其浓度的系统性研究仍然不足，对于离子影响</w:t>
      </w:r>
      <w:r w:rsidR="00806DC9" w:rsidRPr="000C1905">
        <w:rPr>
          <w:rFonts w:ascii="宋体" w:hAnsi="宋体" w:hint="eastAsia"/>
          <w:szCs w:val="21"/>
        </w:rPr>
        <w:t>太赫兹</w:t>
      </w:r>
      <w:r w:rsidR="00943DBC" w:rsidRPr="000C1905">
        <w:rPr>
          <w:rFonts w:ascii="宋体" w:hAnsi="宋体" w:hint="eastAsia"/>
          <w:szCs w:val="21"/>
        </w:rPr>
        <w:t>产生的微观机理也缺乏充分理解。</w:t>
      </w:r>
    </w:p>
    <w:p w14:paraId="34302C85" w14:textId="7AB8E6FF" w:rsidR="007E2771" w:rsidRDefault="00A46F18" w:rsidP="000A1F85">
      <w:pPr>
        <w:ind w:firstLineChars="200" w:firstLine="420"/>
        <w:rPr>
          <w:szCs w:val="21"/>
        </w:rPr>
      </w:pPr>
      <w:r>
        <w:rPr>
          <w:rFonts w:ascii="Segoe UI" w:hAnsi="Segoe UI" w:cs="Segoe UI"/>
          <w:color w:val="0F1115"/>
          <w:shd w:val="clear" w:color="auto" w:fill="FFFFFF"/>
        </w:rPr>
        <w:t>本文通过实验与模拟相结合的方法，系统研究</w:t>
      </w:r>
      <w:r>
        <w:rPr>
          <w:rFonts w:ascii="Segoe UI" w:hAnsi="Segoe UI" w:cs="Segoe UI" w:hint="eastAsia"/>
          <w:color w:val="0F1115"/>
          <w:shd w:val="clear" w:color="auto" w:fill="FFFFFF"/>
        </w:rPr>
        <w:t>4</w:t>
      </w:r>
      <w:r>
        <w:rPr>
          <w:rFonts w:ascii="Segoe UI" w:hAnsi="Segoe UI" w:cs="Segoe UI"/>
          <w:color w:val="0F1115"/>
          <w:shd w:val="clear" w:color="auto" w:fill="FFFFFF"/>
        </w:rPr>
        <w:t>种离子</w:t>
      </w:r>
      <w:r>
        <w:rPr>
          <w:rFonts w:ascii="Segoe UI" w:hAnsi="Segoe UI" w:cs="Segoe UI" w:hint="eastAsia"/>
          <w:color w:val="0F1115"/>
          <w:shd w:val="clear" w:color="auto" w:fill="FFFFFF"/>
        </w:rPr>
        <w:t>（</w:t>
      </w:r>
      <w:r w:rsidR="00813C63" w:rsidRPr="000C1905">
        <w:rPr>
          <w:szCs w:val="21"/>
        </w:rPr>
        <w:t>Cl⁻</w:t>
      </w:r>
      <w:r w:rsidR="00813C63" w:rsidRPr="000C1905">
        <w:rPr>
          <w:rFonts w:hint="eastAsia"/>
          <w:szCs w:val="21"/>
        </w:rPr>
        <w:t>、</w:t>
      </w:r>
      <w:r w:rsidR="00813C63" w:rsidRPr="000C1905">
        <w:rPr>
          <w:szCs w:val="21"/>
        </w:rPr>
        <w:t>HCO₃⁻</w:t>
      </w:r>
      <w:r w:rsidR="00813C63" w:rsidRPr="000C1905">
        <w:rPr>
          <w:rFonts w:hint="eastAsia"/>
          <w:szCs w:val="21"/>
        </w:rPr>
        <w:t>、</w:t>
      </w:r>
      <w:r w:rsidR="00813C63" w:rsidRPr="000C1905">
        <w:rPr>
          <w:szCs w:val="21"/>
        </w:rPr>
        <w:t>Na⁺</w:t>
      </w:r>
      <w:r w:rsidR="00813C63" w:rsidRPr="000C1905">
        <w:rPr>
          <w:rFonts w:hint="eastAsia"/>
          <w:szCs w:val="21"/>
        </w:rPr>
        <w:t>和</w:t>
      </w:r>
      <w:r w:rsidR="00813C63" w:rsidRPr="000C1905">
        <w:rPr>
          <w:szCs w:val="21"/>
        </w:rPr>
        <w:t>Ca²⁺</w:t>
      </w:r>
      <w:r>
        <w:rPr>
          <w:rFonts w:hint="eastAsia"/>
          <w:szCs w:val="21"/>
        </w:rPr>
        <w:t>）</w:t>
      </w:r>
      <w:r w:rsidR="00813C63" w:rsidRPr="000C1905">
        <w:rPr>
          <w:rFonts w:hint="eastAsia"/>
          <w:szCs w:val="21"/>
        </w:rPr>
        <w:t>对太赫兹辐射的影响，</w:t>
      </w:r>
      <w:r w:rsidR="00E03DB3">
        <w:rPr>
          <w:rFonts w:ascii="Segoe UI" w:hAnsi="Segoe UI" w:cs="Segoe UI"/>
          <w:color w:val="0F1115"/>
          <w:shd w:val="clear" w:color="auto" w:fill="FFFFFF"/>
        </w:rPr>
        <w:t>揭示多尺度调控机理，并首次提出通过调节离子含量来控制太赫兹源的策略</w:t>
      </w:r>
      <w:r w:rsidR="007E2771" w:rsidRPr="000C1905">
        <w:rPr>
          <w:rFonts w:hint="eastAsia"/>
          <w:szCs w:val="21"/>
        </w:rPr>
        <w:t>。</w:t>
      </w:r>
    </w:p>
    <w:p w14:paraId="0661FA5D" w14:textId="77777777" w:rsidR="00C24B33" w:rsidRPr="00C24B33" w:rsidRDefault="00C24B33" w:rsidP="000A1F85">
      <w:pPr>
        <w:ind w:firstLineChars="200" w:firstLine="420"/>
        <w:rPr>
          <w:szCs w:val="21"/>
        </w:rPr>
      </w:pPr>
    </w:p>
    <w:p w14:paraId="7C5F98ED" w14:textId="2B5CE118" w:rsidR="00BD6A7C" w:rsidRPr="000C1905" w:rsidRDefault="007E2771" w:rsidP="00E13729">
      <w:pPr>
        <w:rPr>
          <w:b/>
          <w:sz w:val="28"/>
          <w:szCs w:val="28"/>
        </w:rPr>
      </w:pPr>
      <w:r w:rsidRPr="000C1905">
        <w:rPr>
          <w:rFonts w:hint="eastAsia"/>
          <w:b/>
          <w:sz w:val="28"/>
          <w:szCs w:val="28"/>
        </w:rPr>
        <w:t>1</w:t>
      </w:r>
      <w:r w:rsidR="00DF7B5C" w:rsidRPr="000C1905">
        <w:rPr>
          <w:b/>
          <w:sz w:val="28"/>
          <w:szCs w:val="28"/>
        </w:rPr>
        <w:t xml:space="preserve"> </w:t>
      </w:r>
      <w:r w:rsidR="00DF7B5C" w:rsidRPr="000C1905">
        <w:rPr>
          <w:b/>
          <w:sz w:val="28"/>
          <w:szCs w:val="28"/>
        </w:rPr>
        <w:t>实验</w:t>
      </w:r>
      <w:r w:rsidR="00A46F18">
        <w:rPr>
          <w:rFonts w:hint="eastAsia"/>
          <w:b/>
          <w:sz w:val="28"/>
          <w:szCs w:val="28"/>
        </w:rPr>
        <w:t>系统与</w:t>
      </w:r>
      <w:r w:rsidR="00A46F18">
        <w:rPr>
          <w:b/>
          <w:sz w:val="28"/>
          <w:szCs w:val="28"/>
        </w:rPr>
        <w:t>方法</w:t>
      </w:r>
    </w:p>
    <w:p w14:paraId="7A7ABA46" w14:textId="309B103B" w:rsidR="00BD6A7C" w:rsidRPr="000C1905" w:rsidRDefault="00B10522">
      <w:pPr>
        <w:ind w:firstLineChars="200" w:firstLine="420"/>
        <w:rPr>
          <w:rFonts w:ascii="宋体" w:hAnsi="宋体"/>
          <w:szCs w:val="21"/>
        </w:rPr>
      </w:pPr>
      <w:r w:rsidRPr="00B10522">
        <w:rPr>
          <w:color w:val="0F1115"/>
          <w:shd w:val="clear" w:color="auto" w:fill="FFFFFF"/>
        </w:rPr>
        <w:t>本文实验装置示意图如图</w:t>
      </w:r>
      <w:r w:rsidRPr="00B10522">
        <w:rPr>
          <w:color w:val="0F1115"/>
          <w:shd w:val="clear" w:color="auto" w:fill="FFFFFF"/>
        </w:rPr>
        <w:t>1</w:t>
      </w:r>
      <w:r w:rsidRPr="00B10522">
        <w:rPr>
          <w:color w:val="0F1115"/>
          <w:shd w:val="clear" w:color="auto" w:fill="FFFFFF"/>
        </w:rPr>
        <w:t>所示。光源为飞秒钛蓝宝石激光器，中心波长</w:t>
      </w:r>
      <w:r w:rsidRPr="00B10522">
        <w:rPr>
          <w:color w:val="0F1115"/>
          <w:shd w:val="clear" w:color="auto" w:fill="FFFFFF"/>
        </w:rPr>
        <w:t>800 nm</w:t>
      </w:r>
      <w:r w:rsidRPr="00B10522">
        <w:rPr>
          <w:color w:val="0F1115"/>
          <w:shd w:val="clear" w:color="auto" w:fill="FFFFFF"/>
        </w:rPr>
        <w:t>，脉冲宽度</w:t>
      </w:r>
      <w:r w:rsidRPr="00B10522">
        <w:rPr>
          <w:color w:val="0F1115"/>
          <w:shd w:val="clear" w:color="auto" w:fill="FFFFFF"/>
        </w:rPr>
        <w:t>35 fs</w:t>
      </w:r>
      <w:r w:rsidRPr="00B10522">
        <w:rPr>
          <w:color w:val="0F1115"/>
          <w:shd w:val="clear" w:color="auto" w:fill="FFFFFF"/>
        </w:rPr>
        <w:t>，重复频率</w:t>
      </w:r>
      <w:r w:rsidRPr="00B10522">
        <w:rPr>
          <w:color w:val="0F1115"/>
          <w:shd w:val="clear" w:color="auto" w:fill="FFFFFF"/>
        </w:rPr>
        <w:t>1 kHz</w:t>
      </w:r>
      <w:r w:rsidRPr="00B10522">
        <w:rPr>
          <w:color w:val="0F1115"/>
          <w:shd w:val="clear" w:color="auto" w:fill="FFFFFF"/>
        </w:rPr>
        <w:t>。激光经中性密度滤波片调节输出脉冲能量，并由校准功率计实时监测激光功率。调节至所需能量后，激光束通过焦距为</w:t>
      </w:r>
      <w:r w:rsidRPr="00B10522">
        <w:rPr>
          <w:color w:val="0F1115"/>
          <w:shd w:val="clear" w:color="auto" w:fill="FFFFFF"/>
        </w:rPr>
        <w:t>50.8 mm</w:t>
      </w:r>
      <w:r w:rsidRPr="00B10522">
        <w:rPr>
          <w:color w:val="0F1115"/>
          <w:shd w:val="clear" w:color="auto" w:fill="FFFFFF"/>
        </w:rPr>
        <w:t>的透镜沿</w:t>
      </w:r>
      <w:r w:rsidRPr="00B10522">
        <w:rPr>
          <w:color w:val="0F1115"/>
          <w:shd w:val="clear" w:color="auto" w:fill="FFFFFF"/>
        </w:rPr>
        <w:t>X</w:t>
      </w:r>
      <w:r w:rsidRPr="00B10522">
        <w:rPr>
          <w:color w:val="0F1115"/>
          <w:shd w:val="clear" w:color="auto" w:fill="FFFFFF"/>
        </w:rPr>
        <w:t>轴水平聚焦于流动的液态水射流中心。水射流沿</w:t>
      </w:r>
      <w:r w:rsidRPr="00B10522">
        <w:rPr>
          <w:color w:val="0F1115"/>
          <w:shd w:val="clear" w:color="auto" w:fill="FFFFFF"/>
        </w:rPr>
        <w:t>Z</w:t>
      </w:r>
      <w:r w:rsidRPr="00B10522">
        <w:rPr>
          <w:color w:val="0F1115"/>
          <w:shd w:val="clear" w:color="auto" w:fill="FFFFFF"/>
        </w:rPr>
        <w:t>轴垂直向下流动，直径约为</w:t>
      </w:r>
      <w:r w:rsidRPr="00B10522">
        <w:rPr>
          <w:color w:val="0F1115"/>
          <w:shd w:val="clear" w:color="auto" w:fill="FFFFFF"/>
        </w:rPr>
        <w:t>0.6 mm</w:t>
      </w:r>
      <w:r w:rsidRPr="00B10522">
        <w:rPr>
          <w:color w:val="0F1115"/>
          <w:shd w:val="clear" w:color="auto" w:fill="FFFFFF"/>
        </w:rPr>
        <w:t>，流速为</w:t>
      </w:r>
      <w:r w:rsidRPr="00B10522">
        <w:rPr>
          <w:color w:val="0F1115"/>
          <w:shd w:val="clear" w:color="auto" w:fill="FFFFFF"/>
        </w:rPr>
        <w:t>40 mL/min</w:t>
      </w:r>
      <w:r w:rsidRPr="00B10522">
        <w:rPr>
          <w:color w:val="0F1115"/>
          <w:shd w:val="clear" w:color="auto" w:fill="FFFFFF"/>
        </w:rPr>
        <w:t>，插图为</w:t>
      </w:r>
      <w:r w:rsidRPr="00B10522">
        <w:rPr>
          <w:color w:val="0F1115"/>
          <w:shd w:val="clear" w:color="auto" w:fill="FFFFFF"/>
        </w:rPr>
        <w:t>CMOS</w:t>
      </w:r>
      <w:r w:rsidRPr="00B10522">
        <w:rPr>
          <w:color w:val="0F1115"/>
          <w:shd w:val="clear" w:color="auto" w:fill="FFFFFF"/>
        </w:rPr>
        <w:t>相机拍摄的水射流实物图。激光聚焦于水射流后诱导产生等离子体，进而辐射太赫兹波。产生的太赫兹辐射主要沿</w:t>
      </w:r>
      <w:r w:rsidRPr="00B10522">
        <w:rPr>
          <w:color w:val="0F1115"/>
          <w:shd w:val="clear" w:color="auto" w:fill="FFFFFF"/>
        </w:rPr>
        <w:t>Y</w:t>
      </w:r>
      <w:r w:rsidRPr="00B10522">
        <w:rPr>
          <w:color w:val="0F1115"/>
          <w:shd w:val="clear" w:color="auto" w:fill="FFFFFF"/>
        </w:rPr>
        <w:t>轴方向传播，经离轴抛物面镜收集后，由热释电探测器测量其综合强度。为屏蔽多余光干扰并保证信号稳定，光路中引入了低通滤波片及机械调制装置。通过调节激光功率，记录不同溶液在相同激发条件下的太赫兹输出强度</w:t>
      </w:r>
      <w:r w:rsidR="003C3FCA" w:rsidRPr="000C1905">
        <w:rPr>
          <w:rFonts w:ascii="宋体" w:hAnsi="宋体" w:hint="eastAsia"/>
          <w:szCs w:val="21"/>
        </w:rPr>
        <w:t>。</w:t>
      </w:r>
    </w:p>
    <w:p w14:paraId="598A62FC" w14:textId="10912C09" w:rsidR="00EE4EB9" w:rsidRPr="000C1905" w:rsidRDefault="00C36E70" w:rsidP="00C36E70">
      <w:pPr>
        <w:ind w:firstLineChars="200" w:firstLine="420"/>
        <w:jc w:val="center"/>
        <w:rPr>
          <w:szCs w:val="21"/>
        </w:rPr>
      </w:pPr>
      <w:r w:rsidRPr="000C1905">
        <w:object w:dxaOrig="4357" w:dyaOrig="2557" w14:anchorId="24B763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65pt;height:128.1pt" o:ole="">
            <v:imagedata r:id="rId8" o:title=""/>
          </v:shape>
          <o:OLEObject Type="Embed" ProgID="Visio.Drawing.15" ShapeID="_x0000_i1025" DrawAspect="Content" ObjectID="_1838876114" r:id="rId9"/>
        </w:object>
      </w:r>
    </w:p>
    <w:p w14:paraId="45DC926E" w14:textId="33527D8B" w:rsidR="007E2771" w:rsidRPr="000C1905" w:rsidRDefault="00EE4EB9" w:rsidP="00E13729">
      <w:pPr>
        <w:jc w:val="center"/>
        <w:rPr>
          <w:rFonts w:ascii="宋体" w:hAnsi="宋体"/>
          <w:b/>
          <w:sz w:val="15"/>
          <w:szCs w:val="15"/>
        </w:rPr>
      </w:pPr>
      <w:r w:rsidRPr="000C1905">
        <w:rPr>
          <w:rFonts w:ascii="宋体" w:hAnsi="宋体" w:hint="eastAsia"/>
          <w:b/>
          <w:sz w:val="15"/>
          <w:szCs w:val="15"/>
        </w:rPr>
        <w:t>图1</w:t>
      </w:r>
      <w:r w:rsidR="00E13729" w:rsidRPr="000C1905">
        <w:rPr>
          <w:rFonts w:ascii="宋体" w:hAnsi="宋体" w:hint="eastAsia"/>
          <w:b/>
          <w:sz w:val="15"/>
          <w:szCs w:val="15"/>
        </w:rPr>
        <w:t xml:space="preserve">  </w:t>
      </w:r>
      <w:r w:rsidRPr="000C1905">
        <w:rPr>
          <w:rFonts w:ascii="宋体" w:hAnsi="宋体" w:hint="eastAsia"/>
          <w:b/>
          <w:sz w:val="15"/>
          <w:szCs w:val="15"/>
        </w:rPr>
        <w:t>飞秒激光诱导液线太赫兹辐射发射装置示意图</w:t>
      </w:r>
    </w:p>
    <w:p w14:paraId="6DC93FE5" w14:textId="3D8487AC" w:rsidR="007E2771" w:rsidRPr="000C1905" w:rsidRDefault="008C714A">
      <w:pPr>
        <w:ind w:firstLineChars="200" w:firstLine="420"/>
        <w:rPr>
          <w:szCs w:val="21"/>
        </w:rPr>
      </w:pPr>
      <w:r w:rsidRPr="000C1905">
        <w:rPr>
          <w:rFonts w:hint="eastAsia"/>
          <w:szCs w:val="21"/>
        </w:rPr>
        <w:t>所发射的太赫兹辐射完全通过热释电探测器进行表征。该探测器可直接测量频率范围约为</w:t>
      </w:r>
      <w:r w:rsidRPr="000C1905">
        <w:rPr>
          <w:rFonts w:hint="eastAsia"/>
          <w:szCs w:val="21"/>
        </w:rPr>
        <w:t xml:space="preserve">0.1 </w:t>
      </w:r>
      <w:r w:rsidR="00A46F18">
        <w:rPr>
          <w:szCs w:val="21"/>
        </w:rPr>
        <w:t>~</w:t>
      </w:r>
      <w:r w:rsidRPr="000C1905">
        <w:rPr>
          <w:rFonts w:hint="eastAsia"/>
          <w:szCs w:val="21"/>
        </w:rPr>
        <w:t>3 THz</w:t>
      </w:r>
      <w:r w:rsidRPr="000C1905">
        <w:rPr>
          <w:rFonts w:hint="eastAsia"/>
          <w:szCs w:val="21"/>
        </w:rPr>
        <w:t>的太赫兹综合强度</w:t>
      </w:r>
      <w:r w:rsidR="00911FF3" w:rsidRPr="000C1905">
        <w:rPr>
          <w:szCs w:val="21"/>
          <w:vertAlign w:val="superscript"/>
        </w:rPr>
        <w:fldChar w:fldCharType="begin"/>
      </w:r>
      <w:r w:rsidR="00911FF3" w:rsidRPr="000C1905">
        <w:rPr>
          <w:szCs w:val="21"/>
          <w:vertAlign w:val="superscript"/>
        </w:rPr>
        <w:instrText xml:space="preserve"> </w:instrText>
      </w:r>
      <w:r w:rsidR="00911FF3" w:rsidRPr="000C1905">
        <w:rPr>
          <w:rFonts w:hint="eastAsia"/>
          <w:szCs w:val="21"/>
          <w:vertAlign w:val="superscript"/>
        </w:rPr>
        <w:instrText>REF _Ref196148290 \r \h</w:instrText>
      </w:r>
      <w:r w:rsidR="00911FF3" w:rsidRPr="000C1905">
        <w:rPr>
          <w:szCs w:val="21"/>
          <w:vertAlign w:val="superscript"/>
        </w:rPr>
        <w:instrText xml:space="preserve"> </w:instrText>
      </w:r>
      <w:r w:rsidR="003C3FCA" w:rsidRPr="000C1905">
        <w:rPr>
          <w:szCs w:val="21"/>
          <w:vertAlign w:val="superscript"/>
        </w:rPr>
        <w:instrText xml:space="preserve"> \* MERGEFORMAT </w:instrText>
      </w:r>
      <w:r w:rsidR="00911FF3" w:rsidRPr="000C1905">
        <w:rPr>
          <w:szCs w:val="21"/>
          <w:vertAlign w:val="superscript"/>
        </w:rPr>
      </w:r>
      <w:r w:rsidR="00911FF3" w:rsidRPr="000C1905">
        <w:rPr>
          <w:szCs w:val="21"/>
          <w:vertAlign w:val="superscript"/>
        </w:rPr>
        <w:fldChar w:fldCharType="separate"/>
      </w:r>
      <w:r w:rsidR="008F6340" w:rsidRPr="000C1905">
        <w:rPr>
          <w:szCs w:val="21"/>
          <w:vertAlign w:val="superscript"/>
        </w:rPr>
        <w:t>[10]</w:t>
      </w:r>
      <w:r w:rsidR="00911FF3" w:rsidRPr="000C1905">
        <w:rPr>
          <w:szCs w:val="21"/>
          <w:vertAlign w:val="superscript"/>
        </w:rPr>
        <w:fldChar w:fldCharType="end"/>
      </w:r>
      <w:r w:rsidRPr="000C1905">
        <w:rPr>
          <w:rFonts w:hint="eastAsia"/>
          <w:szCs w:val="21"/>
        </w:rPr>
        <w:t>。随后，对获取的太赫兹强度数据进行分析，以明确确定浓度效应</w:t>
      </w:r>
      <w:r w:rsidR="00905307" w:rsidRPr="000C1905">
        <w:rPr>
          <w:rFonts w:hint="eastAsia"/>
          <w:szCs w:val="21"/>
        </w:rPr>
        <w:t>：</w:t>
      </w:r>
    </w:p>
    <w:p w14:paraId="199AB91B" w14:textId="065363C1" w:rsidR="00394CFC" w:rsidRPr="000C1905" w:rsidRDefault="00E97054" w:rsidP="00A46F18">
      <w:pPr>
        <w:ind w:firstLineChars="200" w:firstLine="420"/>
        <w:jc w:val="center"/>
        <w:rPr>
          <w:szCs w:val="21"/>
        </w:rPr>
      </w:pPr>
      <m:oMath>
        <m:sSub>
          <m:sSubPr>
            <m:ctrlPr>
              <w:rPr>
                <w:rFonts w:ascii="Cambria Math" w:hAnsi="Cambria Math"/>
                <w:szCs w:val="21"/>
              </w:rPr>
            </m:ctrlPr>
          </m:sSubPr>
          <m:e>
            <m:r>
              <w:rPr>
                <w:rFonts w:ascii="Cambria Math" w:hAnsi="Cambria Math"/>
                <w:szCs w:val="21"/>
              </w:rPr>
              <m:t>I</m:t>
            </m:r>
          </m:e>
          <m:sub>
            <m:r>
              <m:rPr>
                <m:sty m:val="p"/>
              </m:rPr>
              <w:rPr>
                <w:rFonts w:ascii="Cambria Math" w:hAnsi="Cambria Math"/>
                <w:szCs w:val="21"/>
              </w:rPr>
              <m:t>THz</m:t>
            </m:r>
          </m:sub>
        </m:sSub>
        <m:r>
          <w:rPr>
            <w:rFonts w:ascii="Cambria Math" w:hAnsi="Cambria Math"/>
            <w:szCs w:val="21"/>
          </w:rPr>
          <m:t>=</m:t>
        </m:r>
        <m:nary>
          <m:naryPr>
            <m:limLoc m:val="subSup"/>
            <m:grow m:val="1"/>
            <m:ctrlPr>
              <w:rPr>
                <w:rFonts w:ascii="Cambria Math" w:hAnsi="Cambria Math"/>
                <w:szCs w:val="21"/>
              </w:rPr>
            </m:ctrlPr>
          </m:naryPr>
          <m:sub>
            <m:r>
              <w:rPr>
                <w:rFonts w:ascii="Cambria Math" w:hAnsi="Cambria Math"/>
                <w:szCs w:val="21"/>
              </w:rPr>
              <m:t>0.1,</m:t>
            </m:r>
            <m:r>
              <m:rPr>
                <m:sty m:val="p"/>
              </m:rPr>
              <w:rPr>
                <w:rFonts w:ascii="Cambria Math" w:hAnsi="Cambria Math"/>
                <w:szCs w:val="21"/>
              </w:rPr>
              <m:t>THz</m:t>
            </m:r>
          </m:sub>
          <m:sup>
            <m:r>
              <w:rPr>
                <w:rFonts w:ascii="Cambria Math" w:hAnsi="Cambria Math"/>
                <w:szCs w:val="21"/>
              </w:rPr>
              <m:t>3,</m:t>
            </m:r>
            <m:r>
              <m:rPr>
                <m:sty m:val="p"/>
              </m:rPr>
              <w:rPr>
                <w:rFonts w:ascii="Cambria Math" w:hAnsi="Cambria Math"/>
                <w:szCs w:val="21"/>
              </w:rPr>
              <m:t>THz</m:t>
            </m:r>
          </m:sup>
          <m:e>
            <m:r>
              <w:rPr>
                <w:rFonts w:ascii="Cambria Math" w:hAnsi="Cambria Math"/>
                <w:szCs w:val="21"/>
              </w:rPr>
              <m:t> </m:t>
            </m:r>
          </m:e>
        </m:nary>
        <m:r>
          <w:rPr>
            <w:rFonts w:ascii="Cambria Math" w:hAnsi="Cambria Math"/>
            <w:szCs w:val="21"/>
          </w:rPr>
          <m:t>|E(ω)</m:t>
        </m:r>
        <m:sSup>
          <m:sSupPr>
            <m:ctrlPr>
              <w:rPr>
                <w:rFonts w:ascii="Cambria Math" w:hAnsi="Cambria Math"/>
                <w:szCs w:val="21"/>
              </w:rPr>
            </m:ctrlPr>
          </m:sSupPr>
          <m:e>
            <m:r>
              <w:rPr>
                <w:rFonts w:ascii="Cambria Math" w:hAnsi="Cambria Math"/>
                <w:szCs w:val="21"/>
              </w:rPr>
              <m:t>|</m:t>
            </m:r>
          </m:e>
          <m:sup>
            <m:r>
              <w:rPr>
                <w:rFonts w:ascii="Cambria Math" w:hAnsi="Cambria Math"/>
                <w:szCs w:val="21"/>
              </w:rPr>
              <m:t>2</m:t>
            </m:r>
          </m:sup>
        </m:sSup>
        <m:r>
          <w:rPr>
            <w:rFonts w:ascii="Cambria Math" w:hAnsi="Cambria Math"/>
            <w:szCs w:val="21"/>
          </w:rPr>
          <m:t>,dω</m:t>
        </m:r>
      </m:oMath>
      <w:r w:rsidR="00A46F18">
        <w:rPr>
          <w:rFonts w:hint="eastAsia"/>
          <w:szCs w:val="21"/>
        </w:rPr>
        <w:t xml:space="preserve">  </w:t>
      </w:r>
      <w:r w:rsidR="00A46F18">
        <w:rPr>
          <w:rFonts w:hint="eastAsia"/>
          <w:szCs w:val="21"/>
        </w:rPr>
        <w:t>（</w:t>
      </w:r>
      <w:r w:rsidR="00A46F18">
        <w:rPr>
          <w:rFonts w:hint="eastAsia"/>
          <w:szCs w:val="21"/>
        </w:rPr>
        <w:t>1</w:t>
      </w:r>
      <w:r w:rsidR="00A46F18">
        <w:rPr>
          <w:rFonts w:hint="eastAsia"/>
          <w:szCs w:val="21"/>
        </w:rPr>
        <w:t>）</w:t>
      </w:r>
    </w:p>
    <w:p w14:paraId="42D4487C" w14:textId="7EEEC82D" w:rsidR="00A458B7" w:rsidRPr="000C1905" w:rsidRDefault="00A46F18" w:rsidP="00A46F18">
      <w:pPr>
        <w:rPr>
          <w:szCs w:val="21"/>
        </w:rPr>
      </w:pPr>
      <w:r>
        <w:rPr>
          <w:rFonts w:hint="eastAsia"/>
          <w:szCs w:val="21"/>
        </w:rPr>
        <w:t>式</w:t>
      </w:r>
      <w:r w:rsidR="007E2771" w:rsidRPr="000C1905">
        <w:rPr>
          <w:rFonts w:hint="eastAsia"/>
          <w:szCs w:val="21"/>
        </w:rPr>
        <w:t>中</w:t>
      </w:r>
      <w:r>
        <w:rPr>
          <w:rFonts w:hint="eastAsia"/>
          <w:szCs w:val="21"/>
        </w:rPr>
        <w:t>：</w:t>
      </w:r>
      <m:oMath>
        <m:r>
          <w:rPr>
            <w:rFonts w:ascii="Cambria Math" w:hAnsi="Cambria Math"/>
            <w:szCs w:val="21"/>
          </w:rPr>
          <m:t>E(ω)</m:t>
        </m:r>
      </m:oMath>
      <w:r w:rsidR="007E2771" w:rsidRPr="000C1905">
        <w:rPr>
          <w:rFonts w:hint="eastAsia"/>
          <w:szCs w:val="21"/>
        </w:rPr>
        <w:t>表示频率为</w:t>
      </w:r>
      <m:oMath>
        <m:r>
          <w:rPr>
            <w:rFonts w:ascii="Cambria Math" w:hAnsi="Cambria Math"/>
            <w:szCs w:val="21"/>
          </w:rPr>
          <m:t>ω</m:t>
        </m:r>
      </m:oMath>
      <w:r w:rsidR="007E2771" w:rsidRPr="000C1905">
        <w:rPr>
          <w:rFonts w:hint="eastAsia"/>
          <w:szCs w:val="21"/>
        </w:rPr>
        <w:t>的电场振幅。</w:t>
      </w:r>
      <w:r w:rsidR="008C714A" w:rsidRPr="000C1905">
        <w:rPr>
          <w:rFonts w:hint="eastAsia"/>
          <w:szCs w:val="21"/>
        </w:rPr>
        <w:t>每次测量均重复多次，并对结果取平均值，以确保统计可靠性。</w:t>
      </w:r>
      <w:r w:rsidR="003F31E3" w:rsidRPr="000C1905">
        <w:rPr>
          <w:rFonts w:hint="eastAsia"/>
          <w:szCs w:val="21"/>
        </w:rPr>
        <w:t>实验在室温</w:t>
      </w:r>
      <w:r w:rsidR="003F31E3" w:rsidRPr="000C1905">
        <w:rPr>
          <w:szCs w:val="21"/>
        </w:rPr>
        <w:t>(~20</w:t>
      </w:r>
      <w:r w:rsidR="001E4312" w:rsidRPr="000C1905">
        <w:rPr>
          <w:rFonts w:hint="eastAsia"/>
          <w:szCs w:val="21"/>
        </w:rPr>
        <w:t xml:space="preserve"> </w:t>
      </w:r>
      <w:r w:rsidR="001E4312" w:rsidRPr="000C1905">
        <w:rPr>
          <w:szCs w:val="21"/>
        </w:rPr>
        <w:t>°C</w:t>
      </w:r>
      <w:r w:rsidR="003F31E3" w:rsidRPr="000C1905">
        <w:rPr>
          <w:szCs w:val="21"/>
        </w:rPr>
        <w:t>)</w:t>
      </w:r>
      <w:r w:rsidR="003F31E3" w:rsidRPr="000C1905">
        <w:rPr>
          <w:rFonts w:hint="eastAsia"/>
          <w:szCs w:val="21"/>
        </w:rPr>
        <w:t>下进行，并持续监控温度确保波动小于±</w:t>
      </w:r>
      <w:r w:rsidR="003F31E3" w:rsidRPr="000C1905">
        <w:rPr>
          <w:szCs w:val="21"/>
        </w:rPr>
        <w:t>1</w:t>
      </w:r>
      <w:r w:rsidR="001E4312" w:rsidRPr="000C1905">
        <w:rPr>
          <w:rFonts w:hint="eastAsia"/>
          <w:szCs w:val="21"/>
        </w:rPr>
        <w:t xml:space="preserve"> </w:t>
      </w:r>
      <w:r w:rsidR="001E4312" w:rsidRPr="000C1905">
        <w:rPr>
          <w:szCs w:val="21"/>
        </w:rPr>
        <w:t>°C</w:t>
      </w:r>
      <w:r w:rsidR="003F31E3" w:rsidRPr="000C1905">
        <w:rPr>
          <w:rFonts w:hint="eastAsia"/>
          <w:szCs w:val="21"/>
        </w:rPr>
        <w:t>。激光输出的功率稳定性经过监测，其短期波动低于</w:t>
      </w:r>
      <w:r w:rsidR="003F31E3" w:rsidRPr="000C1905">
        <w:rPr>
          <w:szCs w:val="21"/>
        </w:rPr>
        <w:t>2%</w:t>
      </w:r>
      <w:r w:rsidR="003F31E3" w:rsidRPr="000C1905">
        <w:rPr>
          <w:rFonts w:hint="eastAsia"/>
          <w:szCs w:val="21"/>
        </w:rPr>
        <w:t>，保证了测量期间光源的稳定。</w:t>
      </w:r>
    </w:p>
    <w:p w14:paraId="51490B23" w14:textId="414AADF8" w:rsidR="00BD6A7C" w:rsidRDefault="003F31E3" w:rsidP="00D2221C">
      <w:pPr>
        <w:ind w:firstLineChars="200" w:firstLine="420"/>
        <w:rPr>
          <w:szCs w:val="21"/>
        </w:rPr>
      </w:pPr>
      <w:r w:rsidRPr="000C1905">
        <w:rPr>
          <w:rFonts w:hint="eastAsia"/>
          <w:szCs w:val="21"/>
        </w:rPr>
        <w:t>实验所用溶液均由超纯去离子水配制，以消除杂质对</w:t>
      </w:r>
      <w:r w:rsidR="003C3FCA" w:rsidRPr="000C1905">
        <w:rPr>
          <w:rFonts w:hint="eastAsia"/>
          <w:szCs w:val="21"/>
        </w:rPr>
        <w:t>太赫兹辐射</w:t>
      </w:r>
      <w:r w:rsidRPr="000C1905">
        <w:rPr>
          <w:rFonts w:hint="eastAsia"/>
          <w:szCs w:val="21"/>
        </w:rPr>
        <w:t>产生的影响。</w:t>
      </w:r>
      <w:r w:rsidR="00A46F18">
        <w:rPr>
          <w:rFonts w:hint="eastAsia"/>
          <w:szCs w:val="21"/>
        </w:rPr>
        <w:t>本文</w:t>
      </w:r>
      <w:r w:rsidRPr="000C1905">
        <w:rPr>
          <w:rFonts w:hint="eastAsia"/>
          <w:szCs w:val="21"/>
        </w:rPr>
        <w:t>选取</w:t>
      </w:r>
      <w:r w:rsidRPr="000C1905">
        <w:rPr>
          <w:szCs w:val="21"/>
        </w:rPr>
        <w:t>NaCl</w:t>
      </w:r>
      <w:r w:rsidRPr="000C1905">
        <w:rPr>
          <w:rFonts w:hint="eastAsia"/>
          <w:szCs w:val="21"/>
        </w:rPr>
        <w:t>、</w:t>
      </w:r>
      <w:bookmarkStart w:id="1" w:name="_Hlk197604064"/>
      <w:r w:rsidR="00806DC9" w:rsidRPr="000C1905">
        <w:rPr>
          <w:rFonts w:hint="eastAsia"/>
          <w:szCs w:val="21"/>
        </w:rPr>
        <w:t>CaCl</w:t>
      </w:r>
      <w:r w:rsidR="00806DC9" w:rsidRPr="000C1905">
        <w:rPr>
          <w:rFonts w:hint="eastAsia"/>
          <w:szCs w:val="21"/>
          <w:vertAlign w:val="subscript"/>
        </w:rPr>
        <w:t>2</w:t>
      </w:r>
      <w:bookmarkEnd w:id="1"/>
      <w:r w:rsidRPr="000C1905">
        <w:rPr>
          <w:rFonts w:hint="eastAsia"/>
          <w:szCs w:val="21"/>
        </w:rPr>
        <w:t>等简单盐类，以及</w:t>
      </w:r>
      <w:bookmarkStart w:id="2" w:name="_Hlk197604094"/>
      <w:r w:rsidR="00806DC9" w:rsidRPr="000C1905">
        <w:rPr>
          <w:rFonts w:hint="eastAsia"/>
          <w:szCs w:val="21"/>
        </w:rPr>
        <w:t>NaHCO</w:t>
      </w:r>
      <w:r w:rsidR="00806DC9" w:rsidRPr="000C1905">
        <w:rPr>
          <w:rFonts w:hint="eastAsia"/>
          <w:szCs w:val="21"/>
          <w:vertAlign w:val="subscript"/>
        </w:rPr>
        <w:t>3</w:t>
      </w:r>
      <w:bookmarkEnd w:id="2"/>
      <w:r w:rsidRPr="000C1905">
        <w:rPr>
          <w:rFonts w:hint="eastAsia"/>
          <w:szCs w:val="21"/>
        </w:rPr>
        <w:t>、</w:t>
      </w:r>
      <w:bookmarkStart w:id="3" w:name="_Hlk197604119"/>
      <w:r w:rsidR="00806DC9" w:rsidRPr="000C1905">
        <w:rPr>
          <w:rFonts w:hint="eastAsia"/>
          <w:szCs w:val="21"/>
        </w:rPr>
        <w:t>Ca(HCO</w:t>
      </w:r>
      <w:r w:rsidR="00806DC9" w:rsidRPr="000C1905">
        <w:rPr>
          <w:rFonts w:hint="eastAsia"/>
          <w:szCs w:val="21"/>
          <w:vertAlign w:val="subscript"/>
        </w:rPr>
        <w:t>3</w:t>
      </w:r>
      <w:r w:rsidR="00806DC9" w:rsidRPr="000C1905">
        <w:rPr>
          <w:rFonts w:hint="eastAsia"/>
          <w:szCs w:val="21"/>
        </w:rPr>
        <w:t>)</w:t>
      </w:r>
      <w:r w:rsidR="00806DC9" w:rsidRPr="000C1905">
        <w:rPr>
          <w:rFonts w:hint="eastAsia"/>
          <w:szCs w:val="21"/>
          <w:vertAlign w:val="subscript"/>
        </w:rPr>
        <w:t>2</w:t>
      </w:r>
      <w:bookmarkEnd w:id="3"/>
      <w:r w:rsidRPr="000C1905">
        <w:rPr>
          <w:rFonts w:hint="eastAsia"/>
          <w:szCs w:val="21"/>
        </w:rPr>
        <w:t>等含多原子阴离子的盐类作为代表性体系。通过精密天平称量固体试剂，配制得到</w:t>
      </w:r>
      <w:r w:rsidRPr="000C1905">
        <w:rPr>
          <w:szCs w:val="21"/>
        </w:rPr>
        <w:t>0.1</w:t>
      </w:r>
      <w:r w:rsidRPr="000C1905">
        <w:rPr>
          <w:rFonts w:hint="eastAsia"/>
          <w:szCs w:val="21"/>
        </w:rPr>
        <w:t>、</w:t>
      </w:r>
      <w:r w:rsidRPr="000C1905">
        <w:rPr>
          <w:szCs w:val="21"/>
        </w:rPr>
        <w:t>0.2</w:t>
      </w:r>
      <w:r w:rsidRPr="000C1905">
        <w:rPr>
          <w:rFonts w:hint="eastAsia"/>
          <w:szCs w:val="21"/>
        </w:rPr>
        <w:t>、</w:t>
      </w:r>
      <w:r w:rsidRPr="000C1905">
        <w:rPr>
          <w:szCs w:val="21"/>
        </w:rPr>
        <w:t>0.3</w:t>
      </w:r>
      <w:r w:rsidRPr="000C1905">
        <w:rPr>
          <w:rFonts w:hint="eastAsia"/>
          <w:szCs w:val="21"/>
        </w:rPr>
        <w:t>、</w:t>
      </w:r>
      <w:r w:rsidRPr="000C1905">
        <w:rPr>
          <w:szCs w:val="21"/>
        </w:rPr>
        <w:t>0.4</w:t>
      </w:r>
      <w:r w:rsidRPr="000C1905">
        <w:rPr>
          <w:rFonts w:hint="eastAsia"/>
          <w:szCs w:val="21"/>
        </w:rPr>
        <w:t>、</w:t>
      </w:r>
      <w:r w:rsidRPr="000C1905">
        <w:rPr>
          <w:szCs w:val="21"/>
        </w:rPr>
        <w:t>0.5</w:t>
      </w:r>
      <w:r w:rsidRPr="000C1905">
        <w:rPr>
          <w:rFonts w:hint="eastAsia"/>
          <w:szCs w:val="21"/>
        </w:rPr>
        <w:t>、</w:t>
      </w:r>
      <w:r w:rsidRPr="000C1905">
        <w:rPr>
          <w:szCs w:val="21"/>
        </w:rPr>
        <w:t xml:space="preserve">0.6 </w:t>
      </w:r>
      <w:r w:rsidR="001054C8">
        <w:rPr>
          <w:szCs w:val="21"/>
        </w:rPr>
        <w:t>mol</w:t>
      </w:r>
      <w:r w:rsidRPr="000C1905">
        <w:rPr>
          <w:szCs w:val="21"/>
        </w:rPr>
        <w:t>/L</w:t>
      </w:r>
      <w:r w:rsidRPr="000C1905">
        <w:rPr>
          <w:rFonts w:hint="eastAsia"/>
          <w:szCs w:val="21"/>
        </w:rPr>
        <w:t>的溶液（所有浓度在不引入沉淀的范围内，并远低于溶解度极限）。过低浓度（</w:t>
      </w:r>
      <w:r w:rsidRPr="000C1905">
        <w:rPr>
          <w:szCs w:val="21"/>
        </w:rPr>
        <w:t>&lt;0.1 M</w:t>
      </w:r>
      <w:r w:rsidRPr="000C1905">
        <w:rPr>
          <w:rFonts w:hint="eastAsia"/>
          <w:szCs w:val="21"/>
        </w:rPr>
        <w:t>）下</w:t>
      </w:r>
      <w:r w:rsidR="00806DC9" w:rsidRPr="000C1905">
        <w:rPr>
          <w:szCs w:val="21"/>
        </w:rPr>
        <w:t>太赫兹</w:t>
      </w:r>
      <w:r w:rsidRPr="000C1905">
        <w:rPr>
          <w:rFonts w:hint="eastAsia"/>
          <w:szCs w:val="21"/>
        </w:rPr>
        <w:t>信号变化微弱难以分辨，而超过</w:t>
      </w:r>
      <w:r w:rsidRPr="000C1905">
        <w:rPr>
          <w:szCs w:val="21"/>
        </w:rPr>
        <w:t>0.6 M</w:t>
      </w:r>
      <w:r w:rsidRPr="000C1905">
        <w:rPr>
          <w:rFonts w:hint="eastAsia"/>
          <w:szCs w:val="21"/>
        </w:rPr>
        <w:t>后部分溶液可能产生团聚或较强光散射，不利于等离子体稳定产生。</w:t>
      </w:r>
      <w:r w:rsidR="00FB1657" w:rsidRPr="000C1905">
        <w:rPr>
          <w:rFonts w:hint="eastAsia"/>
          <w:szCs w:val="21"/>
        </w:rPr>
        <w:t>实验中主要误差来源于热释电探测器的灵敏度波动（约±</w:t>
      </w:r>
      <w:r w:rsidR="00FB1657" w:rsidRPr="000C1905">
        <w:rPr>
          <w:rFonts w:hint="eastAsia"/>
          <w:szCs w:val="21"/>
        </w:rPr>
        <w:t>3%</w:t>
      </w:r>
      <w:r w:rsidR="00FB1657" w:rsidRPr="000C1905">
        <w:rPr>
          <w:rFonts w:hint="eastAsia"/>
          <w:szCs w:val="21"/>
        </w:rPr>
        <w:t>）、溶液浓度配制偏差（</w:t>
      </w:r>
      <w:r w:rsidR="00FB1657" w:rsidRPr="000C1905">
        <w:rPr>
          <w:rFonts w:hint="eastAsia"/>
          <w:szCs w:val="21"/>
        </w:rPr>
        <w:t>&lt;0.5%</w:t>
      </w:r>
      <w:r w:rsidR="00FB1657" w:rsidRPr="000C1905">
        <w:rPr>
          <w:rFonts w:hint="eastAsia"/>
          <w:szCs w:val="21"/>
        </w:rPr>
        <w:t>），以及激光功率的短期漂移（</w:t>
      </w:r>
      <w:r w:rsidR="00FB1657" w:rsidRPr="000C1905">
        <w:rPr>
          <w:rFonts w:hint="eastAsia"/>
          <w:szCs w:val="21"/>
        </w:rPr>
        <w:t>&lt;2%</w:t>
      </w:r>
      <w:r w:rsidR="00FB1657" w:rsidRPr="000C1905">
        <w:rPr>
          <w:rFonts w:hint="eastAsia"/>
          <w:szCs w:val="21"/>
        </w:rPr>
        <w:t>）。所有实验数据均通过重复测量取平均值，</w:t>
      </w:r>
      <w:r w:rsidR="00FB1657" w:rsidRPr="000C1905">
        <w:rPr>
          <w:rFonts w:hint="eastAsia"/>
          <w:szCs w:val="21"/>
        </w:rPr>
        <w:lastRenderedPageBreak/>
        <w:t>并计算标准差（</w:t>
      </w:r>
      <w:r w:rsidR="00FB1657" w:rsidRPr="000C1905">
        <w:rPr>
          <w:rFonts w:hint="eastAsia"/>
          <w:szCs w:val="21"/>
        </w:rPr>
        <w:t>SD</w:t>
      </w:r>
      <w:r w:rsidR="00FB1657" w:rsidRPr="000C1905">
        <w:rPr>
          <w:rFonts w:hint="eastAsia"/>
          <w:szCs w:val="21"/>
        </w:rPr>
        <w:t>）作为误差范围。</w:t>
      </w:r>
      <w:r w:rsidR="00A76A39" w:rsidRPr="000C1905">
        <w:rPr>
          <w:rFonts w:hint="eastAsia"/>
          <w:szCs w:val="21"/>
        </w:rPr>
        <w:t>其中</w:t>
      </w:r>
      <w:r w:rsidR="00A46F18">
        <w:rPr>
          <w:rFonts w:hint="eastAsia"/>
          <w:szCs w:val="21"/>
        </w:rPr>
        <w:t>，</w:t>
      </w:r>
      <w:r w:rsidR="00A76A39" w:rsidRPr="000C1905">
        <w:rPr>
          <w:rFonts w:hint="eastAsia"/>
          <w:szCs w:val="21"/>
        </w:rPr>
        <w:t>太赫兹辐射强度测量</w:t>
      </w:r>
      <w:r w:rsidR="00BE59C6" w:rsidRPr="000C1905">
        <w:rPr>
          <w:rFonts w:hint="eastAsia"/>
          <w:szCs w:val="21"/>
        </w:rPr>
        <w:t>采用</w:t>
      </w:r>
      <w:r w:rsidR="00BE59C6" w:rsidRPr="000C1905">
        <w:rPr>
          <w:rFonts w:hint="eastAsia"/>
          <w:szCs w:val="21"/>
        </w:rPr>
        <w:t>Gentec-EO</w:t>
      </w:r>
      <w:r w:rsidR="00BE59C6" w:rsidRPr="000C1905">
        <w:rPr>
          <w:rFonts w:hint="eastAsia"/>
          <w:szCs w:val="21"/>
        </w:rPr>
        <w:t>公司的</w:t>
      </w:r>
      <w:r w:rsidR="00BE59C6" w:rsidRPr="000C1905">
        <w:rPr>
          <w:rFonts w:hint="eastAsia"/>
          <w:szCs w:val="21"/>
        </w:rPr>
        <w:t>T-RAD</w:t>
      </w:r>
      <w:r w:rsidR="00BE59C6" w:rsidRPr="000C1905">
        <w:rPr>
          <w:rFonts w:hint="eastAsia"/>
          <w:szCs w:val="21"/>
        </w:rPr>
        <w:t>太赫兹辐射计测量，测量</w:t>
      </w:r>
      <w:r w:rsidR="00A12130" w:rsidRPr="000C1905">
        <w:rPr>
          <w:rFonts w:hint="eastAsia"/>
          <w:szCs w:val="21"/>
        </w:rPr>
        <w:t>误差</w:t>
      </w:r>
      <w:r w:rsidR="00A76A39" w:rsidRPr="000C1905">
        <w:rPr>
          <w:rFonts w:hint="eastAsia"/>
          <w:szCs w:val="21"/>
        </w:rPr>
        <w:t>为</w:t>
      </w:r>
      <w:r w:rsidR="00BE59C6" w:rsidRPr="000C1905">
        <w:rPr>
          <w:rFonts w:hint="eastAsia"/>
          <w:szCs w:val="21"/>
        </w:rPr>
        <w:t>±</w:t>
      </w:r>
      <w:r w:rsidR="00BE59C6" w:rsidRPr="000C1905">
        <w:rPr>
          <w:szCs w:val="21"/>
        </w:rPr>
        <w:t>3uV</w:t>
      </w:r>
      <w:r w:rsidR="00A76A39" w:rsidRPr="000C1905">
        <w:rPr>
          <w:rFonts w:hint="eastAsia"/>
          <w:szCs w:val="21"/>
        </w:rPr>
        <w:t>，</w:t>
      </w:r>
      <w:r w:rsidR="00BE59C6" w:rsidRPr="000C1905">
        <w:rPr>
          <w:rFonts w:hint="eastAsia"/>
          <w:szCs w:val="21"/>
        </w:rPr>
        <w:t>溶液电导率的测量使用</w:t>
      </w:r>
      <w:r w:rsidR="00D2221C" w:rsidRPr="000C1905">
        <w:rPr>
          <w:rFonts w:hint="eastAsia"/>
          <w:szCs w:val="21"/>
        </w:rPr>
        <w:t>HI98188</w:t>
      </w:r>
      <w:r w:rsidR="00D2221C" w:rsidRPr="000C1905">
        <w:rPr>
          <w:rFonts w:hint="eastAsia"/>
          <w:szCs w:val="21"/>
        </w:rPr>
        <w:t>哈纳电导率仪</w:t>
      </w:r>
      <w:r w:rsidR="00BE59C6" w:rsidRPr="000C1905">
        <w:rPr>
          <w:rFonts w:hint="eastAsia"/>
          <w:szCs w:val="21"/>
        </w:rPr>
        <w:t>，测量</w:t>
      </w:r>
      <w:r w:rsidR="00A12130" w:rsidRPr="000C1905">
        <w:rPr>
          <w:rFonts w:hint="eastAsia"/>
          <w:szCs w:val="21"/>
        </w:rPr>
        <w:t>误差</w:t>
      </w:r>
      <w:r w:rsidR="00BE59C6" w:rsidRPr="000C1905">
        <w:rPr>
          <w:rFonts w:hint="eastAsia"/>
          <w:szCs w:val="21"/>
        </w:rPr>
        <w:t>为</w:t>
      </w:r>
      <w:r w:rsidR="00D2221C" w:rsidRPr="000C1905">
        <w:rPr>
          <w:rFonts w:hint="eastAsia"/>
          <w:szCs w:val="21"/>
        </w:rPr>
        <w:t>±</w:t>
      </w:r>
      <w:r w:rsidR="00D2221C" w:rsidRPr="000C1905">
        <w:rPr>
          <w:szCs w:val="21"/>
        </w:rPr>
        <w:t>0.01 µS/cm</w:t>
      </w:r>
      <w:r w:rsidR="00BE59C6" w:rsidRPr="000C1905">
        <w:rPr>
          <w:rFonts w:hint="eastAsia"/>
          <w:szCs w:val="21"/>
        </w:rPr>
        <w:t>，折射率采用阿贝折射仪测定液体折射率，</w:t>
      </w:r>
      <w:r w:rsidR="00A76A39" w:rsidRPr="000C1905">
        <w:rPr>
          <w:rFonts w:hint="eastAsia"/>
          <w:szCs w:val="21"/>
        </w:rPr>
        <w:t>折射率测量</w:t>
      </w:r>
      <w:r w:rsidR="00A12130" w:rsidRPr="000C1905">
        <w:rPr>
          <w:rFonts w:hint="eastAsia"/>
          <w:szCs w:val="21"/>
        </w:rPr>
        <w:t>误差</w:t>
      </w:r>
      <w:r w:rsidR="00A76A39" w:rsidRPr="000C1905">
        <w:rPr>
          <w:rFonts w:hint="eastAsia"/>
          <w:szCs w:val="21"/>
        </w:rPr>
        <w:t>为±</w:t>
      </w:r>
      <w:r w:rsidR="00A76A39" w:rsidRPr="000C1905">
        <w:rPr>
          <w:rFonts w:hint="eastAsia"/>
          <w:szCs w:val="21"/>
        </w:rPr>
        <w:t>0.</w:t>
      </w:r>
      <w:r w:rsidR="00A12130" w:rsidRPr="000C1905">
        <w:rPr>
          <w:rFonts w:hint="eastAsia"/>
          <w:szCs w:val="21"/>
        </w:rPr>
        <w:t>0003</w:t>
      </w:r>
      <w:r w:rsidR="00A76A39" w:rsidRPr="000C1905">
        <w:rPr>
          <w:rFonts w:hint="eastAsia"/>
          <w:szCs w:val="21"/>
        </w:rPr>
        <w:t>。</w:t>
      </w:r>
      <w:r w:rsidRPr="000C1905">
        <w:rPr>
          <w:rFonts w:hint="eastAsia"/>
          <w:szCs w:val="21"/>
        </w:rPr>
        <w:t>实验中激光功率密度保持在每脉冲约</w:t>
      </w:r>
      <w:r w:rsidRPr="000C1905">
        <w:rPr>
          <w:rFonts w:hint="eastAsia"/>
          <w:szCs w:val="21"/>
        </w:rPr>
        <w:t>1</w:t>
      </w:r>
      <w:r w:rsidRPr="000C1905">
        <w:rPr>
          <w:rFonts w:hint="eastAsia"/>
          <w:szCs w:val="21"/>
        </w:rPr>
        <w:t>×</w:t>
      </w:r>
      <w:r w:rsidRPr="000C1905">
        <w:rPr>
          <w:rFonts w:hint="eastAsia"/>
          <w:szCs w:val="21"/>
        </w:rPr>
        <w:t>10^14 W/cm</w:t>
      </w:r>
      <w:r w:rsidRPr="000C1905">
        <w:rPr>
          <w:rFonts w:hint="eastAsia"/>
          <w:szCs w:val="21"/>
        </w:rPr>
        <w:t>²量级，</w:t>
      </w:r>
      <w:r w:rsidR="00953317" w:rsidRPr="000C1905">
        <w:rPr>
          <w:rFonts w:hint="eastAsia"/>
          <w:szCs w:val="21"/>
        </w:rPr>
        <w:t>以避免光致击穿并确保测量数据的可重复性</w:t>
      </w:r>
      <w:r w:rsidRPr="000C1905">
        <w:rPr>
          <w:rFonts w:hint="eastAsia"/>
          <w:szCs w:val="21"/>
        </w:rPr>
        <w:t>。</w:t>
      </w:r>
    </w:p>
    <w:p w14:paraId="6900EC71" w14:textId="77777777" w:rsidR="00A46F18" w:rsidRPr="000C1905" w:rsidRDefault="00A46F18" w:rsidP="00D2221C">
      <w:pPr>
        <w:ind w:firstLineChars="200" w:firstLine="420"/>
        <w:rPr>
          <w:szCs w:val="21"/>
        </w:rPr>
      </w:pPr>
    </w:p>
    <w:p w14:paraId="23BAB7A4" w14:textId="40B2392E" w:rsidR="00BD6A7C" w:rsidRPr="000C1905" w:rsidRDefault="00223EE1" w:rsidP="00E13729">
      <w:pPr>
        <w:rPr>
          <w:b/>
          <w:sz w:val="28"/>
          <w:szCs w:val="28"/>
        </w:rPr>
      </w:pPr>
      <w:r w:rsidRPr="000C1905">
        <w:rPr>
          <w:rFonts w:hint="eastAsia"/>
          <w:b/>
          <w:sz w:val="28"/>
          <w:szCs w:val="28"/>
        </w:rPr>
        <w:t>2</w:t>
      </w:r>
      <w:r w:rsidR="00DF7B5C" w:rsidRPr="000C1905">
        <w:rPr>
          <w:rFonts w:hint="eastAsia"/>
          <w:b/>
          <w:sz w:val="28"/>
          <w:szCs w:val="28"/>
        </w:rPr>
        <w:t xml:space="preserve"> </w:t>
      </w:r>
      <w:r w:rsidR="00DF7B5C" w:rsidRPr="000C1905">
        <w:rPr>
          <w:rFonts w:hint="eastAsia"/>
          <w:b/>
          <w:sz w:val="28"/>
          <w:szCs w:val="28"/>
        </w:rPr>
        <w:t>实验结果</w:t>
      </w:r>
    </w:p>
    <w:p w14:paraId="46F2DECE" w14:textId="6D8266F9" w:rsidR="0097104C" w:rsidRPr="000C1905" w:rsidRDefault="00801F61" w:rsidP="00801F61">
      <w:pPr>
        <w:widowControl/>
        <w:ind w:firstLineChars="200" w:firstLine="420"/>
        <w:rPr>
          <w:szCs w:val="21"/>
        </w:rPr>
      </w:pPr>
      <w:r>
        <w:rPr>
          <w:rFonts w:ascii="Segoe UI" w:hAnsi="Segoe UI" w:cs="Segoe UI"/>
          <w:color w:val="0F1115"/>
          <w:shd w:val="clear" w:color="auto" w:fill="FFFFFF"/>
        </w:rPr>
        <w:t>基于上述实验装置，</w:t>
      </w:r>
      <w:r>
        <w:rPr>
          <w:rFonts w:ascii="Segoe UI" w:hAnsi="Segoe UI" w:cs="Segoe UI" w:hint="eastAsia"/>
          <w:color w:val="0F1115"/>
          <w:shd w:val="clear" w:color="auto" w:fill="FFFFFF"/>
        </w:rPr>
        <w:t>本文</w:t>
      </w:r>
      <w:r>
        <w:rPr>
          <w:rFonts w:ascii="Segoe UI" w:hAnsi="Segoe UI" w:cs="Segoe UI"/>
          <w:color w:val="0F1115"/>
          <w:shd w:val="clear" w:color="auto" w:fill="FFFFFF"/>
        </w:rPr>
        <w:t>探究了不同电解质溶液的太赫兹辐射特性。对比了纯水与</w:t>
      </w:r>
      <w:r>
        <w:rPr>
          <w:rFonts w:ascii="Segoe UI" w:hAnsi="Segoe UI" w:cs="Segoe UI"/>
          <w:color w:val="0F1115"/>
          <w:shd w:val="clear" w:color="auto" w:fill="FFFFFF"/>
        </w:rPr>
        <w:t>0.3M</w:t>
      </w:r>
      <w:r>
        <w:rPr>
          <w:rFonts w:ascii="Segoe UI" w:hAnsi="Segoe UI" w:cs="Segoe UI"/>
          <w:color w:val="0F1115"/>
          <w:shd w:val="clear" w:color="auto" w:fill="FFFFFF"/>
        </w:rPr>
        <w:t>电解质溶液在相同激光脉冲激发下的太赫兹辐射强度</w:t>
      </w:r>
      <w:r>
        <w:rPr>
          <w:rFonts w:ascii="Segoe UI" w:hAnsi="Segoe UI" w:cs="Segoe UI" w:hint="eastAsia"/>
          <w:color w:val="0F1115"/>
          <w:shd w:val="clear" w:color="auto" w:fill="FFFFFF"/>
        </w:rPr>
        <w:t>，</w:t>
      </w:r>
      <w:r>
        <w:rPr>
          <w:rFonts w:ascii="Segoe UI" w:hAnsi="Segoe UI" w:cs="Segoe UI"/>
          <w:color w:val="0F1115"/>
          <w:shd w:val="clear" w:color="auto" w:fill="FFFFFF"/>
        </w:rPr>
        <w:t>如图</w:t>
      </w:r>
      <w:r>
        <w:rPr>
          <w:rFonts w:ascii="Segoe UI" w:hAnsi="Segoe UI" w:cs="Segoe UI" w:hint="eastAsia"/>
          <w:color w:val="0F1115"/>
          <w:shd w:val="clear" w:color="auto" w:fill="FFFFFF"/>
        </w:rPr>
        <w:t>2</w:t>
      </w:r>
      <w:r>
        <w:rPr>
          <w:rFonts w:ascii="Segoe UI" w:hAnsi="Segoe UI" w:cs="Segoe UI" w:hint="eastAsia"/>
          <w:color w:val="0F1115"/>
          <w:shd w:val="clear" w:color="auto" w:fill="FFFFFF"/>
        </w:rPr>
        <w:t>所</w:t>
      </w:r>
      <w:r>
        <w:rPr>
          <w:rFonts w:ascii="Segoe UI" w:hAnsi="Segoe UI" w:cs="Segoe UI"/>
          <w:color w:val="0F1115"/>
          <w:shd w:val="clear" w:color="auto" w:fill="FFFFFF"/>
        </w:rPr>
        <w:t>示。离子种类对太赫兹发射效率具有显著影响。</w:t>
      </w:r>
      <w:r>
        <w:rPr>
          <w:rFonts w:ascii="Segoe UI" w:hAnsi="Segoe UI" w:cs="Segoe UI" w:hint="eastAsia"/>
          <w:color w:val="0F1115"/>
          <w:shd w:val="clear" w:color="auto" w:fill="FFFFFF"/>
        </w:rPr>
        <w:t>可以</w:t>
      </w:r>
      <w:r>
        <w:rPr>
          <w:rFonts w:ascii="Segoe UI" w:hAnsi="Segoe UI" w:cs="Segoe UI"/>
          <w:color w:val="0F1115"/>
          <w:shd w:val="clear" w:color="auto" w:fill="FFFFFF"/>
        </w:rPr>
        <w:t>看出，在所测溶液中，</w:t>
      </w:r>
      <w:r>
        <w:rPr>
          <w:rFonts w:ascii="Segoe UI" w:hAnsi="Segoe UI" w:cs="Segoe UI"/>
          <w:color w:val="0F1115"/>
          <w:shd w:val="clear" w:color="auto" w:fill="FFFFFF"/>
        </w:rPr>
        <w:t>NaCl</w:t>
      </w:r>
      <w:r>
        <w:rPr>
          <w:rFonts w:ascii="Segoe UI" w:hAnsi="Segoe UI" w:cs="Segoe UI"/>
          <w:color w:val="0F1115"/>
          <w:shd w:val="clear" w:color="auto" w:fill="FFFFFF"/>
        </w:rPr>
        <w:t>溶液在所有泵浦功率下均呈现出最高的太赫兹辐射功率，其强度超过纯水；</w:t>
      </w:r>
      <w:r>
        <w:rPr>
          <w:rFonts w:ascii="Segoe UI" w:hAnsi="Segoe UI" w:cs="Segoe UI"/>
          <w:color w:val="0F1115"/>
          <w:shd w:val="clear" w:color="auto" w:fill="FFFFFF"/>
        </w:rPr>
        <w:t>CaCl₂</w:t>
      </w:r>
      <w:r>
        <w:rPr>
          <w:rFonts w:ascii="Segoe UI" w:hAnsi="Segoe UI" w:cs="Segoe UI"/>
          <w:color w:val="0F1115"/>
          <w:shd w:val="clear" w:color="auto" w:fill="FFFFFF"/>
        </w:rPr>
        <w:t>溶液的辐射强度则略高于纯水。与此相反，在相同激发条件下，</w:t>
      </w:r>
      <w:r>
        <w:rPr>
          <w:rFonts w:ascii="Segoe UI" w:hAnsi="Segoe UI" w:cs="Segoe UI"/>
          <w:color w:val="0F1115"/>
          <w:shd w:val="clear" w:color="auto" w:fill="FFFFFF"/>
        </w:rPr>
        <w:t>NaHCO₃</w:t>
      </w:r>
      <w:r>
        <w:rPr>
          <w:rFonts w:ascii="Segoe UI" w:hAnsi="Segoe UI" w:cs="Segoe UI"/>
          <w:color w:val="0F1115"/>
          <w:shd w:val="clear" w:color="auto" w:fill="FFFFFF"/>
        </w:rPr>
        <w:t>和</w:t>
      </w:r>
      <w:r>
        <w:rPr>
          <w:rFonts w:ascii="Segoe UI" w:hAnsi="Segoe UI" w:cs="Segoe UI"/>
          <w:color w:val="0F1115"/>
          <w:shd w:val="clear" w:color="auto" w:fill="FFFFFF"/>
        </w:rPr>
        <w:t>Ca(HCO₃)₂</w:t>
      </w:r>
      <w:r>
        <w:rPr>
          <w:rFonts w:ascii="Segoe UI" w:hAnsi="Segoe UI" w:cs="Segoe UI"/>
          <w:color w:val="0F1115"/>
          <w:shd w:val="clear" w:color="auto" w:fill="FFFFFF"/>
        </w:rPr>
        <w:t>溶液的太赫兹辐射强度均明显低于纯水，其中以</w:t>
      </w:r>
      <w:r>
        <w:rPr>
          <w:rFonts w:ascii="Segoe UI" w:hAnsi="Segoe UI" w:cs="Segoe UI"/>
          <w:color w:val="0F1115"/>
          <w:shd w:val="clear" w:color="auto" w:fill="FFFFFF"/>
        </w:rPr>
        <w:t>Ca(HCO₃)₂</w:t>
      </w:r>
      <w:r>
        <w:rPr>
          <w:rFonts w:ascii="Segoe UI" w:hAnsi="Segoe UI" w:cs="Segoe UI"/>
          <w:color w:val="0F1115"/>
          <w:shd w:val="clear" w:color="auto" w:fill="FFFFFF"/>
        </w:rPr>
        <w:t>溶液的抑制效应最为显著</w:t>
      </w:r>
      <w:r w:rsidR="003F31E3" w:rsidRPr="000C1905">
        <w:rPr>
          <w:rFonts w:hint="eastAsia"/>
          <w:szCs w:val="21"/>
        </w:rPr>
        <w:t>。</w:t>
      </w:r>
    </w:p>
    <w:p w14:paraId="0B4BA03C" w14:textId="70EE4E5F" w:rsidR="00C36E70" w:rsidRPr="000C1905" w:rsidRDefault="004F4C82" w:rsidP="00C36E70">
      <w:pPr>
        <w:widowControl/>
        <w:spacing w:line="360" w:lineRule="auto"/>
        <w:ind w:firstLineChars="200" w:firstLine="420"/>
        <w:jc w:val="center"/>
        <w:rPr>
          <w:sz w:val="24"/>
        </w:rPr>
      </w:pPr>
      <w:r w:rsidRPr="000C1905">
        <w:object w:dxaOrig="4297" w:dyaOrig="3552" w14:anchorId="3AAF44C7">
          <v:shape id="_x0000_i1026" type="#_x0000_t75" style="width:215.15pt;height:177.5pt" o:ole="">
            <v:imagedata r:id="rId10" o:title=""/>
          </v:shape>
          <o:OLEObject Type="Embed" ProgID="Visio.Drawing.15" ShapeID="_x0000_i1026" DrawAspect="Content" ObjectID="_1838876115" r:id="rId11"/>
        </w:object>
      </w:r>
    </w:p>
    <w:p w14:paraId="6E5A6AE3" w14:textId="22411574" w:rsidR="0097104C" w:rsidRPr="000C1905" w:rsidRDefault="0097104C" w:rsidP="00E13729">
      <w:pPr>
        <w:jc w:val="center"/>
        <w:rPr>
          <w:rFonts w:ascii="宋体" w:hAnsi="宋体"/>
          <w:b/>
          <w:sz w:val="15"/>
          <w:szCs w:val="15"/>
        </w:rPr>
      </w:pPr>
      <w:r w:rsidRPr="000C1905">
        <w:rPr>
          <w:rFonts w:ascii="宋体" w:hAnsi="宋体" w:hint="eastAsia"/>
          <w:b/>
          <w:sz w:val="15"/>
          <w:szCs w:val="15"/>
        </w:rPr>
        <w:t>图2</w:t>
      </w:r>
      <w:r w:rsidR="00E13729" w:rsidRPr="000C1905">
        <w:rPr>
          <w:rFonts w:ascii="宋体" w:hAnsi="宋体" w:hint="eastAsia"/>
          <w:b/>
          <w:sz w:val="15"/>
          <w:szCs w:val="15"/>
        </w:rPr>
        <w:t xml:space="preserve">  </w:t>
      </w:r>
      <w:r w:rsidR="00E509C6" w:rsidRPr="000C1905">
        <w:rPr>
          <w:rFonts w:ascii="宋体" w:hAnsi="宋体" w:hint="eastAsia"/>
          <w:b/>
          <w:sz w:val="15"/>
          <w:szCs w:val="15"/>
        </w:rPr>
        <w:t>不同溶液中太赫兹辐射强度随激光功率的变化关系示意图</w:t>
      </w:r>
    </w:p>
    <w:p w14:paraId="4D23D5C2" w14:textId="15192BC9" w:rsidR="00BD6A7C" w:rsidRPr="000C1905" w:rsidRDefault="00005F1E" w:rsidP="0097104C">
      <w:pPr>
        <w:widowControl/>
        <w:ind w:firstLineChars="200" w:firstLine="420"/>
        <w:jc w:val="left"/>
        <w:rPr>
          <w:szCs w:val="21"/>
        </w:rPr>
      </w:pPr>
      <w:r>
        <w:rPr>
          <w:rFonts w:ascii="Segoe UI" w:hAnsi="Segoe UI" w:cs="Segoe UI" w:hint="eastAsia"/>
          <w:color w:val="0F1115"/>
          <w:shd w:val="clear" w:color="auto" w:fill="FFFFFF"/>
        </w:rPr>
        <w:t>本</w:t>
      </w:r>
      <w:r>
        <w:rPr>
          <w:rFonts w:ascii="Segoe UI" w:hAnsi="Segoe UI" w:cs="Segoe UI"/>
          <w:color w:val="0F1115"/>
          <w:shd w:val="clear" w:color="auto" w:fill="FFFFFF"/>
        </w:rPr>
        <w:t>文进一步探究了太赫兹发射强度与离子浓度的关系，结果如图</w:t>
      </w:r>
      <w:r>
        <w:rPr>
          <w:rFonts w:ascii="Segoe UI" w:hAnsi="Segoe UI" w:cs="Segoe UI"/>
          <w:color w:val="0F1115"/>
          <w:shd w:val="clear" w:color="auto" w:fill="FFFFFF"/>
        </w:rPr>
        <w:t>3</w:t>
      </w:r>
      <w:r>
        <w:rPr>
          <w:rFonts w:ascii="Segoe UI" w:hAnsi="Segoe UI" w:cs="Segoe UI"/>
          <w:color w:val="0F1115"/>
          <w:shd w:val="clear" w:color="auto" w:fill="FFFFFF"/>
        </w:rPr>
        <w:t>所示。</w:t>
      </w:r>
      <w:r>
        <w:rPr>
          <w:rFonts w:ascii="Segoe UI" w:hAnsi="Segoe UI" w:cs="Segoe UI" w:hint="eastAsia"/>
          <w:color w:val="0F1115"/>
          <w:shd w:val="clear" w:color="auto" w:fill="FFFFFF"/>
        </w:rPr>
        <w:t>可</w:t>
      </w:r>
      <w:r>
        <w:rPr>
          <w:rFonts w:ascii="Segoe UI" w:hAnsi="Segoe UI" w:cs="Segoe UI"/>
          <w:color w:val="0F1115"/>
          <w:shd w:val="clear" w:color="auto" w:fill="FFFFFF"/>
        </w:rPr>
        <w:t>以</w:t>
      </w:r>
      <w:r>
        <w:rPr>
          <w:rFonts w:ascii="Segoe UI" w:hAnsi="Segoe UI" w:cs="Segoe UI" w:hint="eastAsia"/>
          <w:color w:val="0F1115"/>
          <w:shd w:val="clear" w:color="auto" w:fill="FFFFFF"/>
        </w:rPr>
        <w:t>看</w:t>
      </w:r>
      <w:r>
        <w:rPr>
          <w:rFonts w:ascii="Segoe UI" w:hAnsi="Segoe UI" w:cs="Segoe UI"/>
          <w:color w:val="0F1115"/>
          <w:shd w:val="clear" w:color="auto" w:fill="FFFFFF"/>
        </w:rPr>
        <w:t>出，</w:t>
      </w:r>
      <w:r>
        <w:rPr>
          <w:rFonts w:ascii="Segoe UI" w:hAnsi="Segoe UI" w:cs="Segoe UI"/>
          <w:color w:val="0F1115"/>
          <w:shd w:val="clear" w:color="auto" w:fill="FFFFFF"/>
        </w:rPr>
        <w:t>NaCl</w:t>
      </w:r>
      <w:r>
        <w:rPr>
          <w:rFonts w:ascii="Segoe UI" w:hAnsi="Segoe UI" w:cs="Segoe UI"/>
          <w:color w:val="0F1115"/>
          <w:shd w:val="clear" w:color="auto" w:fill="FFFFFF"/>
        </w:rPr>
        <w:t>溶液在</w:t>
      </w:r>
      <w:r>
        <w:rPr>
          <w:rFonts w:ascii="Segoe UI" w:hAnsi="Segoe UI" w:cs="Segoe UI"/>
          <w:color w:val="0F1115"/>
          <w:shd w:val="clear" w:color="auto" w:fill="FFFFFF"/>
        </w:rPr>
        <w:t>0.1–0.6 M</w:t>
      </w:r>
      <w:r>
        <w:rPr>
          <w:rFonts w:ascii="Segoe UI" w:hAnsi="Segoe UI" w:cs="Segoe UI"/>
          <w:color w:val="0F1115"/>
          <w:shd w:val="clear" w:color="auto" w:fill="FFFFFF"/>
        </w:rPr>
        <w:t>浓度范围内可显著增强太赫兹辐射，最大增强幅度达</w:t>
      </w:r>
      <w:r>
        <w:rPr>
          <w:rFonts w:ascii="Segoe UI" w:hAnsi="Segoe UI" w:cs="Segoe UI"/>
          <w:color w:val="0F1115"/>
          <w:shd w:val="clear" w:color="auto" w:fill="FFFFFF"/>
        </w:rPr>
        <w:t>30%</w:t>
      </w:r>
      <w:r>
        <w:rPr>
          <w:rFonts w:ascii="Segoe UI" w:hAnsi="Segoe UI" w:cs="Segoe UI"/>
          <w:color w:val="0F1115"/>
          <w:shd w:val="clear" w:color="auto" w:fill="FFFFFF"/>
        </w:rPr>
        <w:t>，这与文献</w:t>
      </w:r>
      <w:r>
        <w:rPr>
          <w:rFonts w:ascii="Segoe UI" w:hAnsi="Segoe UI" w:cs="Segoe UI"/>
          <w:color w:val="0F1115"/>
          <w:shd w:val="clear" w:color="auto" w:fill="FFFFFF"/>
        </w:rPr>
        <w:t>[9]</w:t>
      </w:r>
      <w:r>
        <w:rPr>
          <w:rFonts w:ascii="Segoe UI" w:hAnsi="Segoe UI" w:cs="Segoe UI"/>
          <w:color w:val="0F1115"/>
          <w:shd w:val="clear" w:color="auto" w:fill="FFFFFF"/>
        </w:rPr>
        <w:t>报道的高浓度</w:t>
      </w:r>
      <w:r>
        <w:rPr>
          <w:rFonts w:ascii="Segoe UI" w:hAnsi="Segoe UI" w:cs="Segoe UI"/>
          <w:color w:val="0F1115"/>
          <w:shd w:val="clear" w:color="auto" w:fill="FFFFFF"/>
        </w:rPr>
        <w:t>NaCl</w:t>
      </w:r>
      <w:r>
        <w:rPr>
          <w:rFonts w:ascii="Segoe UI" w:hAnsi="Segoe UI" w:cs="Segoe UI"/>
          <w:color w:val="0F1115"/>
          <w:shd w:val="clear" w:color="auto" w:fill="FFFFFF"/>
        </w:rPr>
        <w:t>溶液能显著提升太赫兹发射强度的结论相符。与此形成鲜明对比的是，含有</w:t>
      </w:r>
      <w:r>
        <w:rPr>
          <w:rFonts w:ascii="Segoe UI" w:hAnsi="Segoe UI" w:cs="Segoe UI"/>
          <w:color w:val="0F1115"/>
          <w:shd w:val="clear" w:color="auto" w:fill="FFFFFF"/>
        </w:rPr>
        <w:t>HCO₃⁻</w:t>
      </w:r>
      <w:r>
        <w:rPr>
          <w:rFonts w:ascii="Segoe UI" w:hAnsi="Segoe UI" w:cs="Segoe UI"/>
          <w:color w:val="0F1115"/>
          <w:shd w:val="clear" w:color="auto" w:fill="FFFFFF"/>
        </w:rPr>
        <w:t>的溶液（尤其是</w:t>
      </w:r>
      <w:r>
        <w:rPr>
          <w:rFonts w:ascii="Segoe UI" w:hAnsi="Segoe UI" w:cs="Segoe UI"/>
          <w:color w:val="0F1115"/>
          <w:shd w:val="clear" w:color="auto" w:fill="FFFFFF"/>
        </w:rPr>
        <w:t>Ca(HCO₃)₂</w:t>
      </w:r>
      <w:r>
        <w:rPr>
          <w:rFonts w:ascii="Segoe UI" w:hAnsi="Segoe UI" w:cs="Segoe UI"/>
          <w:color w:val="0F1115"/>
          <w:shd w:val="clear" w:color="auto" w:fill="FFFFFF"/>
        </w:rPr>
        <w:t>）则表现出对太赫兹辐射的抑制作用，且该效应随浓度增加而加剧。具体而言，仅添加</w:t>
      </w:r>
      <w:r>
        <w:rPr>
          <w:rFonts w:ascii="Segoe UI" w:hAnsi="Segoe UI" w:cs="Segoe UI"/>
          <w:color w:val="0F1115"/>
          <w:shd w:val="clear" w:color="auto" w:fill="FFFFFF"/>
        </w:rPr>
        <w:t>0.1 M HCO₃⁻</w:t>
      </w:r>
      <w:r>
        <w:rPr>
          <w:rFonts w:ascii="Segoe UI" w:hAnsi="Segoe UI" w:cs="Segoe UI"/>
          <w:color w:val="0F1115"/>
          <w:shd w:val="clear" w:color="auto" w:fill="FFFFFF"/>
        </w:rPr>
        <w:t>即可使太赫兹输出低于纯水基线水平；当</w:t>
      </w:r>
      <w:r>
        <w:rPr>
          <w:rFonts w:ascii="Segoe UI" w:hAnsi="Segoe UI" w:cs="Segoe UI"/>
          <w:color w:val="0F1115"/>
          <w:shd w:val="clear" w:color="auto" w:fill="FFFFFF"/>
        </w:rPr>
        <w:t>Ca(HCO₃)₂</w:t>
      </w:r>
      <w:r>
        <w:rPr>
          <w:rFonts w:ascii="Segoe UI" w:hAnsi="Segoe UI" w:cs="Segoe UI"/>
          <w:color w:val="0F1115"/>
          <w:shd w:val="clear" w:color="auto" w:fill="FFFFFF"/>
        </w:rPr>
        <w:t>溶液浓度升至</w:t>
      </w:r>
      <w:r>
        <w:rPr>
          <w:rFonts w:ascii="Segoe UI" w:hAnsi="Segoe UI" w:cs="Segoe UI"/>
          <w:color w:val="0F1115"/>
          <w:shd w:val="clear" w:color="auto" w:fill="FFFFFF"/>
        </w:rPr>
        <w:t>0.6 M</w:t>
      </w:r>
      <w:r>
        <w:rPr>
          <w:rFonts w:ascii="Segoe UI" w:hAnsi="Segoe UI" w:cs="Segoe UI"/>
          <w:color w:val="0F1115"/>
          <w:shd w:val="clear" w:color="auto" w:fill="FFFFFF"/>
        </w:rPr>
        <w:t>时，其太赫兹信号强度仅约为纯水的</w:t>
      </w:r>
      <w:r>
        <w:rPr>
          <w:rFonts w:ascii="Segoe UI" w:hAnsi="Segoe UI" w:cs="Segoe UI"/>
          <w:color w:val="0F1115"/>
          <w:shd w:val="clear" w:color="auto" w:fill="FFFFFF"/>
        </w:rPr>
        <w:t>50–60%</w:t>
      </w:r>
      <w:r>
        <w:rPr>
          <w:rFonts w:ascii="Segoe UI" w:hAnsi="Segoe UI" w:cs="Segoe UI"/>
          <w:color w:val="0F1115"/>
          <w:shd w:val="clear" w:color="auto" w:fill="FFFFFF"/>
        </w:rPr>
        <w:t>。</w:t>
      </w:r>
    </w:p>
    <w:p w14:paraId="6F2E7160" w14:textId="7B7F0568" w:rsidR="0097104C" w:rsidRPr="000C1905" w:rsidRDefault="004F4C82" w:rsidP="0097104C">
      <w:pPr>
        <w:widowControl/>
        <w:spacing w:line="360" w:lineRule="auto"/>
        <w:ind w:firstLineChars="200" w:firstLine="420"/>
        <w:jc w:val="center"/>
        <w:rPr>
          <w:sz w:val="24"/>
        </w:rPr>
      </w:pPr>
      <w:r w:rsidRPr="000C1905">
        <w:object w:dxaOrig="4285" w:dyaOrig="3337" w14:anchorId="5E04DC29">
          <v:shape id="_x0000_i1027" type="#_x0000_t75" style="width:214.35pt;height:166.6pt" o:ole="">
            <v:imagedata r:id="rId12" o:title=""/>
          </v:shape>
          <o:OLEObject Type="Embed" ProgID="Visio.Drawing.15" ShapeID="_x0000_i1027" DrawAspect="Content" ObjectID="_1838876116" r:id="rId13"/>
        </w:object>
      </w:r>
    </w:p>
    <w:p w14:paraId="6633914C" w14:textId="68B04C71" w:rsidR="0097104C" w:rsidRPr="000C1905" w:rsidRDefault="0097104C" w:rsidP="00E13729">
      <w:pPr>
        <w:jc w:val="center"/>
        <w:rPr>
          <w:rFonts w:ascii="宋体" w:hAnsi="宋体"/>
          <w:b/>
          <w:sz w:val="15"/>
          <w:szCs w:val="15"/>
        </w:rPr>
      </w:pPr>
      <w:r w:rsidRPr="000C1905">
        <w:rPr>
          <w:rFonts w:ascii="宋体" w:hAnsi="宋体" w:hint="eastAsia"/>
          <w:b/>
          <w:sz w:val="15"/>
          <w:szCs w:val="15"/>
        </w:rPr>
        <w:lastRenderedPageBreak/>
        <w:t>图</w:t>
      </w:r>
      <w:r w:rsidR="00E7352C" w:rsidRPr="000C1905">
        <w:rPr>
          <w:rFonts w:ascii="宋体" w:hAnsi="宋体" w:hint="eastAsia"/>
          <w:b/>
          <w:sz w:val="15"/>
          <w:szCs w:val="15"/>
        </w:rPr>
        <w:t>3</w:t>
      </w:r>
      <w:r w:rsidR="00E13729" w:rsidRPr="000C1905">
        <w:rPr>
          <w:rFonts w:ascii="宋体" w:hAnsi="宋体" w:hint="eastAsia"/>
          <w:b/>
          <w:sz w:val="15"/>
          <w:szCs w:val="15"/>
        </w:rPr>
        <w:t xml:space="preserve">  </w:t>
      </w:r>
      <w:r w:rsidR="00E509C6" w:rsidRPr="000C1905">
        <w:rPr>
          <w:rFonts w:ascii="宋体" w:hAnsi="宋体" w:hint="eastAsia"/>
          <w:b/>
          <w:sz w:val="15"/>
          <w:szCs w:val="15"/>
        </w:rPr>
        <w:t>不同离子溶液的太赫兹辐射强度随浓度变化趋势示意图</w:t>
      </w:r>
    </w:p>
    <w:p w14:paraId="0DEA27CC" w14:textId="3C22C310" w:rsidR="005D7A5C" w:rsidRPr="000C1905" w:rsidRDefault="00005F1E" w:rsidP="00DA4D26">
      <w:pPr>
        <w:ind w:firstLineChars="200" w:firstLine="420"/>
        <w:rPr>
          <w:szCs w:val="21"/>
        </w:rPr>
      </w:pPr>
      <w:r>
        <w:rPr>
          <w:rFonts w:ascii="Segoe UI" w:hAnsi="Segoe UI" w:cs="Segoe UI"/>
          <w:color w:val="0F1115"/>
          <w:shd w:val="clear" w:color="auto" w:fill="FFFFFF"/>
        </w:rPr>
        <w:t>为深入阐明离子传输特性对太赫兹辐射的影响</w:t>
      </w:r>
      <w:r w:rsidR="00BC3E4A" w:rsidRPr="000C1905">
        <w:rPr>
          <w:rFonts w:hint="eastAsia"/>
          <w:szCs w:val="21"/>
        </w:rPr>
        <w:t>，</w:t>
      </w:r>
      <w:r>
        <w:rPr>
          <w:rFonts w:hint="eastAsia"/>
          <w:szCs w:val="21"/>
        </w:rPr>
        <w:t>对比</w:t>
      </w:r>
      <w:r>
        <w:rPr>
          <w:szCs w:val="21"/>
        </w:rPr>
        <w:t>了</w:t>
      </w:r>
      <w:r w:rsidR="00BC3E4A" w:rsidRPr="000C1905">
        <w:rPr>
          <w:rFonts w:hint="eastAsia"/>
          <w:szCs w:val="21"/>
        </w:rPr>
        <w:t>不同溶液的电导率随浓度的变化趋势</w:t>
      </w:r>
      <w:r>
        <w:rPr>
          <w:rFonts w:hint="eastAsia"/>
          <w:szCs w:val="21"/>
        </w:rPr>
        <w:t>，</w:t>
      </w:r>
      <w:r>
        <w:rPr>
          <w:szCs w:val="21"/>
        </w:rPr>
        <w:t>如图</w:t>
      </w:r>
      <w:r>
        <w:rPr>
          <w:rFonts w:hint="eastAsia"/>
          <w:szCs w:val="21"/>
        </w:rPr>
        <w:t>4</w:t>
      </w:r>
      <w:r>
        <w:rPr>
          <w:rFonts w:hint="eastAsia"/>
          <w:szCs w:val="21"/>
        </w:rPr>
        <w:t>所</w:t>
      </w:r>
      <w:r>
        <w:rPr>
          <w:szCs w:val="21"/>
        </w:rPr>
        <w:t>示</w:t>
      </w:r>
      <w:r w:rsidR="0097104C" w:rsidRPr="000C1905">
        <w:rPr>
          <w:rFonts w:hint="eastAsia"/>
          <w:szCs w:val="21"/>
        </w:rPr>
        <w:t>。</w:t>
      </w:r>
      <w:r>
        <w:rPr>
          <w:rFonts w:ascii="Segoe UI" w:hAnsi="Segoe UI" w:cs="Segoe UI"/>
          <w:color w:val="0F1115"/>
          <w:shd w:val="clear" w:color="auto" w:fill="FFFFFF"/>
        </w:rPr>
        <w:t>在相同摩尔浓度下，</w:t>
      </w:r>
      <w:r>
        <w:rPr>
          <w:rFonts w:ascii="Segoe UI" w:hAnsi="Segoe UI" w:cs="Segoe UI"/>
          <w:color w:val="0F1115"/>
          <w:shd w:val="clear" w:color="auto" w:fill="FFFFFF"/>
        </w:rPr>
        <w:t>CaCl₂</w:t>
      </w:r>
      <w:r>
        <w:rPr>
          <w:rFonts w:ascii="Segoe UI" w:hAnsi="Segoe UI" w:cs="Segoe UI"/>
          <w:color w:val="0F1115"/>
          <w:shd w:val="clear" w:color="auto" w:fill="FFFFFF"/>
        </w:rPr>
        <w:t>和</w:t>
      </w:r>
      <w:r>
        <w:rPr>
          <w:rFonts w:ascii="Segoe UI" w:hAnsi="Segoe UI" w:cs="Segoe UI"/>
          <w:color w:val="0F1115"/>
          <w:shd w:val="clear" w:color="auto" w:fill="FFFFFF"/>
        </w:rPr>
        <w:t>Ca(HCO₃)₂</w:t>
      </w:r>
      <w:r>
        <w:rPr>
          <w:rFonts w:ascii="Segoe UI" w:hAnsi="Segoe UI" w:cs="Segoe UI"/>
          <w:color w:val="0F1115"/>
          <w:shd w:val="clear" w:color="auto" w:fill="FFFFFF"/>
        </w:rPr>
        <w:t>溶液表现出最高的电导率，这主要归因于</w:t>
      </w:r>
      <w:r>
        <w:rPr>
          <w:rFonts w:ascii="Segoe UI" w:hAnsi="Segoe UI" w:cs="Segoe UI"/>
          <w:color w:val="0F1115"/>
          <w:shd w:val="clear" w:color="auto" w:fill="FFFFFF"/>
        </w:rPr>
        <w:t>Ca²⁺</w:t>
      </w:r>
      <w:r>
        <w:rPr>
          <w:rFonts w:ascii="Segoe UI" w:hAnsi="Segoe UI" w:cs="Segoe UI"/>
          <w:color w:val="0F1115"/>
          <w:shd w:val="clear" w:color="auto" w:fill="FFFFFF"/>
        </w:rPr>
        <w:t>离子每个化学单位可贡献两个电荷，且</w:t>
      </w:r>
      <w:r>
        <w:rPr>
          <w:rFonts w:ascii="Segoe UI" w:hAnsi="Segoe UI" w:cs="Segoe UI"/>
          <w:color w:val="0F1115"/>
          <w:shd w:val="clear" w:color="auto" w:fill="FFFFFF"/>
        </w:rPr>
        <w:t>Ca²⁺</w:t>
      </w:r>
      <w:r>
        <w:rPr>
          <w:rFonts w:ascii="Segoe UI" w:hAnsi="Segoe UI" w:cs="Segoe UI"/>
          <w:color w:val="0F1115"/>
          <w:shd w:val="clear" w:color="auto" w:fill="FFFFFF"/>
        </w:rPr>
        <w:t>及其对应阴离子均具有较高的迁移率。通过对比分析发现，溶液电导率与太赫兹辐射强度呈现显著的负相关关系：电导率越高，太赫兹辐射强度往往越低。这一观察结果表明，较高的自由离子浓度并不必然导致更强的太赫兹发射。对此现象的可能解释是：虽然增加离子浓度能够在激光与水相互作用时提供更多的初始电荷载流子，但同时也会增强粒子间的碰撞和能量耗散过程，从而抑制了太赫兹产生所需的载流子相干加速</w:t>
      </w:r>
      <w:r w:rsidR="00BC3E4A" w:rsidRPr="000C1905">
        <w:rPr>
          <w:rFonts w:hint="eastAsia"/>
          <w:szCs w:val="21"/>
        </w:rPr>
        <w:t>。</w:t>
      </w:r>
    </w:p>
    <w:p w14:paraId="234E7CDA" w14:textId="0AA13DE9" w:rsidR="005D7A5C" w:rsidRPr="000C1905" w:rsidRDefault="004F4C82" w:rsidP="005D7A5C">
      <w:pPr>
        <w:widowControl/>
        <w:spacing w:line="360" w:lineRule="auto"/>
        <w:ind w:firstLineChars="200" w:firstLine="420"/>
        <w:jc w:val="center"/>
        <w:rPr>
          <w:sz w:val="24"/>
        </w:rPr>
      </w:pPr>
      <w:r w:rsidRPr="000C1905">
        <w:object w:dxaOrig="4273" w:dyaOrig="3492" w14:anchorId="57FC71A9">
          <v:shape id="_x0000_i1028" type="#_x0000_t75" style="width:213.5pt;height:174.15pt" o:ole="">
            <v:imagedata r:id="rId14" o:title=""/>
          </v:shape>
          <o:OLEObject Type="Embed" ProgID="Visio.Drawing.15" ShapeID="_x0000_i1028" DrawAspect="Content" ObjectID="_1838876117" r:id="rId15"/>
        </w:object>
      </w:r>
    </w:p>
    <w:p w14:paraId="24801866" w14:textId="4E717200" w:rsidR="005D7A5C" w:rsidRPr="000C1905" w:rsidRDefault="005D7A5C" w:rsidP="00E13729">
      <w:pPr>
        <w:jc w:val="center"/>
        <w:rPr>
          <w:rFonts w:ascii="宋体" w:hAnsi="宋体"/>
          <w:b/>
          <w:sz w:val="15"/>
          <w:szCs w:val="15"/>
        </w:rPr>
      </w:pPr>
      <w:r w:rsidRPr="000C1905">
        <w:rPr>
          <w:rFonts w:ascii="宋体" w:hAnsi="宋体" w:hint="eastAsia"/>
          <w:b/>
          <w:sz w:val="15"/>
          <w:szCs w:val="15"/>
        </w:rPr>
        <w:t>图</w:t>
      </w:r>
      <w:r w:rsidR="0097104C" w:rsidRPr="000C1905">
        <w:rPr>
          <w:rFonts w:ascii="宋体" w:hAnsi="宋体" w:hint="eastAsia"/>
          <w:b/>
          <w:sz w:val="15"/>
          <w:szCs w:val="15"/>
        </w:rPr>
        <w:t>4</w:t>
      </w:r>
      <w:r w:rsidR="00E13729" w:rsidRPr="000C1905">
        <w:rPr>
          <w:rFonts w:ascii="宋体" w:hAnsi="宋体" w:hint="eastAsia"/>
          <w:b/>
          <w:sz w:val="15"/>
          <w:szCs w:val="15"/>
        </w:rPr>
        <w:t xml:space="preserve">  </w:t>
      </w:r>
      <w:r w:rsidR="00E509C6" w:rsidRPr="000C1905">
        <w:rPr>
          <w:rFonts w:ascii="宋体" w:hAnsi="宋体" w:hint="eastAsia"/>
          <w:b/>
          <w:sz w:val="15"/>
          <w:szCs w:val="15"/>
        </w:rPr>
        <w:t>不同离子溶液的电导率随浓度变化趋势示意图</w:t>
      </w:r>
    </w:p>
    <w:p w14:paraId="2DF847C7" w14:textId="7D03378B" w:rsidR="00BC3E4A" w:rsidRPr="000C1905" w:rsidRDefault="000417B3" w:rsidP="00B86E20">
      <w:pPr>
        <w:ind w:firstLineChars="200" w:firstLine="420"/>
        <w:rPr>
          <w:szCs w:val="21"/>
        </w:rPr>
      </w:pPr>
      <w:bookmarkStart w:id="4" w:name="_Hlk197532014"/>
      <w:r>
        <w:rPr>
          <w:rFonts w:hint="eastAsia"/>
          <w:szCs w:val="21"/>
        </w:rPr>
        <w:t>此外</w:t>
      </w:r>
      <w:r>
        <w:rPr>
          <w:szCs w:val="21"/>
        </w:rPr>
        <w:t>，本文还</w:t>
      </w:r>
      <w:r w:rsidR="00BC3E4A" w:rsidRPr="000C1905">
        <w:rPr>
          <w:rFonts w:hint="eastAsia"/>
          <w:szCs w:val="21"/>
        </w:rPr>
        <w:t>测量了电解质溶液的折射率，作为其体积极化率和密度的指标</w:t>
      </w:r>
      <w:r w:rsidR="002F5886" w:rsidRPr="000C1905">
        <w:rPr>
          <w:szCs w:val="21"/>
          <w:vertAlign w:val="superscript"/>
        </w:rPr>
        <w:fldChar w:fldCharType="begin"/>
      </w:r>
      <w:r w:rsidR="002F5886" w:rsidRPr="000C1905">
        <w:rPr>
          <w:szCs w:val="21"/>
          <w:vertAlign w:val="superscript"/>
        </w:rPr>
        <w:instrText xml:space="preserve"> </w:instrText>
      </w:r>
      <w:r w:rsidR="002F5886" w:rsidRPr="000C1905">
        <w:rPr>
          <w:rFonts w:hint="eastAsia"/>
          <w:szCs w:val="21"/>
          <w:vertAlign w:val="superscript"/>
        </w:rPr>
        <w:instrText>REF _Ref196148409 \r \h</w:instrText>
      </w:r>
      <w:r w:rsidR="002F5886" w:rsidRPr="000C1905">
        <w:rPr>
          <w:szCs w:val="21"/>
          <w:vertAlign w:val="superscript"/>
        </w:rPr>
        <w:instrText xml:space="preserve"> </w:instrText>
      </w:r>
      <w:r w:rsidR="003C3FCA" w:rsidRPr="000C1905">
        <w:rPr>
          <w:szCs w:val="21"/>
          <w:vertAlign w:val="superscript"/>
        </w:rPr>
        <w:instrText xml:space="preserve"> \* MERGEFORMAT </w:instrText>
      </w:r>
      <w:r w:rsidR="002F5886" w:rsidRPr="000C1905">
        <w:rPr>
          <w:szCs w:val="21"/>
          <w:vertAlign w:val="superscript"/>
        </w:rPr>
      </w:r>
      <w:r w:rsidR="002F5886" w:rsidRPr="000C1905">
        <w:rPr>
          <w:szCs w:val="21"/>
          <w:vertAlign w:val="superscript"/>
        </w:rPr>
        <w:fldChar w:fldCharType="separate"/>
      </w:r>
      <w:r w:rsidR="008F6340" w:rsidRPr="000C1905">
        <w:rPr>
          <w:szCs w:val="21"/>
          <w:vertAlign w:val="superscript"/>
        </w:rPr>
        <w:t>[11]</w:t>
      </w:r>
      <w:r w:rsidR="002F5886" w:rsidRPr="000C1905">
        <w:rPr>
          <w:szCs w:val="21"/>
          <w:vertAlign w:val="superscript"/>
        </w:rPr>
        <w:fldChar w:fldCharType="end"/>
      </w:r>
      <w:r>
        <w:rPr>
          <w:rFonts w:hint="eastAsia"/>
          <w:szCs w:val="21"/>
        </w:rPr>
        <w:t>，</w:t>
      </w:r>
      <w:r>
        <w:rPr>
          <w:szCs w:val="21"/>
        </w:rPr>
        <w:t>结果</w:t>
      </w:r>
      <w:r w:rsidR="00BC3E4A" w:rsidRPr="000C1905">
        <w:rPr>
          <w:rFonts w:hint="eastAsia"/>
          <w:szCs w:val="21"/>
        </w:rPr>
        <w:t>如图</w:t>
      </w:r>
      <w:r w:rsidR="00BC3E4A" w:rsidRPr="000C1905">
        <w:rPr>
          <w:szCs w:val="21"/>
        </w:rPr>
        <w:t>5</w:t>
      </w:r>
      <w:r>
        <w:rPr>
          <w:rFonts w:hint="eastAsia"/>
          <w:szCs w:val="21"/>
        </w:rPr>
        <w:t>所示。可</w:t>
      </w:r>
      <w:r>
        <w:rPr>
          <w:szCs w:val="21"/>
        </w:rPr>
        <w:t>以看出，</w:t>
      </w:r>
      <w:r w:rsidR="00BC3E4A" w:rsidRPr="000C1905">
        <w:rPr>
          <w:rFonts w:hint="eastAsia"/>
          <w:szCs w:val="21"/>
        </w:rPr>
        <w:t>含</w:t>
      </w:r>
      <w:r w:rsidR="00BC3E4A" w:rsidRPr="000C1905">
        <w:rPr>
          <w:szCs w:val="21"/>
        </w:rPr>
        <w:t>Ca²⁺</w:t>
      </w:r>
      <w:r w:rsidR="00BC3E4A" w:rsidRPr="000C1905">
        <w:rPr>
          <w:rFonts w:hint="eastAsia"/>
          <w:szCs w:val="21"/>
        </w:rPr>
        <w:t>溶液的折射率较高，表明其水合环境具有更强的结合力或更高的结构化程度。相比之下，</w:t>
      </w:r>
      <w:bookmarkStart w:id="5" w:name="_Hlk197897646"/>
      <w:r w:rsidR="00BE6195" w:rsidRPr="000C1905">
        <w:rPr>
          <w:rFonts w:hint="eastAsia"/>
          <w:szCs w:val="21"/>
        </w:rPr>
        <w:t>NaHCO</w:t>
      </w:r>
      <w:r w:rsidR="00BE6195" w:rsidRPr="000C1905">
        <w:rPr>
          <w:rFonts w:hint="eastAsia"/>
          <w:szCs w:val="21"/>
          <w:vertAlign w:val="subscript"/>
        </w:rPr>
        <w:t>3</w:t>
      </w:r>
      <w:bookmarkEnd w:id="5"/>
      <w:r w:rsidR="00BC3E4A" w:rsidRPr="000C1905">
        <w:rPr>
          <w:rFonts w:hint="eastAsia"/>
          <w:szCs w:val="21"/>
        </w:rPr>
        <w:t>对折射率的影响最小，表明它对体积结构的干扰最弱。</w:t>
      </w:r>
    </w:p>
    <w:bookmarkEnd w:id="4"/>
    <w:p w14:paraId="0F013202" w14:textId="2A21BC79" w:rsidR="00BC3E4A" w:rsidRPr="000C1905" w:rsidRDefault="004F4C82" w:rsidP="00BC3E4A">
      <w:pPr>
        <w:widowControl/>
        <w:spacing w:line="360" w:lineRule="auto"/>
        <w:ind w:firstLineChars="200" w:firstLine="420"/>
        <w:jc w:val="center"/>
        <w:rPr>
          <w:sz w:val="24"/>
        </w:rPr>
      </w:pPr>
      <w:r w:rsidRPr="000C1905">
        <w:object w:dxaOrig="4260" w:dyaOrig="3408" w14:anchorId="7950C1A4">
          <v:shape id="_x0000_i1029" type="#_x0000_t75" style="width:213.5pt;height:169.95pt" o:ole="">
            <v:imagedata r:id="rId16" o:title=""/>
          </v:shape>
          <o:OLEObject Type="Embed" ProgID="Visio.Drawing.15" ShapeID="_x0000_i1029" DrawAspect="Content" ObjectID="_1838876118" r:id="rId17"/>
        </w:object>
      </w:r>
    </w:p>
    <w:p w14:paraId="78BB3BFE" w14:textId="19D5FABC" w:rsidR="00BC3E4A" w:rsidRPr="000C1905" w:rsidRDefault="00BC3E4A" w:rsidP="00E13729">
      <w:pPr>
        <w:jc w:val="center"/>
        <w:rPr>
          <w:rFonts w:ascii="宋体" w:hAnsi="宋体"/>
          <w:b/>
          <w:sz w:val="15"/>
          <w:szCs w:val="15"/>
        </w:rPr>
      </w:pPr>
      <w:bookmarkStart w:id="6" w:name="_Hlk197559064"/>
      <w:r w:rsidRPr="000C1905">
        <w:rPr>
          <w:rFonts w:ascii="宋体" w:hAnsi="宋体" w:hint="eastAsia"/>
          <w:b/>
          <w:sz w:val="15"/>
          <w:szCs w:val="15"/>
        </w:rPr>
        <w:t>图5</w:t>
      </w:r>
      <w:r w:rsidR="00E13729" w:rsidRPr="000C1905">
        <w:rPr>
          <w:rFonts w:ascii="宋体" w:hAnsi="宋体" w:hint="eastAsia"/>
          <w:b/>
          <w:sz w:val="15"/>
          <w:szCs w:val="15"/>
        </w:rPr>
        <w:t xml:space="preserve">  </w:t>
      </w:r>
      <w:r w:rsidRPr="000C1905">
        <w:rPr>
          <w:rFonts w:ascii="宋体" w:hAnsi="宋体" w:hint="eastAsia"/>
          <w:b/>
          <w:sz w:val="15"/>
          <w:szCs w:val="15"/>
        </w:rPr>
        <w:t>离子溶液的折射率随浓度的变化</w:t>
      </w:r>
    </w:p>
    <w:bookmarkEnd w:id="6"/>
    <w:p w14:paraId="22DF6912" w14:textId="1BC3111A" w:rsidR="00E56F56" w:rsidRPr="000C1905" w:rsidRDefault="000417B3" w:rsidP="00F909DD">
      <w:pPr>
        <w:ind w:firstLineChars="200" w:firstLine="420"/>
        <w:rPr>
          <w:szCs w:val="21"/>
        </w:rPr>
      </w:pPr>
      <w:r>
        <w:rPr>
          <w:rFonts w:ascii="Segoe UI" w:hAnsi="Segoe UI" w:cs="Segoe UI"/>
          <w:color w:val="0F1115"/>
          <w:shd w:val="clear" w:color="auto" w:fill="FFFFFF"/>
        </w:rPr>
        <w:t>为阐明温度对离子调控效应的耦合作用，我们比较了纯水与两类代表性离子溶液（</w:t>
      </w:r>
      <w:r>
        <w:rPr>
          <w:rFonts w:ascii="Segoe UI" w:hAnsi="Segoe UI" w:cs="Segoe UI"/>
          <w:color w:val="0F1115"/>
          <w:shd w:val="clear" w:color="auto" w:fill="FFFFFF"/>
        </w:rPr>
        <w:t xml:space="preserve">0.3 M NaCl </w:t>
      </w:r>
      <w:r>
        <w:rPr>
          <w:rFonts w:ascii="Segoe UI" w:hAnsi="Segoe UI" w:cs="Segoe UI"/>
          <w:color w:val="0F1115"/>
          <w:shd w:val="clear" w:color="auto" w:fill="FFFFFF"/>
        </w:rPr>
        <w:t>与</w:t>
      </w:r>
      <w:r>
        <w:rPr>
          <w:rFonts w:ascii="Segoe UI" w:hAnsi="Segoe UI" w:cs="Segoe UI"/>
          <w:color w:val="0F1115"/>
          <w:shd w:val="clear" w:color="auto" w:fill="FFFFFF"/>
        </w:rPr>
        <w:t xml:space="preserve"> 0.3 M Ca(HCO₃)₂</w:t>
      </w:r>
      <w:r>
        <w:rPr>
          <w:rFonts w:ascii="Segoe UI" w:hAnsi="Segoe UI" w:cs="Segoe UI"/>
          <w:color w:val="0F1115"/>
          <w:shd w:val="clear" w:color="auto" w:fill="FFFFFF"/>
        </w:rPr>
        <w:t>）的太赫兹辐射强度随温度的变化，结果如图</w:t>
      </w:r>
      <w:r>
        <w:rPr>
          <w:rFonts w:ascii="Segoe UI" w:hAnsi="Segoe UI" w:cs="Segoe UI"/>
          <w:color w:val="0F1115"/>
          <w:shd w:val="clear" w:color="auto" w:fill="FFFFFF"/>
        </w:rPr>
        <w:t>6</w:t>
      </w:r>
      <w:r>
        <w:rPr>
          <w:rFonts w:ascii="Segoe UI" w:hAnsi="Segoe UI" w:cs="Segoe UI"/>
          <w:color w:val="0F1115"/>
          <w:shd w:val="clear" w:color="auto" w:fill="FFFFFF"/>
        </w:rPr>
        <w:t>所示。</w:t>
      </w:r>
      <w:r>
        <w:rPr>
          <w:rFonts w:ascii="Segoe UI" w:hAnsi="Segoe UI" w:cs="Segoe UI" w:hint="eastAsia"/>
          <w:color w:val="0F1115"/>
          <w:shd w:val="clear" w:color="auto" w:fill="FFFFFF"/>
        </w:rPr>
        <w:t>3</w:t>
      </w:r>
      <w:r>
        <w:rPr>
          <w:rFonts w:ascii="Segoe UI" w:hAnsi="Segoe UI" w:cs="Segoe UI"/>
          <w:color w:val="0F1115"/>
          <w:shd w:val="clear" w:color="auto" w:fill="FFFFFF"/>
        </w:rPr>
        <w:t>种体系的太赫兹辐射功率均随温度上升而表现出明显各异的演化特征。</w:t>
      </w:r>
      <w:r w:rsidR="008D38B8">
        <w:rPr>
          <w:rFonts w:ascii="Segoe UI" w:hAnsi="Segoe UI" w:cs="Segoe UI"/>
          <w:color w:val="0F1115"/>
          <w:shd w:val="clear" w:color="auto" w:fill="FFFFFF"/>
        </w:rPr>
        <w:t>纯水曲线在</w:t>
      </w:r>
      <w:r w:rsidR="008D38B8">
        <w:rPr>
          <w:rFonts w:ascii="Segoe UI" w:hAnsi="Segoe UI" w:cs="Segoe UI"/>
          <w:color w:val="0F1115"/>
          <w:shd w:val="clear" w:color="auto" w:fill="FFFFFF"/>
        </w:rPr>
        <w:t>0–15 °C</w:t>
      </w:r>
      <w:r w:rsidR="008D38B8">
        <w:rPr>
          <w:rFonts w:ascii="Segoe UI" w:hAnsi="Segoe UI" w:cs="Segoe UI"/>
          <w:color w:val="0F1115"/>
          <w:shd w:val="clear" w:color="auto" w:fill="FFFFFF"/>
        </w:rPr>
        <w:t>区间快速抬升，随后在</w:t>
      </w:r>
      <w:r w:rsidR="008D38B8">
        <w:rPr>
          <w:rFonts w:ascii="Segoe UI" w:hAnsi="Segoe UI" w:cs="Segoe UI"/>
          <w:color w:val="0F1115"/>
          <w:shd w:val="clear" w:color="auto" w:fill="FFFFFF"/>
        </w:rPr>
        <w:t>25 °C</w:t>
      </w:r>
      <w:r w:rsidR="008D38B8">
        <w:rPr>
          <w:rFonts w:ascii="Segoe UI" w:hAnsi="Segoe UI" w:cs="Segoe UI"/>
          <w:color w:val="0F1115"/>
          <w:shd w:val="clear" w:color="auto" w:fill="FFFFFF"/>
        </w:rPr>
        <w:t>附近趋于平缓。这一行为与文献</w:t>
      </w:r>
      <w:r w:rsidR="008D38B8">
        <w:rPr>
          <w:rFonts w:ascii="Segoe UI" w:hAnsi="Segoe UI" w:cs="Segoe UI"/>
          <w:color w:val="0F1115"/>
          <w:shd w:val="clear" w:color="auto" w:fill="FFFFFF"/>
        </w:rPr>
        <w:t>[14]</w:t>
      </w:r>
      <w:r w:rsidR="008D38B8">
        <w:rPr>
          <w:rFonts w:ascii="Segoe UI" w:hAnsi="Segoe UI" w:cs="Segoe UI"/>
          <w:color w:val="0F1115"/>
          <w:shd w:val="clear" w:color="auto" w:fill="FFFFFF"/>
        </w:rPr>
        <w:t>报道的规律相符：水分子弛豫时间常数随温度升高而缩短，导致瞬态电流损耗降低，从而增强太赫兹辐射</w:t>
      </w:r>
      <w:r w:rsidR="00712DE3" w:rsidRPr="000C1905">
        <w:rPr>
          <w:szCs w:val="21"/>
          <w:vertAlign w:val="superscript"/>
        </w:rPr>
        <w:fldChar w:fldCharType="begin"/>
      </w:r>
      <w:r w:rsidR="00712DE3" w:rsidRPr="000C1905">
        <w:rPr>
          <w:szCs w:val="21"/>
          <w:vertAlign w:val="superscript"/>
        </w:rPr>
        <w:instrText xml:space="preserve"> </w:instrText>
      </w:r>
      <w:r w:rsidR="00712DE3" w:rsidRPr="000C1905">
        <w:rPr>
          <w:rFonts w:hint="eastAsia"/>
          <w:szCs w:val="21"/>
          <w:vertAlign w:val="superscript"/>
        </w:rPr>
        <w:instrText>REF _Ref196148453 \r \h</w:instrText>
      </w:r>
      <w:r w:rsidR="00712DE3" w:rsidRPr="000C1905">
        <w:rPr>
          <w:szCs w:val="21"/>
          <w:vertAlign w:val="superscript"/>
        </w:rPr>
        <w:instrText xml:space="preserve">  \* MERGEFORMAT </w:instrText>
      </w:r>
      <w:r w:rsidR="00712DE3" w:rsidRPr="000C1905">
        <w:rPr>
          <w:szCs w:val="21"/>
          <w:vertAlign w:val="superscript"/>
        </w:rPr>
      </w:r>
      <w:r w:rsidR="00712DE3" w:rsidRPr="000C1905">
        <w:rPr>
          <w:szCs w:val="21"/>
          <w:vertAlign w:val="superscript"/>
        </w:rPr>
        <w:fldChar w:fldCharType="separate"/>
      </w:r>
      <w:r w:rsidR="008F6340" w:rsidRPr="000C1905">
        <w:rPr>
          <w:szCs w:val="21"/>
          <w:vertAlign w:val="superscript"/>
        </w:rPr>
        <w:t>[14]</w:t>
      </w:r>
      <w:r w:rsidR="00712DE3" w:rsidRPr="000C1905">
        <w:rPr>
          <w:szCs w:val="21"/>
          <w:vertAlign w:val="superscript"/>
        </w:rPr>
        <w:fldChar w:fldCharType="end"/>
      </w:r>
      <w:r w:rsidR="004A0BD2" w:rsidRPr="000C1905">
        <w:rPr>
          <w:rFonts w:hint="eastAsia"/>
          <w:szCs w:val="21"/>
        </w:rPr>
        <w:t>。</w:t>
      </w:r>
      <w:r w:rsidR="008D38B8">
        <w:rPr>
          <w:rFonts w:ascii="Segoe UI" w:hAnsi="Segoe UI" w:cs="Segoe UI"/>
          <w:color w:val="0F1115"/>
          <w:shd w:val="clear" w:color="auto" w:fill="FFFFFF"/>
        </w:rPr>
        <w:t>相比之下，</w:t>
      </w:r>
      <w:r w:rsidR="008D38B8">
        <w:rPr>
          <w:rFonts w:ascii="Segoe UI" w:hAnsi="Segoe UI" w:cs="Segoe UI"/>
          <w:color w:val="0F1115"/>
          <w:shd w:val="clear" w:color="auto" w:fill="FFFFFF"/>
        </w:rPr>
        <w:t>0.3 M NaCl</w:t>
      </w:r>
      <w:r w:rsidR="008D38B8">
        <w:rPr>
          <w:rFonts w:ascii="Segoe UI" w:hAnsi="Segoe UI" w:cs="Segoe UI"/>
          <w:color w:val="0F1115"/>
          <w:shd w:val="clear" w:color="auto" w:fill="FFFFFF"/>
        </w:rPr>
        <w:t>溶液的太赫兹功率呈近线性增强，至</w:t>
      </w:r>
      <w:r w:rsidR="008D38B8">
        <w:rPr>
          <w:rFonts w:ascii="Segoe UI" w:hAnsi="Segoe UI" w:cs="Segoe UI"/>
          <w:color w:val="0F1115"/>
          <w:shd w:val="clear" w:color="auto" w:fill="FFFFFF"/>
        </w:rPr>
        <w:t>40 °C</w:t>
      </w:r>
      <w:r w:rsidR="008D38B8">
        <w:rPr>
          <w:rFonts w:ascii="Segoe UI" w:hAnsi="Segoe UI" w:cs="Segoe UI"/>
          <w:color w:val="0F1115"/>
          <w:shd w:val="clear" w:color="auto" w:fill="FFFFFF"/>
        </w:rPr>
        <w:t>时较初始值提升约</w:t>
      </w:r>
      <w:r w:rsidR="008D38B8">
        <w:rPr>
          <w:rFonts w:ascii="Segoe UI" w:hAnsi="Segoe UI" w:cs="Segoe UI"/>
          <w:color w:val="0F1115"/>
          <w:shd w:val="clear" w:color="auto" w:fill="FFFFFF"/>
        </w:rPr>
        <w:t>78%</w:t>
      </w:r>
      <w:r w:rsidR="008D38B8">
        <w:rPr>
          <w:rFonts w:ascii="Segoe UI" w:hAnsi="Segoe UI" w:cs="Segoe UI"/>
          <w:color w:val="0F1115"/>
          <w:shd w:val="clear" w:color="auto" w:fill="FFFFFF"/>
        </w:rPr>
        <w:t>。而</w:t>
      </w:r>
      <w:r w:rsidR="008D38B8">
        <w:rPr>
          <w:rFonts w:ascii="Segoe UI" w:hAnsi="Segoe UI" w:cs="Segoe UI"/>
          <w:color w:val="0F1115"/>
          <w:shd w:val="clear" w:color="auto" w:fill="FFFFFF"/>
        </w:rPr>
        <w:t>0.3 M Ca(HCO₃)₂</w:t>
      </w:r>
      <w:r w:rsidR="008D38B8">
        <w:rPr>
          <w:rFonts w:ascii="Segoe UI" w:hAnsi="Segoe UI" w:cs="Segoe UI"/>
          <w:color w:val="0F1115"/>
          <w:shd w:val="clear" w:color="auto" w:fill="FFFFFF"/>
        </w:rPr>
        <w:t>溶液则呈现出独特的</w:t>
      </w:r>
      <w:r w:rsidR="008D38B8">
        <w:rPr>
          <w:rFonts w:ascii="Segoe UI" w:hAnsi="Segoe UI" w:cs="Segoe UI"/>
          <w:color w:val="0F1115"/>
          <w:shd w:val="clear" w:color="auto" w:fill="FFFFFF"/>
        </w:rPr>
        <w:t>“</w:t>
      </w:r>
      <w:r w:rsidR="008D38B8">
        <w:rPr>
          <w:rFonts w:ascii="Segoe UI" w:hAnsi="Segoe UI" w:cs="Segoe UI"/>
          <w:color w:val="0F1115"/>
          <w:shd w:val="clear" w:color="auto" w:fill="FFFFFF"/>
        </w:rPr>
        <w:t>先抑后补偿</w:t>
      </w:r>
      <w:r w:rsidR="008D38B8">
        <w:rPr>
          <w:rFonts w:ascii="Segoe UI" w:hAnsi="Segoe UI" w:cs="Segoe UI"/>
          <w:color w:val="0F1115"/>
          <w:shd w:val="clear" w:color="auto" w:fill="FFFFFF"/>
        </w:rPr>
        <w:t>”</w:t>
      </w:r>
      <w:r w:rsidR="008D38B8">
        <w:rPr>
          <w:rFonts w:ascii="Segoe UI" w:hAnsi="Segoe UI" w:cs="Segoe UI"/>
          <w:color w:val="0F1115"/>
          <w:shd w:val="clear" w:color="auto" w:fill="FFFFFF"/>
        </w:rPr>
        <w:t>现象：在</w:t>
      </w:r>
      <w:r w:rsidR="008D38B8">
        <w:rPr>
          <w:rFonts w:ascii="Segoe UI" w:hAnsi="Segoe UI" w:cs="Segoe UI"/>
          <w:color w:val="0F1115"/>
          <w:shd w:val="clear" w:color="auto" w:fill="FFFFFF"/>
        </w:rPr>
        <w:t>0</w:t>
      </w:r>
      <w:r w:rsidR="005E70A2">
        <w:rPr>
          <w:rFonts w:ascii="Segoe UI" w:hAnsi="Segoe UI" w:cs="Segoe UI"/>
          <w:color w:val="0F1115"/>
          <w:shd w:val="clear" w:color="auto" w:fill="FFFFFF"/>
        </w:rPr>
        <w:t>~</w:t>
      </w:r>
      <w:r w:rsidR="008D38B8">
        <w:rPr>
          <w:rFonts w:ascii="Segoe UI" w:hAnsi="Segoe UI" w:cs="Segoe UI"/>
          <w:color w:val="0F1115"/>
          <w:shd w:val="clear" w:color="auto" w:fill="FFFFFF"/>
        </w:rPr>
        <w:t>10 °C</w:t>
      </w:r>
      <w:r w:rsidR="008D38B8">
        <w:rPr>
          <w:rFonts w:ascii="Segoe UI" w:hAnsi="Segoe UI" w:cs="Segoe UI"/>
          <w:color w:val="0F1115"/>
          <w:shd w:val="clear" w:color="auto" w:fill="FFFFFF"/>
        </w:rPr>
        <w:t>范围内显著抑制太赫兹输出；</w:t>
      </w:r>
      <w:r w:rsidR="008D38B8">
        <w:rPr>
          <w:rFonts w:ascii="Segoe UI" w:hAnsi="Segoe UI" w:cs="Segoe UI"/>
          <w:color w:val="0F1115"/>
          <w:shd w:val="clear" w:color="auto" w:fill="FFFFFF"/>
        </w:rPr>
        <w:lastRenderedPageBreak/>
        <w:t>20 °C</w:t>
      </w:r>
      <w:r w:rsidR="008D38B8">
        <w:rPr>
          <w:rFonts w:ascii="Segoe UI" w:hAnsi="Segoe UI" w:cs="Segoe UI"/>
          <w:color w:val="0F1115"/>
          <w:shd w:val="clear" w:color="auto" w:fill="FFFFFF"/>
        </w:rPr>
        <w:t>之后功率逐步回升，并于</w:t>
      </w:r>
      <w:r w:rsidR="008D38B8">
        <w:rPr>
          <w:rFonts w:ascii="Segoe UI" w:hAnsi="Segoe UI" w:cs="Segoe UI"/>
          <w:color w:val="0F1115"/>
          <w:shd w:val="clear" w:color="auto" w:fill="FFFFFF"/>
        </w:rPr>
        <w:t>35 °C</w:t>
      </w:r>
      <w:r w:rsidR="008D38B8">
        <w:rPr>
          <w:rFonts w:ascii="Segoe UI" w:hAnsi="Segoe UI" w:cs="Segoe UI"/>
          <w:color w:val="0F1115"/>
          <w:shd w:val="clear" w:color="auto" w:fill="FFFFFF"/>
        </w:rPr>
        <w:t>时略超纯水水平。这一现象可归因于</w:t>
      </w:r>
      <w:r w:rsidR="008D38B8">
        <w:rPr>
          <w:rFonts w:ascii="Segoe UI" w:hAnsi="Segoe UI" w:cs="Segoe UI"/>
          <w:color w:val="0F1115"/>
          <w:shd w:val="clear" w:color="auto" w:fill="FFFFFF"/>
        </w:rPr>
        <w:t>Ca²⁺</w:t>
      </w:r>
      <w:r w:rsidR="008D38B8">
        <w:rPr>
          <w:rFonts w:ascii="Segoe UI" w:hAnsi="Segoe UI" w:cs="Segoe UI"/>
          <w:color w:val="0F1115"/>
          <w:shd w:val="clear" w:color="auto" w:fill="FFFFFF"/>
        </w:rPr>
        <w:t>的强水合作用：低温下</w:t>
      </w:r>
      <w:r w:rsidR="008D38B8">
        <w:rPr>
          <w:rFonts w:ascii="Segoe UI" w:hAnsi="Segoe UI" w:cs="Segoe UI"/>
          <w:color w:val="0F1115"/>
          <w:shd w:val="clear" w:color="auto" w:fill="FFFFFF"/>
        </w:rPr>
        <w:t>Ca²⁺</w:t>
      </w:r>
      <w:r w:rsidR="008D38B8">
        <w:rPr>
          <w:rFonts w:ascii="Segoe UI" w:hAnsi="Segoe UI" w:cs="Segoe UI"/>
          <w:color w:val="0F1115"/>
          <w:shd w:val="clear" w:color="auto" w:fill="FFFFFF"/>
        </w:rPr>
        <w:t>的水合壳层结构稳定，易俘获电子抑制辐射；升温使水合壳构象松弛、电子俘获效应部分钝化，从而释放太赫兹产生潜力</w:t>
      </w:r>
      <w:r w:rsidR="004A0BD2" w:rsidRPr="000C1905">
        <w:rPr>
          <w:rFonts w:hint="eastAsia"/>
          <w:szCs w:val="21"/>
        </w:rPr>
        <w:t>。</w:t>
      </w:r>
    </w:p>
    <w:p w14:paraId="1E1B55AC" w14:textId="5A833937" w:rsidR="009C2A38" w:rsidRPr="000C1905" w:rsidRDefault="004F4C82" w:rsidP="004843F2">
      <w:pPr>
        <w:ind w:firstLineChars="200" w:firstLine="420"/>
        <w:jc w:val="center"/>
        <w:rPr>
          <w:szCs w:val="21"/>
        </w:rPr>
      </w:pPr>
      <w:r w:rsidRPr="000C1905">
        <w:object w:dxaOrig="4260" w:dyaOrig="3385" w14:anchorId="60FCBA48">
          <v:shape id="_x0000_i1030" type="#_x0000_t75" style="width:213.5pt;height:169.1pt" o:ole="">
            <v:imagedata r:id="rId18" o:title=""/>
          </v:shape>
          <o:OLEObject Type="Embed" ProgID="Visio.Drawing.15" ShapeID="_x0000_i1030" DrawAspect="Content" ObjectID="_1838876119" r:id="rId19"/>
        </w:object>
      </w:r>
    </w:p>
    <w:p w14:paraId="4F6EE05D" w14:textId="4288B194" w:rsidR="004843F2" w:rsidRPr="000C1905" w:rsidRDefault="004843F2" w:rsidP="004843F2">
      <w:pPr>
        <w:jc w:val="center"/>
        <w:rPr>
          <w:rFonts w:ascii="宋体" w:hAnsi="宋体"/>
          <w:b/>
          <w:sz w:val="15"/>
          <w:szCs w:val="15"/>
        </w:rPr>
      </w:pPr>
      <w:bookmarkStart w:id="7" w:name="_Hlk197559431"/>
      <w:r w:rsidRPr="000C1905">
        <w:rPr>
          <w:rFonts w:ascii="宋体" w:hAnsi="宋体" w:hint="eastAsia"/>
          <w:b/>
          <w:sz w:val="15"/>
          <w:szCs w:val="15"/>
        </w:rPr>
        <w:t xml:space="preserve">图6  </w:t>
      </w:r>
      <w:r w:rsidR="002C1D0A" w:rsidRPr="000C1905">
        <w:rPr>
          <w:rFonts w:ascii="宋体" w:hAnsi="宋体" w:hint="eastAsia"/>
          <w:b/>
          <w:sz w:val="15"/>
          <w:szCs w:val="15"/>
        </w:rPr>
        <w:t>纯水、</w:t>
      </w:r>
      <w:r w:rsidR="002C1D0A" w:rsidRPr="000C1905">
        <w:rPr>
          <w:rFonts w:ascii="宋体" w:hAnsi="宋体"/>
          <w:b/>
          <w:sz w:val="15"/>
          <w:szCs w:val="15"/>
        </w:rPr>
        <w:t xml:space="preserve">0.3 M NaCl </w:t>
      </w:r>
      <w:r w:rsidR="002C1D0A" w:rsidRPr="000C1905">
        <w:rPr>
          <w:rFonts w:ascii="宋体" w:hAnsi="宋体" w:hint="eastAsia"/>
          <w:b/>
          <w:sz w:val="15"/>
          <w:szCs w:val="15"/>
        </w:rPr>
        <w:t>与</w:t>
      </w:r>
      <w:r w:rsidR="002C1D0A" w:rsidRPr="000C1905">
        <w:rPr>
          <w:rFonts w:ascii="宋体" w:hAnsi="宋体"/>
          <w:b/>
          <w:sz w:val="15"/>
          <w:szCs w:val="15"/>
        </w:rPr>
        <w:t xml:space="preserve"> 0.3 M </w:t>
      </w:r>
      <w:r w:rsidR="00D75906" w:rsidRPr="000C1905">
        <w:rPr>
          <w:rFonts w:ascii="宋体" w:hAnsi="宋体" w:hint="eastAsia"/>
          <w:b/>
          <w:sz w:val="15"/>
          <w:szCs w:val="15"/>
        </w:rPr>
        <w:t>Ca(HCO</w:t>
      </w:r>
      <w:r w:rsidR="00D75906" w:rsidRPr="000C1905">
        <w:rPr>
          <w:rFonts w:ascii="宋体" w:hAnsi="宋体" w:hint="eastAsia"/>
          <w:b/>
          <w:sz w:val="15"/>
          <w:szCs w:val="15"/>
          <w:vertAlign w:val="subscript"/>
        </w:rPr>
        <w:t>3</w:t>
      </w:r>
      <w:r w:rsidR="00D75906" w:rsidRPr="000C1905">
        <w:rPr>
          <w:rFonts w:ascii="宋体" w:hAnsi="宋体" w:hint="eastAsia"/>
          <w:b/>
          <w:sz w:val="15"/>
          <w:szCs w:val="15"/>
        </w:rPr>
        <w:t>)</w:t>
      </w:r>
      <w:r w:rsidR="00D75906" w:rsidRPr="000C1905">
        <w:rPr>
          <w:rFonts w:ascii="宋体" w:hAnsi="宋体" w:hint="eastAsia"/>
          <w:b/>
          <w:sz w:val="15"/>
          <w:szCs w:val="15"/>
          <w:vertAlign w:val="subscript"/>
        </w:rPr>
        <w:t>2</w:t>
      </w:r>
      <w:r w:rsidR="002C1D0A" w:rsidRPr="000C1905">
        <w:rPr>
          <w:rFonts w:ascii="宋体" w:hAnsi="宋体"/>
          <w:b/>
          <w:sz w:val="15"/>
          <w:szCs w:val="15"/>
        </w:rPr>
        <w:t xml:space="preserve"> </w:t>
      </w:r>
      <w:r w:rsidR="002C1D0A" w:rsidRPr="000C1905">
        <w:rPr>
          <w:rFonts w:ascii="宋体" w:hAnsi="宋体" w:hint="eastAsia"/>
          <w:b/>
          <w:sz w:val="15"/>
          <w:szCs w:val="15"/>
        </w:rPr>
        <w:t>溶液太赫兹辐射功率随温度变化关系</w:t>
      </w:r>
    </w:p>
    <w:bookmarkEnd w:id="7"/>
    <w:p w14:paraId="6BC8507C" w14:textId="05F6D6FF" w:rsidR="009C2A38" w:rsidRPr="000C1905" w:rsidRDefault="00D75906" w:rsidP="00F909DD">
      <w:pPr>
        <w:ind w:firstLineChars="200" w:firstLine="420"/>
        <w:rPr>
          <w:szCs w:val="21"/>
        </w:rPr>
      </w:pPr>
      <w:r w:rsidRPr="000C1905">
        <w:rPr>
          <w:rFonts w:hint="eastAsia"/>
          <w:szCs w:val="21"/>
        </w:rPr>
        <w:t>图</w:t>
      </w:r>
      <w:r w:rsidRPr="000C1905">
        <w:rPr>
          <w:szCs w:val="21"/>
        </w:rPr>
        <w:t>7</w:t>
      </w:r>
      <w:r w:rsidRPr="000C1905">
        <w:rPr>
          <w:rFonts w:hint="eastAsia"/>
          <w:szCs w:val="21"/>
        </w:rPr>
        <w:t>进一步揭示了同一温区内电导率与折射率的温度响应。</w:t>
      </w:r>
      <w:r w:rsidR="00995C68">
        <w:rPr>
          <w:rFonts w:hint="eastAsia"/>
          <w:szCs w:val="21"/>
        </w:rPr>
        <w:t>3</w:t>
      </w:r>
      <w:r w:rsidRPr="000C1905">
        <w:rPr>
          <w:rFonts w:hint="eastAsia"/>
          <w:szCs w:val="21"/>
        </w:rPr>
        <w:t>种体系中，电导率均呈单调递增趋势，但斜率顺序为</w:t>
      </w:r>
      <w:r w:rsidRPr="000C1905">
        <w:rPr>
          <w:rFonts w:hint="eastAsia"/>
          <w:szCs w:val="21"/>
        </w:rPr>
        <w:t>Ca(HCO</w:t>
      </w:r>
      <w:r w:rsidRPr="000C1905">
        <w:rPr>
          <w:rFonts w:hint="eastAsia"/>
          <w:szCs w:val="21"/>
          <w:vertAlign w:val="subscript"/>
        </w:rPr>
        <w:t>3</w:t>
      </w:r>
      <w:r w:rsidRPr="000C1905">
        <w:rPr>
          <w:rFonts w:hint="eastAsia"/>
          <w:szCs w:val="21"/>
        </w:rPr>
        <w:t>)</w:t>
      </w:r>
      <w:r w:rsidRPr="000C1905">
        <w:rPr>
          <w:rFonts w:hint="eastAsia"/>
          <w:szCs w:val="21"/>
          <w:vertAlign w:val="subscript"/>
        </w:rPr>
        <w:t>2</w:t>
      </w:r>
      <w:r w:rsidRPr="000C1905">
        <w:rPr>
          <w:szCs w:val="21"/>
        </w:rPr>
        <w:t xml:space="preserve"> &gt; NaCl </w:t>
      </w:r>
      <w:r w:rsidRPr="000C1905">
        <w:rPr>
          <w:rFonts w:ascii="Cambria Math" w:hAnsi="Cambria Math" w:cs="Cambria Math"/>
          <w:szCs w:val="21"/>
        </w:rPr>
        <w:t>≫</w:t>
      </w:r>
      <w:r w:rsidRPr="000C1905">
        <w:rPr>
          <w:szCs w:val="21"/>
        </w:rPr>
        <w:t xml:space="preserve"> H₂O</w:t>
      </w:r>
      <w:r w:rsidRPr="000C1905">
        <w:rPr>
          <w:rFonts w:hint="eastAsia"/>
          <w:szCs w:val="21"/>
        </w:rPr>
        <w:t>，这表明多价阳离子</w:t>
      </w:r>
      <w:r w:rsidRPr="000C1905">
        <w:rPr>
          <w:szCs w:val="21"/>
        </w:rPr>
        <w:t>-</w:t>
      </w:r>
      <w:r w:rsidRPr="000C1905">
        <w:rPr>
          <w:rFonts w:hint="eastAsia"/>
          <w:szCs w:val="21"/>
        </w:rPr>
        <w:t>弱酸根电解质对温度的电离增强最为敏感。折射率在可见波段整体随温度呈现微幅下降，折射率的降低意味着水</w:t>
      </w:r>
      <w:r w:rsidRPr="000C1905">
        <w:rPr>
          <w:szCs w:val="21"/>
        </w:rPr>
        <w:t>-</w:t>
      </w:r>
      <w:r w:rsidRPr="000C1905">
        <w:rPr>
          <w:rFonts w:hint="eastAsia"/>
          <w:szCs w:val="21"/>
        </w:rPr>
        <w:t>空气界面的临界角减小，这有助于提高太赫兹辐射的耦合效率</w:t>
      </w:r>
      <w:r w:rsidR="00712DE3" w:rsidRPr="000C1905">
        <w:rPr>
          <w:szCs w:val="21"/>
          <w:vertAlign w:val="superscript"/>
        </w:rPr>
        <w:fldChar w:fldCharType="begin"/>
      </w:r>
      <w:r w:rsidR="00712DE3" w:rsidRPr="000C1905">
        <w:rPr>
          <w:szCs w:val="21"/>
          <w:vertAlign w:val="superscript"/>
        </w:rPr>
        <w:instrText xml:space="preserve"> </w:instrText>
      </w:r>
      <w:r w:rsidR="00712DE3" w:rsidRPr="000C1905">
        <w:rPr>
          <w:rFonts w:hint="eastAsia"/>
          <w:szCs w:val="21"/>
          <w:vertAlign w:val="superscript"/>
        </w:rPr>
        <w:instrText>REF _Ref196149316 \r \h</w:instrText>
      </w:r>
      <w:r w:rsidR="00712DE3" w:rsidRPr="000C1905">
        <w:rPr>
          <w:szCs w:val="21"/>
          <w:vertAlign w:val="superscript"/>
        </w:rPr>
        <w:instrText xml:space="preserve">  \* MERGEFORMAT </w:instrText>
      </w:r>
      <w:r w:rsidR="00712DE3" w:rsidRPr="000C1905">
        <w:rPr>
          <w:szCs w:val="21"/>
          <w:vertAlign w:val="superscript"/>
        </w:rPr>
      </w:r>
      <w:r w:rsidR="00712DE3" w:rsidRPr="000C1905">
        <w:rPr>
          <w:szCs w:val="21"/>
          <w:vertAlign w:val="superscript"/>
        </w:rPr>
        <w:fldChar w:fldCharType="separate"/>
      </w:r>
      <w:r w:rsidR="008F6340" w:rsidRPr="000C1905">
        <w:rPr>
          <w:szCs w:val="21"/>
          <w:vertAlign w:val="superscript"/>
        </w:rPr>
        <w:t>[15]</w:t>
      </w:r>
      <w:r w:rsidR="00712DE3" w:rsidRPr="000C1905">
        <w:rPr>
          <w:szCs w:val="21"/>
          <w:vertAlign w:val="superscript"/>
        </w:rPr>
        <w:fldChar w:fldCharType="end"/>
      </w:r>
      <w:r w:rsidR="00F909DD" w:rsidRPr="000C1905">
        <w:rPr>
          <w:rFonts w:hint="eastAsia"/>
          <w:szCs w:val="21"/>
        </w:rPr>
        <w:t>；</w:t>
      </w:r>
      <w:r w:rsidRPr="000C1905">
        <w:rPr>
          <w:szCs w:val="21"/>
        </w:rPr>
        <w:t xml:space="preserve">NaCl </w:t>
      </w:r>
      <w:r w:rsidRPr="000C1905">
        <w:rPr>
          <w:rFonts w:hint="eastAsia"/>
          <w:szCs w:val="21"/>
        </w:rPr>
        <w:t>曲线在电导率增益与折射率下降的“双重正向”驱动下，实现了图</w:t>
      </w:r>
      <w:r w:rsidRPr="000C1905">
        <w:rPr>
          <w:szCs w:val="21"/>
        </w:rPr>
        <w:t>6</w:t>
      </w:r>
      <w:r w:rsidRPr="000C1905">
        <w:rPr>
          <w:rFonts w:hint="eastAsia"/>
          <w:szCs w:val="21"/>
        </w:rPr>
        <w:t>所见的线性增幅。相反，</w:t>
      </w:r>
      <w:r w:rsidRPr="000C1905">
        <w:rPr>
          <w:rFonts w:hint="eastAsia"/>
          <w:szCs w:val="21"/>
        </w:rPr>
        <w:t>Ca(HCO</w:t>
      </w:r>
      <w:r w:rsidRPr="000C1905">
        <w:rPr>
          <w:rFonts w:hint="eastAsia"/>
          <w:szCs w:val="21"/>
          <w:vertAlign w:val="subscript"/>
        </w:rPr>
        <w:t>3</w:t>
      </w:r>
      <w:r w:rsidRPr="000C1905">
        <w:rPr>
          <w:rFonts w:hint="eastAsia"/>
          <w:szCs w:val="21"/>
        </w:rPr>
        <w:t>)</w:t>
      </w:r>
      <w:r w:rsidRPr="000C1905">
        <w:rPr>
          <w:rFonts w:hint="eastAsia"/>
          <w:szCs w:val="21"/>
          <w:vertAlign w:val="subscript"/>
        </w:rPr>
        <w:t>2</w:t>
      </w:r>
      <w:r w:rsidRPr="000C1905">
        <w:rPr>
          <w:szCs w:val="21"/>
        </w:rPr>
        <w:t xml:space="preserve"> </w:t>
      </w:r>
      <w:r w:rsidRPr="000C1905">
        <w:rPr>
          <w:rFonts w:hint="eastAsia"/>
          <w:szCs w:val="21"/>
        </w:rPr>
        <w:t>的电导率快速增大与强电子俘获效应在低温下叠加，对太赫兹辐射形成竞争抑制</w:t>
      </w:r>
      <w:r w:rsidR="00F909DD" w:rsidRPr="000C1905">
        <w:rPr>
          <w:rFonts w:hint="eastAsia"/>
          <w:szCs w:val="21"/>
        </w:rPr>
        <w:t>，直到水合壳重排、</w:t>
      </w:r>
      <m:oMath>
        <m:r>
          <m:rPr>
            <m:sty m:val="p"/>
          </m:rPr>
          <w:rPr>
            <w:rFonts w:ascii="Cambria Math" w:hAnsi="Cambria Math"/>
            <w:szCs w:val="21"/>
          </w:rPr>
          <m:t>τ</m:t>
        </m:r>
      </m:oMath>
      <w:r w:rsidR="00F909DD" w:rsidRPr="000C1905">
        <w:rPr>
          <w:rFonts w:hint="eastAsia"/>
          <w:szCs w:val="21"/>
        </w:rPr>
        <w:t>增大后才被部分抵消。</w:t>
      </w:r>
    </w:p>
    <w:p w14:paraId="27D00C7C" w14:textId="313848CA" w:rsidR="002C1D0A" w:rsidRPr="000C1905" w:rsidRDefault="004F4C82" w:rsidP="002C1D0A">
      <w:pPr>
        <w:ind w:firstLineChars="200" w:firstLine="420"/>
        <w:jc w:val="center"/>
        <w:rPr>
          <w:szCs w:val="21"/>
        </w:rPr>
      </w:pPr>
      <w:r w:rsidRPr="000C1905">
        <w:object w:dxaOrig="4273" w:dyaOrig="3337" w14:anchorId="5788ABEB">
          <v:shape id="_x0000_i1031" type="#_x0000_t75" style="width:214.35pt;height:166.6pt" o:ole="">
            <v:imagedata r:id="rId20" o:title=""/>
          </v:shape>
          <o:OLEObject Type="Embed" ProgID="Visio.Drawing.15" ShapeID="_x0000_i1031" DrawAspect="Content" ObjectID="_1838876120" r:id="rId21"/>
        </w:object>
      </w:r>
    </w:p>
    <w:p w14:paraId="38698AA9" w14:textId="50F82674" w:rsidR="002C1D0A" w:rsidRDefault="002C1D0A" w:rsidP="00F909DD">
      <w:pPr>
        <w:jc w:val="center"/>
        <w:rPr>
          <w:rFonts w:ascii="宋体" w:hAnsi="宋体"/>
          <w:b/>
          <w:sz w:val="15"/>
          <w:szCs w:val="15"/>
        </w:rPr>
      </w:pPr>
      <w:r w:rsidRPr="000C1905">
        <w:rPr>
          <w:rFonts w:ascii="宋体" w:hAnsi="宋体" w:hint="eastAsia"/>
          <w:b/>
          <w:sz w:val="15"/>
          <w:szCs w:val="15"/>
        </w:rPr>
        <w:t>图7  纯水、</w:t>
      </w:r>
      <w:r w:rsidRPr="000C1905">
        <w:rPr>
          <w:rFonts w:ascii="宋体" w:hAnsi="宋体"/>
          <w:b/>
          <w:sz w:val="15"/>
          <w:szCs w:val="15"/>
        </w:rPr>
        <w:t xml:space="preserve">0.3 M NaCl </w:t>
      </w:r>
      <w:r w:rsidRPr="000C1905">
        <w:rPr>
          <w:rFonts w:ascii="宋体" w:hAnsi="宋体" w:hint="eastAsia"/>
          <w:b/>
          <w:sz w:val="15"/>
          <w:szCs w:val="15"/>
        </w:rPr>
        <w:t>与</w:t>
      </w:r>
      <w:r w:rsidRPr="000C1905">
        <w:rPr>
          <w:rFonts w:ascii="宋体" w:hAnsi="宋体"/>
          <w:b/>
          <w:sz w:val="15"/>
          <w:szCs w:val="15"/>
        </w:rPr>
        <w:t xml:space="preserve"> 0.3 M </w:t>
      </w:r>
      <w:r w:rsidR="00D75906" w:rsidRPr="000C1905">
        <w:rPr>
          <w:rFonts w:ascii="宋体" w:hAnsi="宋体" w:hint="eastAsia"/>
          <w:b/>
          <w:sz w:val="15"/>
          <w:szCs w:val="15"/>
        </w:rPr>
        <w:t>Ca(HCO</w:t>
      </w:r>
      <w:r w:rsidR="00D75906" w:rsidRPr="000C1905">
        <w:rPr>
          <w:rFonts w:ascii="宋体" w:hAnsi="宋体" w:hint="eastAsia"/>
          <w:b/>
          <w:sz w:val="15"/>
          <w:szCs w:val="15"/>
          <w:vertAlign w:val="subscript"/>
        </w:rPr>
        <w:t>3</w:t>
      </w:r>
      <w:r w:rsidR="00D75906" w:rsidRPr="000C1905">
        <w:rPr>
          <w:rFonts w:ascii="宋体" w:hAnsi="宋体" w:hint="eastAsia"/>
          <w:b/>
          <w:sz w:val="15"/>
          <w:szCs w:val="15"/>
        </w:rPr>
        <w:t>)</w:t>
      </w:r>
      <w:r w:rsidR="00D75906" w:rsidRPr="000C1905">
        <w:rPr>
          <w:rFonts w:ascii="宋体" w:hAnsi="宋体" w:hint="eastAsia"/>
          <w:b/>
          <w:sz w:val="15"/>
          <w:szCs w:val="15"/>
          <w:vertAlign w:val="subscript"/>
        </w:rPr>
        <w:t>2</w:t>
      </w:r>
      <w:r w:rsidRPr="000C1905">
        <w:rPr>
          <w:rFonts w:ascii="宋体" w:hAnsi="宋体"/>
          <w:b/>
          <w:sz w:val="15"/>
          <w:szCs w:val="15"/>
        </w:rPr>
        <w:t xml:space="preserve"> </w:t>
      </w:r>
      <w:r w:rsidRPr="000C1905">
        <w:rPr>
          <w:rFonts w:ascii="宋体" w:hAnsi="宋体" w:hint="eastAsia"/>
          <w:b/>
          <w:sz w:val="15"/>
          <w:szCs w:val="15"/>
        </w:rPr>
        <w:t>溶液电导率（左轴）及折射率（右轴）随温度变化关系</w:t>
      </w:r>
    </w:p>
    <w:p w14:paraId="5AE80D63" w14:textId="77777777" w:rsidR="00995C68" w:rsidRPr="000C1905" w:rsidRDefault="00995C68" w:rsidP="00F909DD">
      <w:pPr>
        <w:jc w:val="center"/>
        <w:rPr>
          <w:rFonts w:ascii="宋体" w:hAnsi="宋体"/>
          <w:b/>
          <w:sz w:val="15"/>
          <w:szCs w:val="15"/>
        </w:rPr>
      </w:pPr>
    </w:p>
    <w:p w14:paraId="20BBC56B" w14:textId="3DCB3228" w:rsidR="00BC3E4A" w:rsidRPr="000C1905" w:rsidRDefault="00BC3E4A" w:rsidP="00E13729">
      <w:pPr>
        <w:rPr>
          <w:b/>
          <w:sz w:val="28"/>
          <w:szCs w:val="28"/>
        </w:rPr>
      </w:pPr>
      <w:r w:rsidRPr="000C1905">
        <w:rPr>
          <w:rFonts w:hint="eastAsia"/>
          <w:b/>
          <w:sz w:val="28"/>
          <w:szCs w:val="28"/>
        </w:rPr>
        <w:t xml:space="preserve">3 </w:t>
      </w:r>
      <w:r w:rsidRPr="000C1905">
        <w:rPr>
          <w:rFonts w:hint="eastAsia"/>
          <w:b/>
          <w:sz w:val="28"/>
          <w:szCs w:val="28"/>
        </w:rPr>
        <w:t>分析与讨论</w:t>
      </w:r>
    </w:p>
    <w:p w14:paraId="39CDED22" w14:textId="1AA39990" w:rsidR="00BC3E4A" w:rsidRPr="000C1905" w:rsidRDefault="00BC3E4A" w:rsidP="00586B93">
      <w:pPr>
        <w:ind w:firstLineChars="200" w:firstLine="420"/>
        <w:rPr>
          <w:szCs w:val="21"/>
        </w:rPr>
      </w:pPr>
      <w:r w:rsidRPr="000C1905">
        <w:rPr>
          <w:rFonts w:hint="eastAsia"/>
          <w:szCs w:val="21"/>
        </w:rPr>
        <w:t>激光诱导液体产生太赫兹辐射的微观机制源于超短脉冲与介质相互作用后形成的瞬态等离子体电流。根据瞬态光电流理论</w:t>
      </w:r>
      <w:r w:rsidR="00712DE3" w:rsidRPr="000C1905">
        <w:rPr>
          <w:szCs w:val="21"/>
          <w:vertAlign w:val="superscript"/>
        </w:rPr>
        <w:fldChar w:fldCharType="begin"/>
      </w:r>
      <w:r w:rsidR="00712DE3" w:rsidRPr="000C1905">
        <w:rPr>
          <w:szCs w:val="21"/>
          <w:vertAlign w:val="superscript"/>
        </w:rPr>
        <w:instrText xml:space="preserve"> REF _Ref196149323 \r \h </w:instrText>
      </w:r>
      <w:r w:rsidR="00712DE3" w:rsidRPr="000C1905">
        <w:rPr>
          <w:szCs w:val="21"/>
          <w:vertAlign w:val="superscript"/>
        </w:rPr>
      </w:r>
      <w:r w:rsidR="00712DE3" w:rsidRPr="000C1905">
        <w:rPr>
          <w:szCs w:val="21"/>
          <w:vertAlign w:val="superscript"/>
        </w:rPr>
        <w:fldChar w:fldCharType="separate"/>
      </w:r>
      <w:r w:rsidR="008F6340" w:rsidRPr="000C1905">
        <w:rPr>
          <w:szCs w:val="21"/>
          <w:vertAlign w:val="superscript"/>
        </w:rPr>
        <w:t>[16]</w:t>
      </w:r>
      <w:r w:rsidR="00712DE3" w:rsidRPr="000C1905">
        <w:rPr>
          <w:szCs w:val="21"/>
          <w:vertAlign w:val="superscript"/>
        </w:rPr>
        <w:fldChar w:fldCharType="end"/>
      </w:r>
      <w:r w:rsidRPr="000C1905">
        <w:rPr>
          <w:rFonts w:hint="eastAsia"/>
          <w:szCs w:val="21"/>
        </w:rPr>
        <w:t>，瞬时电流密度</w:t>
      </w:r>
      <m:oMath>
        <m:r>
          <w:rPr>
            <w:rFonts w:ascii="Cambria Math" w:hAnsi="Cambria Math"/>
            <w:szCs w:val="21"/>
          </w:rPr>
          <m:t>J(t)</m:t>
        </m:r>
      </m:oMath>
      <w:r w:rsidRPr="000C1905">
        <w:rPr>
          <w:rFonts w:hint="eastAsia"/>
          <w:szCs w:val="21"/>
        </w:rPr>
        <w:t>的时间变化率决定了所辐射出的太赫兹电场强度</w:t>
      </w:r>
      <m:oMath>
        <m:sSub>
          <m:sSubPr>
            <m:ctrlPr>
              <w:rPr>
                <w:rFonts w:ascii="Cambria Math" w:hAnsi="Cambria Math"/>
                <w:szCs w:val="21"/>
              </w:rPr>
            </m:ctrlPr>
          </m:sSubPr>
          <m:e>
            <m:r>
              <w:rPr>
                <w:rFonts w:ascii="Cambria Math" w:hAnsi="Cambria Math"/>
                <w:szCs w:val="21"/>
              </w:rPr>
              <m:t>E</m:t>
            </m:r>
          </m:e>
          <m:sub>
            <m:r>
              <m:rPr>
                <m:nor/>
              </m:rPr>
              <w:rPr>
                <w:szCs w:val="21"/>
              </w:rPr>
              <m:t>THz</m:t>
            </m:r>
          </m:sub>
        </m:sSub>
        <m:r>
          <w:rPr>
            <w:rFonts w:ascii="Cambria Math" w:hAnsi="Cambria Math"/>
            <w:szCs w:val="21"/>
          </w:rPr>
          <m:t>(t)</m:t>
        </m:r>
      </m:oMath>
      <w:r w:rsidRPr="000C1905">
        <w:rPr>
          <w:rFonts w:hint="eastAsia"/>
          <w:szCs w:val="21"/>
        </w:rPr>
        <w:t>，即：</w:t>
      </w:r>
    </w:p>
    <w:p w14:paraId="412AA54A" w14:textId="70347602" w:rsidR="00B86E20" w:rsidRPr="000C1905" w:rsidRDefault="00E97054" w:rsidP="0062778B">
      <w:pPr>
        <w:ind w:firstLineChars="200" w:firstLine="420"/>
        <w:jc w:val="center"/>
        <w:rPr>
          <w:szCs w:val="21"/>
        </w:rPr>
      </w:pPr>
      <m:oMath>
        <m:sSub>
          <m:sSubPr>
            <m:ctrlPr>
              <w:rPr>
                <w:rFonts w:ascii="Cambria Math" w:hAnsi="Cambria Math"/>
                <w:i/>
                <w:szCs w:val="21"/>
              </w:rPr>
            </m:ctrlPr>
          </m:sSubPr>
          <m:e>
            <m:r>
              <w:rPr>
                <w:rFonts w:ascii="Cambria Math" w:hAnsi="Cambria Math"/>
                <w:szCs w:val="21"/>
              </w:rPr>
              <m:t>E</m:t>
            </m:r>
          </m:e>
          <m:sub>
            <m:r>
              <w:rPr>
                <w:rFonts w:ascii="Cambria Math" w:hAnsi="Cambria Math"/>
                <w:szCs w:val="21"/>
              </w:rPr>
              <m:t>THz</m:t>
            </m:r>
          </m:sub>
        </m:sSub>
        <m:d>
          <m:dPr>
            <m:ctrlPr>
              <w:rPr>
                <w:rFonts w:ascii="Cambria Math" w:hAnsi="Cambria Math"/>
                <w:szCs w:val="21"/>
              </w:rPr>
            </m:ctrlPr>
          </m:dPr>
          <m:e>
            <m:r>
              <w:rPr>
                <w:rFonts w:ascii="Cambria Math" w:hAnsi="Cambria Math"/>
                <w:szCs w:val="21"/>
              </w:rPr>
              <m:t>t</m:t>
            </m:r>
          </m:e>
        </m:d>
        <m:r>
          <w:rPr>
            <w:rFonts w:ascii="Cambria Math" w:hAnsi="Cambria Math"/>
            <w:szCs w:val="21"/>
          </w:rPr>
          <m:t>∝</m:t>
        </m:r>
        <m:f>
          <m:fPr>
            <m:ctrlPr>
              <w:rPr>
                <w:rFonts w:ascii="Cambria Math" w:hAnsi="Cambria Math"/>
                <w:szCs w:val="21"/>
              </w:rPr>
            </m:ctrlPr>
          </m:fPr>
          <m:num>
            <m:r>
              <w:rPr>
                <w:rFonts w:ascii="Cambria Math" w:hAnsi="Cambria Math"/>
                <w:szCs w:val="21"/>
              </w:rPr>
              <m:t>dJ</m:t>
            </m:r>
            <m:d>
              <m:dPr>
                <m:ctrlPr>
                  <w:rPr>
                    <w:rFonts w:ascii="Cambria Math" w:hAnsi="Cambria Math"/>
                    <w:szCs w:val="21"/>
                  </w:rPr>
                </m:ctrlPr>
              </m:dPr>
              <m:e>
                <m:r>
                  <w:rPr>
                    <w:rFonts w:ascii="Cambria Math" w:hAnsi="Cambria Math"/>
                    <w:szCs w:val="21"/>
                  </w:rPr>
                  <m:t>t</m:t>
                </m:r>
              </m:e>
            </m:d>
          </m:num>
          <m:den>
            <m:r>
              <w:rPr>
                <w:rFonts w:ascii="Cambria Math" w:hAnsi="Cambria Math"/>
                <w:szCs w:val="21"/>
              </w:rPr>
              <m:t>dt</m:t>
            </m:r>
          </m:den>
        </m:f>
      </m:oMath>
      <w:r w:rsidR="0062778B">
        <w:rPr>
          <w:rFonts w:hint="eastAsia"/>
          <w:szCs w:val="21"/>
        </w:rPr>
        <w:t xml:space="preserve">  </w:t>
      </w:r>
      <w:r w:rsidR="0062778B">
        <w:rPr>
          <w:rFonts w:hint="eastAsia"/>
          <w:szCs w:val="21"/>
        </w:rPr>
        <w:t>（</w:t>
      </w:r>
      <w:r w:rsidR="0062778B">
        <w:rPr>
          <w:rFonts w:hint="eastAsia"/>
          <w:szCs w:val="21"/>
        </w:rPr>
        <w:t>2</w:t>
      </w:r>
      <w:r w:rsidR="0062778B">
        <w:rPr>
          <w:rFonts w:hint="eastAsia"/>
          <w:szCs w:val="21"/>
        </w:rPr>
        <w:t>）</w:t>
      </w:r>
    </w:p>
    <w:p w14:paraId="2C646854" w14:textId="5D74B2CF" w:rsidR="00B54254" w:rsidRPr="000C1905" w:rsidRDefault="00B54254" w:rsidP="00BC3E4A">
      <w:pPr>
        <w:rPr>
          <w:szCs w:val="21"/>
        </w:rPr>
      </w:pPr>
      <w:r w:rsidRPr="000C1905">
        <w:rPr>
          <w:rFonts w:hint="eastAsia"/>
          <w:szCs w:val="22"/>
          <w14:ligatures w14:val="standardContextual"/>
        </w:rPr>
        <w:t>式（</w:t>
      </w:r>
      <w:r w:rsidRPr="000C1905">
        <w:rPr>
          <w:rFonts w:hint="eastAsia"/>
          <w:szCs w:val="22"/>
          <w14:ligatures w14:val="standardContextual"/>
        </w:rPr>
        <w:t>2</w:t>
      </w:r>
      <w:r w:rsidRPr="000C1905">
        <w:rPr>
          <w:rFonts w:hint="eastAsia"/>
          <w:szCs w:val="22"/>
          <w14:ligatures w14:val="standardContextual"/>
        </w:rPr>
        <w:t>）中，</w:t>
      </w:r>
      <m:oMath>
        <m:r>
          <w:rPr>
            <w:rFonts w:ascii="Cambria Math" w:hAnsi="Cambria Math"/>
            <w:szCs w:val="22"/>
            <w14:ligatures w14:val="standardContextual"/>
          </w:rPr>
          <m:t>J</m:t>
        </m:r>
        <m:d>
          <m:dPr>
            <m:ctrlPr>
              <w:rPr>
                <w:rFonts w:ascii="Cambria Math" w:hAnsi="Cambria Math"/>
                <w:szCs w:val="22"/>
                <w14:ligatures w14:val="standardContextual"/>
              </w:rPr>
            </m:ctrlPr>
          </m:dPr>
          <m:e>
            <m:r>
              <w:rPr>
                <w:rFonts w:ascii="Cambria Math" w:hAnsi="Cambria Math"/>
                <w:szCs w:val="22"/>
                <w14:ligatures w14:val="standardContextual"/>
              </w:rPr>
              <m:t>t</m:t>
            </m:r>
          </m:e>
        </m:d>
        <m:r>
          <w:rPr>
            <w:rFonts w:ascii="Cambria Math" w:hAnsi="Cambria Math"/>
            <w:szCs w:val="22"/>
            <w14:ligatures w14:val="standardContextual"/>
          </w:rPr>
          <m:t>=</m:t>
        </m:r>
        <m:sSub>
          <m:sSubPr>
            <m:ctrlPr>
              <w:rPr>
                <w:rFonts w:ascii="Cambria Math" w:hAnsi="Cambria Math"/>
                <w:szCs w:val="22"/>
                <w14:ligatures w14:val="standardContextual"/>
              </w:rPr>
            </m:ctrlPr>
          </m:sSubPr>
          <m:e>
            <m:r>
              <w:rPr>
                <w:rFonts w:ascii="Cambria Math" w:hAnsi="Cambria Math"/>
                <w:szCs w:val="22"/>
                <w14:ligatures w14:val="standardContextual"/>
              </w:rPr>
              <m:t>n</m:t>
            </m:r>
          </m:e>
          <m:sub>
            <m:r>
              <w:rPr>
                <w:rFonts w:ascii="Cambria Math" w:hAnsi="Cambria Math"/>
                <w:szCs w:val="22"/>
                <w14:ligatures w14:val="standardContextual"/>
              </w:rPr>
              <m:t>e</m:t>
            </m:r>
          </m:sub>
        </m:sSub>
        <m:d>
          <m:dPr>
            <m:ctrlPr>
              <w:rPr>
                <w:rFonts w:ascii="Cambria Math" w:hAnsi="Cambria Math"/>
                <w:szCs w:val="22"/>
                <w14:ligatures w14:val="standardContextual"/>
              </w:rPr>
            </m:ctrlPr>
          </m:dPr>
          <m:e>
            <m:r>
              <w:rPr>
                <w:rFonts w:ascii="Cambria Math" w:hAnsi="Cambria Math"/>
                <w:szCs w:val="22"/>
                <w14:ligatures w14:val="standardContextual"/>
              </w:rPr>
              <m:t>t</m:t>
            </m:r>
          </m:e>
        </m:d>
        <m:r>
          <w:rPr>
            <w:rFonts w:ascii="Cambria Math" w:hAnsi="Cambria Math"/>
            <w:szCs w:val="22"/>
            <w14:ligatures w14:val="standardContextual"/>
          </w:rPr>
          <m:t>e</m:t>
        </m:r>
        <m:sSub>
          <m:sSubPr>
            <m:ctrlPr>
              <w:rPr>
                <w:rFonts w:ascii="Cambria Math" w:hAnsi="Cambria Math"/>
                <w:szCs w:val="22"/>
                <w14:ligatures w14:val="standardContextual"/>
              </w:rPr>
            </m:ctrlPr>
          </m:sSubPr>
          <m:e>
            <m:r>
              <w:rPr>
                <w:rFonts w:ascii="Cambria Math" w:hAnsi="Cambria Math"/>
                <w:szCs w:val="22"/>
                <w14:ligatures w14:val="standardContextual"/>
              </w:rPr>
              <m:t>v</m:t>
            </m:r>
          </m:e>
          <m:sub>
            <m:r>
              <w:rPr>
                <w:rFonts w:ascii="Cambria Math" w:hAnsi="Cambria Math"/>
                <w:szCs w:val="22"/>
                <w14:ligatures w14:val="standardContextual"/>
              </w:rPr>
              <m:t>e</m:t>
            </m:r>
          </m:sub>
        </m:sSub>
        <m:d>
          <m:dPr>
            <m:ctrlPr>
              <w:rPr>
                <w:rFonts w:ascii="Cambria Math" w:hAnsi="Cambria Math"/>
                <w:szCs w:val="22"/>
                <w14:ligatures w14:val="standardContextual"/>
              </w:rPr>
            </m:ctrlPr>
          </m:dPr>
          <m:e>
            <m:r>
              <w:rPr>
                <w:rFonts w:ascii="Cambria Math" w:hAnsi="Cambria Math"/>
                <w:szCs w:val="22"/>
                <w14:ligatures w14:val="standardContextual"/>
              </w:rPr>
              <m:t>t</m:t>
            </m:r>
          </m:e>
        </m:d>
      </m:oMath>
      <w:r w:rsidR="001C7401" w:rsidRPr="000C1905">
        <w:rPr>
          <w:rFonts w:hint="eastAsia"/>
          <w:szCs w:val="22"/>
          <w14:ligatures w14:val="standardContextual"/>
        </w:rPr>
        <w:t>，</w:t>
      </w:r>
      <m:oMath>
        <m:sSub>
          <m:sSubPr>
            <m:ctrlPr>
              <w:rPr>
                <w:rFonts w:ascii="Cambria Math" w:hAnsi="Cambria Math"/>
                <w:szCs w:val="22"/>
                <w14:ligatures w14:val="standardContextual"/>
              </w:rPr>
            </m:ctrlPr>
          </m:sSubPr>
          <m:e>
            <m:r>
              <w:rPr>
                <w:rFonts w:ascii="Cambria Math" w:hAnsi="Cambria Math"/>
                <w:szCs w:val="22"/>
                <w14:ligatures w14:val="standardContextual"/>
              </w:rPr>
              <m:t>n</m:t>
            </m:r>
          </m:e>
          <m:sub>
            <m:r>
              <w:rPr>
                <w:rFonts w:ascii="Cambria Math" w:hAnsi="Cambria Math"/>
                <w:szCs w:val="22"/>
                <w14:ligatures w14:val="standardContextual"/>
              </w:rPr>
              <m:t>e</m:t>
            </m:r>
          </m:sub>
        </m:sSub>
        <m:d>
          <m:dPr>
            <m:ctrlPr>
              <w:rPr>
                <w:rFonts w:ascii="Cambria Math" w:hAnsi="Cambria Math"/>
                <w:szCs w:val="22"/>
                <w14:ligatures w14:val="standardContextual"/>
              </w:rPr>
            </m:ctrlPr>
          </m:dPr>
          <m:e>
            <m:r>
              <w:rPr>
                <w:rFonts w:ascii="Cambria Math" w:hAnsi="Cambria Math"/>
                <w:szCs w:val="22"/>
                <w14:ligatures w14:val="standardContextual"/>
              </w:rPr>
              <m:t>t</m:t>
            </m:r>
          </m:e>
        </m:d>
      </m:oMath>
      <w:r w:rsidR="00BC3E4A" w:rsidRPr="000C1905">
        <w:rPr>
          <w:rFonts w:hint="eastAsia"/>
          <w:szCs w:val="21"/>
        </w:rPr>
        <w:t>为自由电子密度，</w:t>
      </w:r>
      <m:oMath>
        <m:r>
          <w:rPr>
            <w:rFonts w:ascii="Cambria Math" w:hAnsi="Cambria Math"/>
            <w:szCs w:val="22"/>
            <w14:ligatures w14:val="standardContextual"/>
          </w:rPr>
          <m:t>e</m:t>
        </m:r>
      </m:oMath>
      <w:r w:rsidR="00BC3E4A" w:rsidRPr="000C1905">
        <w:rPr>
          <w:rFonts w:hint="eastAsia"/>
          <w:szCs w:val="21"/>
        </w:rPr>
        <w:t>为电子电荷，</w:t>
      </w:r>
      <m:oMath>
        <m:sSub>
          <m:sSubPr>
            <m:ctrlPr>
              <w:rPr>
                <w:rFonts w:ascii="Cambria Math" w:hAnsi="Cambria Math"/>
                <w:szCs w:val="22"/>
                <w14:ligatures w14:val="standardContextual"/>
              </w:rPr>
            </m:ctrlPr>
          </m:sSubPr>
          <m:e>
            <m:r>
              <w:rPr>
                <w:rFonts w:ascii="Cambria Math" w:hAnsi="Cambria Math"/>
                <w:szCs w:val="22"/>
                <w14:ligatures w14:val="standardContextual"/>
              </w:rPr>
              <m:t>v</m:t>
            </m:r>
          </m:e>
          <m:sub>
            <m:r>
              <w:rPr>
                <w:rFonts w:ascii="Cambria Math" w:hAnsi="Cambria Math"/>
                <w:szCs w:val="22"/>
                <w14:ligatures w14:val="standardContextual"/>
              </w:rPr>
              <m:t>e</m:t>
            </m:r>
          </m:sub>
        </m:sSub>
        <m:d>
          <m:dPr>
            <m:ctrlPr>
              <w:rPr>
                <w:rFonts w:ascii="Cambria Math" w:hAnsi="Cambria Math"/>
                <w:szCs w:val="22"/>
                <w14:ligatures w14:val="standardContextual"/>
              </w:rPr>
            </m:ctrlPr>
          </m:dPr>
          <m:e>
            <m:r>
              <w:rPr>
                <w:rFonts w:ascii="Cambria Math" w:hAnsi="Cambria Math"/>
                <w:szCs w:val="22"/>
                <w14:ligatures w14:val="standardContextual"/>
              </w:rPr>
              <m:t>t</m:t>
            </m:r>
          </m:e>
        </m:d>
      </m:oMath>
      <w:r w:rsidR="00BC3E4A" w:rsidRPr="000C1905">
        <w:rPr>
          <w:rFonts w:hint="eastAsia"/>
          <w:szCs w:val="21"/>
        </w:rPr>
        <w:t>为电子平均速度。由于飞秒激光在水中的作用时间极短，自由电子可在皮秒量级甚至更短的时间内完成加</w:t>
      </w:r>
      <w:r w:rsidR="00BC3E4A" w:rsidRPr="000C1905">
        <w:rPr>
          <w:rFonts w:hint="eastAsia"/>
          <w:szCs w:val="21"/>
        </w:rPr>
        <w:lastRenderedPageBreak/>
        <w:t>速和碰撞弛豫，从而在太赫兹频段产生强烈辐射。当溶液中引入离子后，自由电子的生成、散射及复合过程都会受到额外的调控。</w:t>
      </w:r>
      <w:r w:rsidRPr="000C1905">
        <w:rPr>
          <w:rFonts w:hint="eastAsia"/>
          <w:szCs w:val="21"/>
        </w:rPr>
        <w:t>将电子经典运动方程</w:t>
      </w:r>
      <m:oMath>
        <m:r>
          <w:rPr>
            <w:rFonts w:ascii="Cambria Math" w:hAnsi="Cambria Math"/>
            <w:szCs w:val="21"/>
          </w:rPr>
          <m:t>m</m:t>
        </m:r>
        <m:acc>
          <m:accPr>
            <m:chr m:val="̇"/>
            <m:ctrlPr>
              <w:rPr>
                <w:rFonts w:ascii="Cambria Math" w:hAnsi="Cambria Math"/>
                <w:szCs w:val="21"/>
              </w:rPr>
            </m:ctrlPr>
          </m:accPr>
          <m:e>
            <m:r>
              <w:rPr>
                <w:rFonts w:ascii="Cambria Math" w:hAnsi="Cambria Math"/>
                <w:szCs w:val="21"/>
              </w:rPr>
              <m:t>v</m:t>
            </m:r>
          </m:e>
        </m:acc>
        <m:r>
          <w:rPr>
            <w:rFonts w:ascii="Cambria Math" w:hAnsi="Cambria Math"/>
            <w:szCs w:val="21"/>
          </w:rPr>
          <m:t>+mv/τ=-e</m:t>
        </m:r>
        <m:sSub>
          <m:sSubPr>
            <m:ctrlPr>
              <w:rPr>
                <w:rFonts w:ascii="Cambria Math" w:hAnsi="Cambria Math"/>
                <w:szCs w:val="21"/>
              </w:rPr>
            </m:ctrlPr>
          </m:sSubPr>
          <m:e>
            <m:r>
              <w:rPr>
                <w:rFonts w:ascii="Cambria Math" w:hAnsi="Cambria Math"/>
                <w:szCs w:val="21"/>
              </w:rPr>
              <m:t>E</m:t>
            </m:r>
          </m:e>
          <m:sub>
            <m:r>
              <w:rPr>
                <w:rFonts w:ascii="Cambria Math" w:hAnsi="Cambria Math"/>
                <w:szCs w:val="21"/>
              </w:rPr>
              <m:t>L</m:t>
            </m:r>
          </m:sub>
        </m:sSub>
        <m:r>
          <w:rPr>
            <w:rFonts w:ascii="Cambria Math" w:hAnsi="Cambria Math"/>
            <w:szCs w:val="21"/>
          </w:rPr>
          <m:t>(t)</m:t>
        </m:r>
      </m:oMath>
      <w:r w:rsidRPr="000C1905">
        <w:rPr>
          <w:rFonts w:hint="eastAsia"/>
          <w:szCs w:val="21"/>
        </w:rPr>
        <w:t>代入式（</w:t>
      </w:r>
      <w:r w:rsidRPr="000C1905">
        <w:rPr>
          <w:rFonts w:hint="eastAsia"/>
          <w:szCs w:val="21"/>
        </w:rPr>
        <w:t>2</w:t>
      </w:r>
      <w:r w:rsidRPr="000C1905">
        <w:rPr>
          <w:rFonts w:hint="eastAsia"/>
          <w:szCs w:val="21"/>
        </w:rPr>
        <w:t>）可得</w:t>
      </w:r>
    </w:p>
    <w:p w14:paraId="56725297" w14:textId="41AB1E26" w:rsidR="00B54254" w:rsidRPr="000C1905" w:rsidRDefault="00B54254" w:rsidP="00DD28EA">
      <w:pPr>
        <w:pStyle w:val="MTDisplayEquation"/>
      </w:pPr>
      <w:r w:rsidRPr="000C1905">
        <w:tab/>
      </w:r>
      <m:oMath>
        <m:sSub>
          <m:sSubPr>
            <m:ctrlPr>
              <w:rPr>
                <w:rFonts w:ascii="Cambria Math" w:hAnsi="Cambria Math"/>
              </w:rPr>
            </m:ctrlPr>
          </m:sSubPr>
          <m:e>
            <m:r>
              <w:rPr>
                <w:rFonts w:ascii="Cambria Math" w:hAnsi="Cambria Math"/>
              </w:rPr>
              <m:t>E</m:t>
            </m:r>
          </m:e>
          <m:sub>
            <m:r>
              <w:rPr>
                <w:rFonts w:ascii="Cambria Math" w:hAnsi="Cambria Math"/>
              </w:rPr>
              <m:t>THz</m:t>
            </m:r>
          </m:sub>
        </m:sSub>
        <m:r>
          <w:rPr>
            <w:rFonts w:ascii="Cambria Math" w:hAnsi="Cambria Math"/>
          </w:rPr>
          <m:t>(ω)∝</m:t>
        </m:r>
        <m:f>
          <m:fPr>
            <m:ctrlPr>
              <w:rPr>
                <w:rFonts w:ascii="Cambria Math" w:hAnsi="Cambria Math"/>
              </w:rPr>
            </m:ctrlPr>
          </m:fPr>
          <m:num>
            <m:r>
              <w:rPr>
                <w:rFonts w:ascii="Cambria Math" w:hAnsi="Cambria Math"/>
              </w:rPr>
              <m:t>enτ</m:t>
            </m:r>
          </m:num>
          <m:den>
            <m:r>
              <w:rPr>
                <w:rFonts w:ascii="Cambria Math" w:hAnsi="Cambria Math"/>
              </w:rPr>
              <m:t>m</m:t>
            </m:r>
          </m:den>
        </m:f>
        <m:f>
          <m:fPr>
            <m:ctrlPr>
              <w:rPr>
                <w:rFonts w:ascii="Cambria Math" w:hAnsi="Cambria Math"/>
              </w:rPr>
            </m:ctrlPr>
          </m:fPr>
          <m:num>
            <m:r>
              <w:rPr>
                <w:rFonts w:ascii="Cambria Math" w:hAnsi="Cambria Math"/>
              </w:rPr>
              <m:t>ω</m:t>
            </m:r>
          </m:num>
          <m:den>
            <m:r>
              <w:rPr>
                <w:rFonts w:ascii="Cambria Math" w:hAnsi="Cambria Math"/>
              </w:rPr>
              <m:t>1+</m:t>
            </m:r>
            <m:sSup>
              <m:sSupPr>
                <m:ctrlPr>
                  <w:rPr>
                    <w:rFonts w:ascii="Cambria Math" w:hAnsi="Cambria Math"/>
                  </w:rPr>
                </m:ctrlPr>
              </m:sSupPr>
              <m:e>
                <m:r>
                  <w:rPr>
                    <w:rFonts w:ascii="Cambria Math" w:hAnsi="Cambria Math"/>
                  </w:rPr>
                  <m:t>ω</m:t>
                </m:r>
              </m:e>
              <m:sup>
                <m:r>
                  <w:rPr>
                    <w:rFonts w:ascii="Cambria Math" w:hAnsi="Cambria Math"/>
                  </w:rPr>
                  <m:t>2</m:t>
                </m:r>
              </m:sup>
            </m:sSup>
            <m:sSup>
              <m:sSupPr>
                <m:ctrlPr>
                  <w:rPr>
                    <w:rFonts w:ascii="Cambria Math" w:hAnsi="Cambria Math"/>
                  </w:rPr>
                </m:ctrlPr>
              </m:sSupPr>
              <m:e>
                <m:r>
                  <w:rPr>
                    <w:rFonts w:ascii="Cambria Math" w:hAnsi="Cambria Math"/>
                  </w:rPr>
                  <m:t>τ</m:t>
                </m:r>
              </m:e>
              <m:sup>
                <m:r>
                  <w:rPr>
                    <w:rFonts w:ascii="Cambria Math" w:hAnsi="Cambria Math"/>
                  </w:rPr>
                  <m:t>2</m:t>
                </m:r>
              </m:sup>
            </m:sSup>
          </m:den>
        </m:f>
        <m:sSub>
          <m:sSubPr>
            <m:ctrlPr>
              <w:rPr>
                <w:rFonts w:ascii="Cambria Math" w:hAnsi="Cambria Math"/>
              </w:rPr>
            </m:ctrlPr>
          </m:sSubPr>
          <m:e>
            <m:r>
              <w:rPr>
                <w:rFonts w:ascii="Cambria Math" w:hAnsi="Cambria Math"/>
              </w:rPr>
              <m:t>E</m:t>
            </m:r>
          </m:e>
          <m:sub>
            <m:r>
              <w:rPr>
                <w:rFonts w:ascii="Cambria Math" w:hAnsi="Cambria Math"/>
              </w:rPr>
              <m:t>L</m:t>
            </m:r>
          </m:sub>
        </m:sSub>
        <m:r>
          <w:rPr>
            <w:rFonts w:ascii="Cambria Math" w:hAnsi="Cambria Math"/>
          </w:rPr>
          <m:t>(ω)</m:t>
        </m:r>
      </m:oMath>
      <w:r w:rsidR="0062778B">
        <w:rPr>
          <w:rFonts w:hint="eastAsia"/>
        </w:rPr>
        <w:t xml:space="preserve">   </w:t>
      </w:r>
      <w:r w:rsidR="0062778B">
        <w:rPr>
          <w:rFonts w:hint="eastAsia"/>
        </w:rPr>
        <w:t>（</w:t>
      </w:r>
      <w:r w:rsidR="0062778B">
        <w:rPr>
          <w:rFonts w:hint="eastAsia"/>
        </w:rPr>
        <w:t>3</w:t>
      </w:r>
      <w:r w:rsidR="0062778B">
        <w:rPr>
          <w:rFonts w:hint="eastAsia"/>
        </w:rPr>
        <w:t>）</w:t>
      </w:r>
    </w:p>
    <w:p w14:paraId="6FADD60D" w14:textId="6AF5258B" w:rsidR="00DD28EA" w:rsidRPr="000C1905" w:rsidRDefault="00B54254" w:rsidP="00845F71">
      <w:pPr>
        <w:rPr>
          <w:rStyle w:val="MTConvertedEquation"/>
          <w:color w:val="auto"/>
        </w:rPr>
      </w:pPr>
      <w:r w:rsidRPr="000C1905">
        <w:rPr>
          <w:rFonts w:hint="eastAsia"/>
          <w:szCs w:val="21"/>
        </w:rPr>
        <w:t>式（</w:t>
      </w:r>
      <w:r w:rsidRPr="000C1905">
        <w:rPr>
          <w:rFonts w:hint="eastAsia"/>
          <w:szCs w:val="21"/>
        </w:rPr>
        <w:t>3</w:t>
      </w:r>
      <w:r w:rsidRPr="000C1905">
        <w:rPr>
          <w:rFonts w:hint="eastAsia"/>
          <w:szCs w:val="21"/>
        </w:rPr>
        <w:t>）中，</w:t>
      </w:r>
      <m:oMath>
        <m:r>
          <w:rPr>
            <w:rFonts w:ascii="Cambria Math" w:hAnsi="Cambria Math"/>
            <w:szCs w:val="21"/>
          </w:rPr>
          <m:t>m</m:t>
        </m:r>
      </m:oMath>
      <w:r w:rsidRPr="000C1905">
        <w:rPr>
          <w:rFonts w:hint="eastAsia"/>
          <w:szCs w:val="21"/>
        </w:rPr>
        <w:t>为电子有效质量，</w:t>
      </w:r>
      <m:oMath>
        <m:r>
          <w:rPr>
            <w:rFonts w:ascii="Cambria Math" w:hAnsi="Cambria Math"/>
            <w:szCs w:val="21"/>
          </w:rPr>
          <m:t>τ</m:t>
        </m:r>
      </m:oMath>
      <w:r w:rsidRPr="000C1905">
        <w:rPr>
          <w:rFonts w:hint="eastAsia"/>
          <w:szCs w:val="21"/>
        </w:rPr>
        <w:t>为</w:t>
      </w:r>
      <w:r w:rsidR="00140095" w:rsidRPr="000C1905">
        <w:rPr>
          <w:rFonts w:hint="eastAsia"/>
          <w:szCs w:val="21"/>
        </w:rPr>
        <w:t>载流子</w:t>
      </w:r>
      <w:r w:rsidRPr="000C1905">
        <w:rPr>
          <w:rFonts w:hint="eastAsia"/>
          <w:szCs w:val="21"/>
        </w:rPr>
        <w:t>平均</w:t>
      </w:r>
      <w:r w:rsidR="00140095" w:rsidRPr="000C1905">
        <w:rPr>
          <w:rFonts w:hint="eastAsia"/>
          <w:szCs w:val="21"/>
        </w:rPr>
        <w:t>碰撞</w:t>
      </w:r>
      <w:r w:rsidRPr="000C1905">
        <w:rPr>
          <w:rFonts w:hint="eastAsia"/>
          <w:szCs w:val="21"/>
        </w:rPr>
        <w:t>散射时间，</w:t>
      </w:r>
      <m:oMath>
        <m:sSub>
          <m:sSubPr>
            <m:ctrlPr>
              <w:rPr>
                <w:rFonts w:ascii="Cambria Math" w:hAnsi="Cambria Math"/>
                <w:szCs w:val="21"/>
              </w:rPr>
            </m:ctrlPr>
          </m:sSubPr>
          <m:e>
            <m:r>
              <w:rPr>
                <w:rFonts w:ascii="Cambria Math" w:hAnsi="Cambria Math"/>
                <w:szCs w:val="21"/>
              </w:rPr>
              <m:t>E</m:t>
            </m:r>
          </m:e>
          <m:sub>
            <m:r>
              <w:rPr>
                <w:rFonts w:ascii="Cambria Math" w:hAnsi="Cambria Math"/>
                <w:szCs w:val="21"/>
              </w:rPr>
              <m:t>L</m:t>
            </m:r>
          </m:sub>
        </m:sSub>
        <m:r>
          <w:rPr>
            <w:rFonts w:ascii="Cambria Math" w:hAnsi="Cambria Math"/>
            <w:szCs w:val="21"/>
          </w:rPr>
          <m:t>(ω)</m:t>
        </m:r>
      </m:oMath>
      <w:r w:rsidRPr="000C1905">
        <w:rPr>
          <w:szCs w:val="21"/>
        </w:rPr>
        <w:t>为泵浦场谱振幅</w:t>
      </w:r>
      <w:r w:rsidRPr="000C1905">
        <w:rPr>
          <w:rFonts w:hint="eastAsia"/>
          <w:szCs w:val="21"/>
        </w:rPr>
        <w:t>。</w:t>
      </w:r>
      <m:oMath>
        <m:r>
          <w:rPr>
            <w:rFonts w:ascii="Cambria Math" w:hAnsi="Cambria Math"/>
            <w:szCs w:val="21"/>
          </w:rPr>
          <m:t>nτ</m:t>
        </m:r>
      </m:oMath>
    </w:p>
    <w:p w14:paraId="27480750" w14:textId="70D59D85" w:rsidR="00BC3E4A" w:rsidRPr="000C1905" w:rsidRDefault="00B54254" w:rsidP="00845F71">
      <w:pPr>
        <w:rPr>
          <w:szCs w:val="21"/>
        </w:rPr>
      </w:pPr>
      <w:r w:rsidRPr="000C1905">
        <w:rPr>
          <w:rFonts w:hint="eastAsia"/>
          <w:szCs w:val="21"/>
        </w:rPr>
        <w:t>决定可辐射电流的有效强度，而</w:t>
      </w:r>
      <m:oMath>
        <m:r>
          <w:rPr>
            <w:rFonts w:ascii="Cambria Math" w:hAnsi="Cambria Math"/>
            <w:szCs w:val="21"/>
          </w:rPr>
          <m:t>τ</m:t>
        </m:r>
      </m:oMath>
      <w:r w:rsidRPr="000C1905">
        <w:rPr>
          <w:rFonts w:hint="eastAsia"/>
          <w:szCs w:val="21"/>
        </w:rPr>
        <w:t>又与电导率</w:t>
      </w:r>
      <w:r w:rsidR="00140095" w:rsidRPr="000C1905">
        <w:rPr>
          <w:rFonts w:hint="eastAsia"/>
          <w:szCs w:val="21"/>
        </w:rPr>
        <w:t>反向耦合，由</w:t>
      </w:r>
      <w:r w:rsidR="00BC3E4A" w:rsidRPr="000C1905">
        <w:rPr>
          <w:rFonts w:hint="eastAsia"/>
          <w:szCs w:val="21"/>
        </w:rPr>
        <w:t>经典</w:t>
      </w:r>
      <w:r w:rsidR="00BC3E4A" w:rsidRPr="000C1905">
        <w:rPr>
          <w:rFonts w:hint="eastAsia"/>
          <w:szCs w:val="21"/>
        </w:rPr>
        <w:t>Drude</w:t>
      </w:r>
      <w:r w:rsidR="00BC3E4A" w:rsidRPr="000C1905">
        <w:rPr>
          <w:rFonts w:hint="eastAsia"/>
          <w:szCs w:val="21"/>
        </w:rPr>
        <w:t>模型</w:t>
      </w:r>
      <w:r w:rsidR="00712DE3" w:rsidRPr="000C1905">
        <w:rPr>
          <w:szCs w:val="21"/>
          <w:vertAlign w:val="superscript"/>
        </w:rPr>
        <w:fldChar w:fldCharType="begin"/>
      </w:r>
      <w:r w:rsidR="00712DE3" w:rsidRPr="000C1905">
        <w:rPr>
          <w:szCs w:val="21"/>
          <w:vertAlign w:val="superscript"/>
        </w:rPr>
        <w:instrText xml:space="preserve"> REF _Ref196149334 \r \h </w:instrText>
      </w:r>
      <w:r w:rsidR="00712DE3" w:rsidRPr="000C1905">
        <w:rPr>
          <w:szCs w:val="21"/>
          <w:vertAlign w:val="superscript"/>
        </w:rPr>
      </w:r>
      <w:r w:rsidR="00712DE3" w:rsidRPr="000C1905">
        <w:rPr>
          <w:szCs w:val="21"/>
          <w:vertAlign w:val="superscript"/>
        </w:rPr>
        <w:fldChar w:fldCharType="separate"/>
      </w:r>
      <w:r w:rsidR="008F6340" w:rsidRPr="000C1905">
        <w:rPr>
          <w:szCs w:val="21"/>
          <w:vertAlign w:val="superscript"/>
        </w:rPr>
        <w:t>[17]</w:t>
      </w:r>
      <w:r w:rsidR="00712DE3" w:rsidRPr="000C1905">
        <w:rPr>
          <w:szCs w:val="21"/>
          <w:vertAlign w:val="superscript"/>
        </w:rPr>
        <w:fldChar w:fldCharType="end"/>
      </w:r>
      <w:r w:rsidR="0062778B">
        <w:rPr>
          <w:rFonts w:hint="eastAsia"/>
          <w:szCs w:val="21"/>
        </w:rPr>
        <w:t>可写为</w:t>
      </w:r>
    </w:p>
    <w:p w14:paraId="75395547" w14:textId="3818EB0F" w:rsidR="00845F71" w:rsidRPr="000C1905" w:rsidRDefault="00845F71" w:rsidP="0062778B">
      <w:pPr>
        <w:jc w:val="center"/>
        <w:rPr>
          <w:szCs w:val="21"/>
        </w:rPr>
      </w:pPr>
      <m:oMath>
        <m:r>
          <w:rPr>
            <w:rFonts w:ascii="Cambria Math" w:hAnsi="Cambria Math"/>
            <w:szCs w:val="21"/>
          </w:rPr>
          <m:t>σ(ω)=</m:t>
        </m:r>
        <m:f>
          <m:fPr>
            <m:ctrlPr>
              <w:rPr>
                <w:rFonts w:ascii="Cambria Math" w:hAnsi="Cambria Math"/>
                <w:szCs w:val="21"/>
              </w:rPr>
            </m:ctrlPr>
          </m:fPr>
          <m:num>
            <m:r>
              <w:rPr>
                <w:rFonts w:ascii="Cambria Math" w:hAnsi="Cambria Math"/>
                <w:szCs w:val="21"/>
              </w:rPr>
              <m:t>n</m:t>
            </m:r>
            <m:sSup>
              <m:sSupPr>
                <m:ctrlPr>
                  <w:rPr>
                    <w:rFonts w:ascii="Cambria Math" w:hAnsi="Cambria Math"/>
                    <w:szCs w:val="21"/>
                  </w:rPr>
                </m:ctrlPr>
              </m:sSupPr>
              <m:e>
                <m:r>
                  <w:rPr>
                    <w:rFonts w:ascii="Cambria Math" w:hAnsi="Cambria Math"/>
                    <w:szCs w:val="21"/>
                  </w:rPr>
                  <m:t>e</m:t>
                </m:r>
              </m:e>
              <m:sup>
                <m:r>
                  <w:rPr>
                    <w:rFonts w:ascii="Cambria Math" w:hAnsi="Cambria Math"/>
                    <w:szCs w:val="21"/>
                  </w:rPr>
                  <m:t>2</m:t>
                </m:r>
              </m:sup>
            </m:sSup>
            <m:r>
              <w:rPr>
                <w:rFonts w:ascii="Cambria Math" w:hAnsi="Cambria Math"/>
                <w:szCs w:val="21"/>
              </w:rPr>
              <m:t>τ</m:t>
            </m:r>
          </m:num>
          <m:den>
            <m:r>
              <w:rPr>
                <w:rFonts w:ascii="Cambria Math" w:hAnsi="Cambria Math"/>
                <w:szCs w:val="21"/>
              </w:rPr>
              <m:t>m</m:t>
            </m:r>
            <m:d>
              <m:dPr>
                <m:ctrlPr>
                  <w:rPr>
                    <w:rFonts w:ascii="Cambria Math" w:hAnsi="Cambria Math"/>
                    <w:szCs w:val="21"/>
                  </w:rPr>
                </m:ctrlPr>
              </m:dPr>
              <m:e>
                <m:r>
                  <w:rPr>
                    <w:rFonts w:ascii="Cambria Math" w:hAnsi="Cambria Math"/>
                    <w:szCs w:val="21"/>
                  </w:rPr>
                  <m:t>1-</m:t>
                </m:r>
                <m:r>
                  <m:rPr>
                    <m:sty m:val="p"/>
                  </m:rPr>
                  <w:rPr>
                    <w:rFonts w:ascii="Cambria Math" w:hAnsi="Cambria Math"/>
                    <w:szCs w:val="21"/>
                  </w:rPr>
                  <m:t>i</m:t>
                </m:r>
                <m:r>
                  <w:rPr>
                    <w:rFonts w:ascii="Cambria Math" w:hAnsi="Cambria Math"/>
                    <w:szCs w:val="21"/>
                  </w:rPr>
                  <m:t>ωτ</m:t>
                </m:r>
              </m:e>
            </m:d>
          </m:den>
        </m:f>
      </m:oMath>
      <w:r w:rsidR="0062778B">
        <w:rPr>
          <w:rFonts w:hint="eastAsia"/>
          <w:szCs w:val="21"/>
        </w:rPr>
        <w:t xml:space="preserve">    </w:t>
      </w:r>
      <w:r w:rsidR="0062778B">
        <w:rPr>
          <w:rFonts w:hint="eastAsia"/>
          <w:szCs w:val="21"/>
        </w:rPr>
        <w:t>（</w:t>
      </w:r>
      <w:r w:rsidR="0062778B">
        <w:rPr>
          <w:rFonts w:hint="eastAsia"/>
          <w:szCs w:val="21"/>
        </w:rPr>
        <w:t>4</w:t>
      </w:r>
      <w:r w:rsidR="0062778B">
        <w:rPr>
          <w:rFonts w:hint="eastAsia"/>
          <w:szCs w:val="21"/>
        </w:rPr>
        <w:t>）</w:t>
      </w:r>
    </w:p>
    <w:p w14:paraId="69F70DB2" w14:textId="2F3AD679" w:rsidR="00BC3E4A" w:rsidRPr="000C1905" w:rsidRDefault="00A458B7" w:rsidP="0062778B">
      <w:pPr>
        <w:ind w:firstLine="420"/>
        <w:rPr>
          <w:szCs w:val="21"/>
        </w:rPr>
      </w:pPr>
      <w:r w:rsidRPr="000C1905">
        <w:rPr>
          <w:rFonts w:hint="eastAsia"/>
          <w:szCs w:val="21"/>
        </w:rPr>
        <w:t>该模型描述了自由载流子对高频电场的响应行为，碰撞时间</w:t>
      </w:r>
      <m:oMath>
        <m:r>
          <w:rPr>
            <w:rFonts w:ascii="Cambria Math" w:hAnsi="Cambria Math"/>
            <w:szCs w:val="21"/>
          </w:rPr>
          <m:t>τ</m:t>
        </m:r>
      </m:oMath>
      <w:r w:rsidRPr="000C1905">
        <w:rPr>
          <w:rFonts w:hint="eastAsia"/>
          <w:szCs w:val="21"/>
        </w:rPr>
        <w:t>越小（即电子碰撞越频繁），介质对高频场的电导响应就越弱，导致高频电流振荡幅度受限。</w:t>
      </w:r>
      <w:r w:rsidR="0062778B">
        <w:rPr>
          <w:rFonts w:hint="eastAsia"/>
          <w:szCs w:val="21"/>
        </w:rPr>
        <w:t>具体而</w:t>
      </w:r>
      <w:r w:rsidR="0062778B">
        <w:rPr>
          <w:szCs w:val="21"/>
        </w:rPr>
        <w:t>言</w:t>
      </w:r>
      <w:r w:rsidRPr="000C1905">
        <w:rPr>
          <w:rFonts w:hint="eastAsia"/>
          <w:szCs w:val="21"/>
        </w:rPr>
        <w:t>，虽然从静态角度看离子浓度升高会提高溶液的宏观电导率，但在飞秒强场下碰撞频率增大反而降低了太赫兹瞬态电流的振荡强度。</w:t>
      </w:r>
    </w:p>
    <w:p w14:paraId="4646F6D9" w14:textId="6AC2F064" w:rsidR="00140095" w:rsidRPr="000C1905" w:rsidRDefault="00140095" w:rsidP="00845F71">
      <w:pPr>
        <w:ind w:firstLineChars="200" w:firstLine="420"/>
        <w:rPr>
          <w:szCs w:val="21"/>
        </w:rPr>
      </w:pPr>
      <w:r w:rsidRPr="000C1905">
        <w:rPr>
          <w:szCs w:val="21"/>
        </w:rPr>
        <w:t xml:space="preserve">NaCl </w:t>
      </w:r>
      <w:r w:rsidRPr="000C1905">
        <w:rPr>
          <w:rFonts w:hint="eastAsia"/>
          <w:szCs w:val="21"/>
        </w:rPr>
        <w:t>溶液在</w:t>
      </w:r>
      <w:r w:rsidRPr="000C1905">
        <w:rPr>
          <w:szCs w:val="21"/>
        </w:rPr>
        <w:t xml:space="preserve"> 0.1–0.6 </w:t>
      </w:r>
      <w:r w:rsidRPr="000C1905">
        <w:rPr>
          <w:rFonts w:hint="eastAsia"/>
          <w:szCs w:val="21"/>
        </w:rPr>
        <w:t>M</w:t>
      </w:r>
      <w:r w:rsidRPr="000C1905">
        <w:rPr>
          <w:rFonts w:hint="eastAsia"/>
          <w:szCs w:val="21"/>
        </w:rPr>
        <w:t>范围使</w:t>
      </w:r>
      <m:oMath>
        <m:r>
          <w:rPr>
            <w:rFonts w:ascii="Cambria Math" w:hAnsi="Cambria Math"/>
            <w:szCs w:val="21"/>
          </w:rPr>
          <m:t>n</m:t>
        </m:r>
      </m:oMath>
      <w:r w:rsidRPr="000C1905">
        <w:rPr>
          <w:rFonts w:hint="eastAsia"/>
          <w:szCs w:val="21"/>
        </w:rPr>
        <w:t>增大且</w:t>
      </w:r>
      <m:oMath>
        <m:r>
          <w:rPr>
            <w:rFonts w:ascii="Cambria Math" w:hAnsi="Cambria Math"/>
            <w:szCs w:val="21"/>
          </w:rPr>
          <m:t>τ</m:t>
        </m:r>
      </m:oMath>
      <w:r w:rsidRPr="000C1905">
        <w:rPr>
          <w:rFonts w:hint="eastAsia"/>
          <w:szCs w:val="21"/>
        </w:rPr>
        <w:t>下降有限，因此</w:t>
      </w:r>
      <m:oMath>
        <m:r>
          <w:rPr>
            <w:rFonts w:ascii="Cambria Math" w:hAnsi="Cambria Math"/>
            <w:szCs w:val="21"/>
          </w:rPr>
          <m:t>nτ</m:t>
        </m:r>
      </m:oMath>
      <w:r w:rsidRPr="000C1905">
        <w:rPr>
          <w:rFonts w:hint="eastAsia"/>
          <w:szCs w:val="21"/>
        </w:rPr>
        <w:t>几乎按浓度线性放大；</w:t>
      </w:r>
      <w:r w:rsidR="00D75906" w:rsidRPr="000C1905">
        <w:rPr>
          <w:rFonts w:hint="eastAsia"/>
          <w:szCs w:val="21"/>
        </w:rPr>
        <w:t>Ca(HCO</w:t>
      </w:r>
      <w:r w:rsidR="00D75906" w:rsidRPr="000C1905">
        <w:rPr>
          <w:rFonts w:hint="eastAsia"/>
          <w:szCs w:val="21"/>
          <w:vertAlign w:val="subscript"/>
        </w:rPr>
        <w:t>3</w:t>
      </w:r>
      <w:r w:rsidR="00D75906" w:rsidRPr="000C1905">
        <w:rPr>
          <w:rFonts w:hint="eastAsia"/>
          <w:szCs w:val="21"/>
        </w:rPr>
        <w:t>)</w:t>
      </w:r>
      <w:r w:rsidR="00D75906" w:rsidRPr="000C1905">
        <w:rPr>
          <w:rFonts w:hint="eastAsia"/>
          <w:szCs w:val="21"/>
          <w:vertAlign w:val="subscript"/>
        </w:rPr>
        <w:t>2</w:t>
      </w:r>
      <w:r w:rsidRPr="000C1905">
        <w:rPr>
          <w:szCs w:val="21"/>
        </w:rPr>
        <w:t xml:space="preserve"> </w:t>
      </w:r>
      <w:r w:rsidRPr="000C1905">
        <w:rPr>
          <w:rFonts w:hint="eastAsia"/>
          <w:szCs w:val="21"/>
        </w:rPr>
        <w:t>则因</w:t>
      </w:r>
      <w:r w:rsidRPr="000C1905">
        <w:rPr>
          <w:szCs w:val="21"/>
        </w:rPr>
        <w:t>Ca²⁺</w:t>
      </w:r>
      <w:r w:rsidRPr="000C1905">
        <w:rPr>
          <w:rFonts w:hint="eastAsia"/>
          <w:szCs w:val="21"/>
        </w:rPr>
        <w:t>的强电子俘获和</w:t>
      </w:r>
      <w:r w:rsidRPr="000C1905">
        <w:rPr>
          <w:szCs w:val="21"/>
        </w:rPr>
        <w:t>HCO₃⁻</w:t>
      </w:r>
      <w:r w:rsidRPr="000C1905">
        <w:rPr>
          <w:rFonts w:hint="eastAsia"/>
          <w:szCs w:val="21"/>
        </w:rPr>
        <w:t>的高电离耗散显著压低</w:t>
      </w:r>
      <m:oMath>
        <m:r>
          <w:rPr>
            <w:rFonts w:ascii="Cambria Math" w:hAnsi="Cambria Math"/>
            <w:szCs w:val="21"/>
          </w:rPr>
          <m:t>nτ</m:t>
        </m:r>
      </m:oMath>
      <w:r w:rsidRPr="000C1905">
        <w:rPr>
          <w:rFonts w:hint="eastAsia"/>
          <w:szCs w:val="21"/>
        </w:rPr>
        <w:t>，表现为太赫兹辐射抑制。而图</w:t>
      </w:r>
      <w:r w:rsidRPr="000C1905">
        <w:rPr>
          <w:rFonts w:hint="eastAsia"/>
          <w:szCs w:val="21"/>
        </w:rPr>
        <w:t>6</w:t>
      </w:r>
      <w:r w:rsidRPr="000C1905">
        <w:rPr>
          <w:rFonts w:hint="eastAsia"/>
          <w:szCs w:val="21"/>
        </w:rPr>
        <w:t>中温度由</w:t>
      </w:r>
      <w:r w:rsidRPr="000C1905">
        <w:rPr>
          <w:szCs w:val="21"/>
        </w:rPr>
        <w:t>0 °C</w:t>
      </w:r>
      <w:r w:rsidRPr="000C1905">
        <w:rPr>
          <w:rFonts w:hint="eastAsia"/>
          <w:szCs w:val="21"/>
        </w:rPr>
        <w:t>升至</w:t>
      </w:r>
      <w:r w:rsidRPr="000C1905">
        <w:rPr>
          <w:szCs w:val="21"/>
        </w:rPr>
        <w:t>40 °C</w:t>
      </w:r>
      <w:r w:rsidRPr="000C1905">
        <w:rPr>
          <w:rFonts w:hint="eastAsia"/>
          <w:szCs w:val="21"/>
        </w:rPr>
        <w:t>时，纯水曲线在</w:t>
      </w:r>
      <w:r w:rsidRPr="000C1905">
        <w:rPr>
          <w:szCs w:val="21"/>
        </w:rPr>
        <w:t>15 °C</w:t>
      </w:r>
      <w:r w:rsidRPr="000C1905">
        <w:rPr>
          <w:rFonts w:hint="eastAsia"/>
          <w:szCs w:val="21"/>
        </w:rPr>
        <w:t>后趋于饱和，而</w:t>
      </w:r>
      <w:r w:rsidRPr="000C1905">
        <w:rPr>
          <w:szCs w:val="21"/>
        </w:rPr>
        <w:t>NaCl</w:t>
      </w:r>
      <w:r w:rsidRPr="000C1905">
        <w:rPr>
          <w:rFonts w:hint="eastAsia"/>
          <w:szCs w:val="21"/>
        </w:rPr>
        <w:t>溶液曲线仍按近线性增长，表明高温下</w:t>
      </w:r>
      <w:r w:rsidRPr="000C1905">
        <w:rPr>
          <w:szCs w:val="21"/>
        </w:rPr>
        <w:t>Cl⁻</w:t>
      </w:r>
      <w:r w:rsidRPr="000C1905">
        <w:rPr>
          <w:rFonts w:hint="eastAsia"/>
          <w:szCs w:val="21"/>
        </w:rPr>
        <w:t>破坏氢键的效应被放大并持续主导</w:t>
      </w:r>
      <m:oMath>
        <m:r>
          <w:rPr>
            <w:rFonts w:ascii="Cambria Math" w:hAnsi="Cambria Math"/>
            <w:szCs w:val="21"/>
          </w:rPr>
          <m:t>n</m:t>
        </m:r>
      </m:oMath>
      <w:r w:rsidRPr="000C1905">
        <w:rPr>
          <w:rFonts w:hint="eastAsia"/>
          <w:szCs w:val="21"/>
        </w:rPr>
        <w:t>的增益；同条件下</w:t>
      </w:r>
      <w:r w:rsidR="00D75906" w:rsidRPr="000C1905">
        <w:rPr>
          <w:rFonts w:hint="eastAsia"/>
          <w:szCs w:val="21"/>
        </w:rPr>
        <w:t>Ca(HCO</w:t>
      </w:r>
      <w:r w:rsidR="00D75906" w:rsidRPr="000C1905">
        <w:rPr>
          <w:rFonts w:hint="eastAsia"/>
          <w:szCs w:val="21"/>
          <w:vertAlign w:val="subscript"/>
        </w:rPr>
        <w:t>3</w:t>
      </w:r>
      <w:r w:rsidR="00D75906" w:rsidRPr="000C1905">
        <w:rPr>
          <w:rFonts w:hint="eastAsia"/>
          <w:szCs w:val="21"/>
        </w:rPr>
        <w:t>)</w:t>
      </w:r>
      <w:r w:rsidR="00D75906" w:rsidRPr="000C1905">
        <w:rPr>
          <w:rFonts w:hint="eastAsia"/>
          <w:szCs w:val="21"/>
          <w:vertAlign w:val="subscript"/>
        </w:rPr>
        <w:t>2</w:t>
      </w:r>
      <w:r w:rsidRPr="000C1905">
        <w:rPr>
          <w:rFonts w:hint="eastAsia"/>
          <w:szCs w:val="21"/>
        </w:rPr>
        <w:t>曲线先抑后补偿，则反映温升削弱了</w:t>
      </w:r>
      <w:r w:rsidRPr="000C1905">
        <w:rPr>
          <w:szCs w:val="21"/>
        </w:rPr>
        <w:t>Ca²⁺</w:t>
      </w:r>
      <w:r w:rsidRPr="000C1905">
        <w:rPr>
          <w:rFonts w:hint="eastAsia"/>
          <w:szCs w:val="21"/>
        </w:rPr>
        <w:t>电子俘合及</w:t>
      </w:r>
      <w:r w:rsidRPr="000C1905">
        <w:rPr>
          <w:szCs w:val="21"/>
        </w:rPr>
        <w:t>HCO₃⁻</w:t>
      </w:r>
      <w:r w:rsidRPr="000C1905">
        <w:rPr>
          <w:rFonts w:hint="eastAsia"/>
          <w:szCs w:val="21"/>
        </w:rPr>
        <w:t>浓度（部分脱羧生成</w:t>
      </w:r>
      <w:r w:rsidRPr="000C1905">
        <w:rPr>
          <w:szCs w:val="21"/>
        </w:rPr>
        <w:t>CO₂</w:t>
      </w:r>
      <w:r w:rsidRPr="000C1905">
        <w:rPr>
          <w:rFonts w:hint="eastAsia"/>
          <w:szCs w:val="21"/>
        </w:rPr>
        <w:t>）对</w:t>
      </w:r>
      <m:oMath>
        <m:r>
          <w:rPr>
            <w:rFonts w:ascii="Cambria Math" w:hAnsi="Cambria Math"/>
            <w:szCs w:val="21"/>
          </w:rPr>
          <m:t>τ</m:t>
        </m:r>
      </m:oMath>
      <w:r w:rsidRPr="000C1905">
        <w:rPr>
          <w:rFonts w:hint="eastAsia"/>
          <w:szCs w:val="21"/>
        </w:rPr>
        <w:t>的压缩，抑制效应随之减弱。</w:t>
      </w:r>
      <w:r w:rsidR="00557CA0" w:rsidRPr="000C1905">
        <w:rPr>
          <w:rFonts w:hint="eastAsia"/>
          <w:szCs w:val="21"/>
        </w:rPr>
        <w:t>由图</w:t>
      </w:r>
      <w:r w:rsidR="00557CA0" w:rsidRPr="000C1905">
        <w:rPr>
          <w:rFonts w:hint="eastAsia"/>
          <w:szCs w:val="21"/>
        </w:rPr>
        <w:t>7</w:t>
      </w:r>
      <w:r w:rsidR="00557CA0" w:rsidRPr="000C1905">
        <w:rPr>
          <w:rFonts w:hint="eastAsia"/>
          <w:szCs w:val="21"/>
        </w:rPr>
        <w:t>所示，</w:t>
      </w:r>
      <w:r w:rsidR="00557CA0" w:rsidRPr="000C1905">
        <w:rPr>
          <w:rFonts w:hint="eastAsia"/>
          <w:szCs w:val="21"/>
        </w:rPr>
        <w:t>NaCl</w:t>
      </w:r>
      <w:r w:rsidR="00557CA0" w:rsidRPr="000C1905">
        <w:rPr>
          <w:rFonts w:hint="eastAsia"/>
          <w:szCs w:val="21"/>
        </w:rPr>
        <w:t>溶液、</w:t>
      </w:r>
      <w:r w:rsidR="00D75906" w:rsidRPr="000C1905">
        <w:rPr>
          <w:rFonts w:hint="eastAsia"/>
          <w:szCs w:val="21"/>
        </w:rPr>
        <w:t>Ca(HCO</w:t>
      </w:r>
      <w:r w:rsidR="00D75906" w:rsidRPr="000C1905">
        <w:rPr>
          <w:rFonts w:hint="eastAsia"/>
          <w:szCs w:val="21"/>
          <w:vertAlign w:val="subscript"/>
        </w:rPr>
        <w:t>3</w:t>
      </w:r>
      <w:r w:rsidR="00D75906" w:rsidRPr="000C1905">
        <w:rPr>
          <w:rFonts w:hint="eastAsia"/>
          <w:szCs w:val="21"/>
        </w:rPr>
        <w:t>)</w:t>
      </w:r>
      <w:r w:rsidR="00D75906" w:rsidRPr="000C1905">
        <w:rPr>
          <w:rFonts w:hint="eastAsia"/>
          <w:szCs w:val="21"/>
          <w:vertAlign w:val="subscript"/>
        </w:rPr>
        <w:t>2</w:t>
      </w:r>
      <w:r w:rsidR="00557CA0" w:rsidRPr="000C1905">
        <w:rPr>
          <w:rFonts w:hint="eastAsia"/>
          <w:szCs w:val="21"/>
        </w:rPr>
        <w:t>溶液变化与纯水几乎一致，因此温度对界面耦合的贡献在三体系中相近；差异主要由离子对</w:t>
      </w:r>
      <m:oMath>
        <m:r>
          <w:rPr>
            <w:rFonts w:ascii="Cambria Math" w:hAnsi="Cambria Math"/>
            <w:szCs w:val="21"/>
          </w:rPr>
          <m:t>n</m:t>
        </m:r>
      </m:oMath>
      <w:r w:rsidR="00845F71" w:rsidRPr="000C1905">
        <w:rPr>
          <w:rFonts w:hint="eastAsia"/>
          <w:szCs w:val="21"/>
        </w:rPr>
        <w:t>与</w:t>
      </w:r>
      <m:oMath>
        <m:r>
          <w:rPr>
            <w:rFonts w:ascii="Cambria Math" w:hAnsi="Cambria Math"/>
            <w:szCs w:val="21"/>
          </w:rPr>
          <m:t>τ</m:t>
        </m:r>
      </m:oMath>
      <w:r w:rsidR="00557CA0" w:rsidRPr="000C1905">
        <w:rPr>
          <w:rFonts w:hint="eastAsia"/>
          <w:szCs w:val="21"/>
        </w:rPr>
        <w:t>的固有调控决定。</w:t>
      </w:r>
    </w:p>
    <w:p w14:paraId="05CA124D" w14:textId="26764E19" w:rsidR="00BC3E4A" w:rsidRPr="00BB7B17" w:rsidRDefault="00BC3E4A" w:rsidP="00845F71">
      <w:pPr>
        <w:ind w:firstLineChars="200" w:firstLine="420"/>
        <w:rPr>
          <w:szCs w:val="21"/>
        </w:rPr>
      </w:pPr>
      <w:r w:rsidRPr="000C1905">
        <w:rPr>
          <w:rFonts w:hint="eastAsia"/>
          <w:szCs w:val="21"/>
        </w:rPr>
        <w:t>另一方面，飞秒激光在液态水中触发的等离子体涉及强场电离过程。根据</w:t>
      </w:r>
      <w:r w:rsidRPr="000C1905">
        <w:rPr>
          <w:rFonts w:hint="eastAsia"/>
          <w:szCs w:val="21"/>
        </w:rPr>
        <w:t>Keldysh</w:t>
      </w:r>
      <w:r w:rsidRPr="000C1905">
        <w:rPr>
          <w:rFonts w:hint="eastAsia"/>
          <w:szCs w:val="21"/>
        </w:rPr>
        <w:t>理论</w:t>
      </w:r>
      <w:r w:rsidR="00712DE3" w:rsidRPr="000C1905">
        <w:rPr>
          <w:szCs w:val="21"/>
          <w:vertAlign w:val="superscript"/>
        </w:rPr>
        <w:fldChar w:fldCharType="begin"/>
      </w:r>
      <w:r w:rsidR="00712DE3" w:rsidRPr="000C1905">
        <w:rPr>
          <w:szCs w:val="21"/>
          <w:vertAlign w:val="superscript"/>
        </w:rPr>
        <w:instrText xml:space="preserve"> REF _Ref196149349 \r \h </w:instrText>
      </w:r>
      <w:r w:rsidR="00712DE3" w:rsidRPr="000C1905">
        <w:rPr>
          <w:szCs w:val="21"/>
          <w:vertAlign w:val="superscript"/>
        </w:rPr>
      </w:r>
      <w:r w:rsidR="00712DE3" w:rsidRPr="000C1905">
        <w:rPr>
          <w:szCs w:val="21"/>
          <w:vertAlign w:val="superscript"/>
        </w:rPr>
        <w:fldChar w:fldCharType="separate"/>
      </w:r>
      <w:r w:rsidR="008F6340" w:rsidRPr="000C1905">
        <w:rPr>
          <w:szCs w:val="21"/>
          <w:vertAlign w:val="superscript"/>
        </w:rPr>
        <w:t>[18]</w:t>
      </w:r>
      <w:r w:rsidR="00712DE3" w:rsidRPr="000C1905">
        <w:rPr>
          <w:szCs w:val="21"/>
          <w:vertAlign w:val="superscript"/>
        </w:rPr>
        <w:fldChar w:fldCharType="end"/>
      </w:r>
      <w:r w:rsidRPr="000C1905">
        <w:rPr>
          <w:rFonts w:hint="eastAsia"/>
          <w:szCs w:val="21"/>
        </w:rPr>
        <w:t>，这一过程可以统一表述为多光子电离与隧穿电离的过渡。当激光电场强度</w:t>
      </w:r>
      <m:oMath>
        <m:sSub>
          <m:sSubPr>
            <m:ctrlPr>
              <w:rPr>
                <w:rFonts w:ascii="Cambria Math" w:hAnsi="Cambria Math"/>
                <w:szCs w:val="21"/>
              </w:rPr>
            </m:ctrlPr>
          </m:sSubPr>
          <m:e>
            <m:r>
              <w:rPr>
                <w:rFonts w:ascii="Cambria Math" w:hAnsi="Cambria Math"/>
                <w:szCs w:val="21"/>
              </w:rPr>
              <m:t>E</m:t>
            </m:r>
          </m:e>
          <m:sub>
            <m:r>
              <w:rPr>
                <w:rFonts w:ascii="Cambria Math" w:hAnsi="Cambria Math"/>
                <w:szCs w:val="21"/>
              </w:rPr>
              <m:t>0</m:t>
            </m:r>
          </m:sub>
        </m:sSub>
      </m:oMath>
      <w:r w:rsidRPr="000C1905">
        <w:rPr>
          <w:rFonts w:hint="eastAsia"/>
          <w:szCs w:val="21"/>
        </w:rPr>
        <w:t>足以与水分子的电离势相抗衡时，瞬时电离率</w:t>
      </w:r>
      <m:oMath>
        <m:r>
          <w:rPr>
            <w:rFonts w:ascii="Cambria Math" w:hAnsi="Cambria Math"/>
            <w:szCs w:val="21"/>
          </w:rPr>
          <m:t>W</m:t>
        </m:r>
        <m:d>
          <m:dPr>
            <m:ctrlPr>
              <w:rPr>
                <w:rFonts w:ascii="Cambria Math" w:hAnsi="Cambria Math"/>
                <w:szCs w:val="21"/>
              </w:rPr>
            </m:ctrlPr>
          </m:dPr>
          <m:e>
            <m:r>
              <w:rPr>
                <w:rFonts w:ascii="Cambria Math" w:hAnsi="Cambria Math"/>
                <w:szCs w:val="21"/>
              </w:rPr>
              <m:t>E</m:t>
            </m:r>
            <m:d>
              <m:dPr>
                <m:ctrlPr>
                  <w:rPr>
                    <w:rFonts w:ascii="Cambria Math" w:hAnsi="Cambria Math"/>
                    <w:szCs w:val="21"/>
                  </w:rPr>
                </m:ctrlPr>
              </m:dPr>
              <m:e>
                <m:r>
                  <w:rPr>
                    <w:rFonts w:ascii="Cambria Math" w:hAnsi="Cambria Math"/>
                    <w:szCs w:val="21"/>
                  </w:rPr>
                  <m:t>t</m:t>
                </m:r>
              </m:e>
            </m:d>
          </m:e>
        </m:d>
      </m:oMath>
      <w:r w:rsidRPr="000C1905">
        <w:rPr>
          <w:rFonts w:hint="eastAsia"/>
          <w:szCs w:val="21"/>
        </w:rPr>
        <w:t>可近似表示为</w:t>
      </w:r>
      <w:r w:rsidR="00712DE3" w:rsidRPr="000C1905">
        <w:rPr>
          <w:szCs w:val="21"/>
          <w:vertAlign w:val="superscript"/>
        </w:rPr>
        <w:fldChar w:fldCharType="begin"/>
      </w:r>
      <w:r w:rsidR="00712DE3" w:rsidRPr="000C1905">
        <w:rPr>
          <w:szCs w:val="21"/>
          <w:vertAlign w:val="superscript"/>
        </w:rPr>
        <w:instrText xml:space="preserve"> REF _Ref196149358 \r \h </w:instrText>
      </w:r>
      <w:r w:rsidR="00712DE3" w:rsidRPr="000C1905">
        <w:rPr>
          <w:szCs w:val="21"/>
          <w:vertAlign w:val="superscript"/>
        </w:rPr>
      </w:r>
      <w:r w:rsidR="00712DE3" w:rsidRPr="000C1905">
        <w:rPr>
          <w:szCs w:val="21"/>
          <w:vertAlign w:val="superscript"/>
        </w:rPr>
        <w:fldChar w:fldCharType="separate"/>
      </w:r>
      <w:r w:rsidR="008F6340" w:rsidRPr="000C1905">
        <w:rPr>
          <w:szCs w:val="21"/>
          <w:vertAlign w:val="superscript"/>
        </w:rPr>
        <w:t>[19]</w:t>
      </w:r>
      <w:r w:rsidR="00712DE3" w:rsidRPr="000C1905">
        <w:rPr>
          <w:szCs w:val="21"/>
          <w:vertAlign w:val="superscript"/>
        </w:rPr>
        <w:fldChar w:fldCharType="end"/>
      </w:r>
    </w:p>
    <w:p w14:paraId="1E8621AD" w14:textId="018AC561" w:rsidR="00845F71" w:rsidRPr="000C1905" w:rsidRDefault="00845F71" w:rsidP="00BB7B17">
      <w:pPr>
        <w:ind w:firstLineChars="200" w:firstLine="420"/>
        <w:jc w:val="center"/>
        <w:rPr>
          <w:szCs w:val="21"/>
        </w:rPr>
      </w:pPr>
      <m:oMath>
        <m:r>
          <w:rPr>
            <w:rFonts w:ascii="Cambria Math" w:hAnsi="Cambria Math"/>
            <w:szCs w:val="21"/>
          </w:rPr>
          <m:t>W~</m:t>
        </m:r>
        <m:r>
          <m:rPr>
            <m:sty m:val="p"/>
          </m:rPr>
          <w:rPr>
            <w:rFonts w:ascii="Cambria Math" w:hAnsi="Cambria Math"/>
            <w:szCs w:val="21"/>
          </w:rPr>
          <m:t>exp</m:t>
        </m:r>
        <m:d>
          <m:dPr>
            <m:begChr m:val="["/>
            <m:endChr m:val="]"/>
            <m:ctrlPr>
              <w:rPr>
                <w:rFonts w:ascii="Cambria Math" w:hAnsi="Cambria Math"/>
                <w:szCs w:val="21"/>
              </w:rPr>
            </m:ctrlPr>
          </m:dPr>
          <m:e>
            <m:r>
              <w:rPr>
                <w:rFonts w:ascii="Cambria Math" w:hAnsi="Cambria Math"/>
                <w:szCs w:val="21"/>
              </w:rPr>
              <m:t>-</m:t>
            </m:r>
            <m:f>
              <m:fPr>
                <m:ctrlPr>
                  <w:rPr>
                    <w:rFonts w:ascii="Cambria Math" w:hAnsi="Cambria Math"/>
                    <w:szCs w:val="21"/>
                  </w:rPr>
                </m:ctrlPr>
              </m:fPr>
              <m:num>
                <m:r>
                  <w:rPr>
                    <w:rFonts w:ascii="Cambria Math" w:hAnsi="Cambria Math"/>
                    <w:szCs w:val="21"/>
                  </w:rPr>
                  <m:t>2</m:t>
                </m:r>
                <m:sSup>
                  <m:sSupPr>
                    <m:ctrlPr>
                      <w:rPr>
                        <w:rFonts w:ascii="Cambria Math" w:hAnsi="Cambria Math"/>
                        <w:szCs w:val="21"/>
                      </w:rPr>
                    </m:ctrlPr>
                  </m:sSupPr>
                  <m:e>
                    <m:r>
                      <w:rPr>
                        <w:rFonts w:ascii="Cambria Math" w:hAnsi="Cambria Math"/>
                        <w:szCs w:val="21"/>
                      </w:rPr>
                      <m:t>(2</m:t>
                    </m:r>
                    <m:sSub>
                      <m:sSubPr>
                        <m:ctrlPr>
                          <w:rPr>
                            <w:rFonts w:ascii="Cambria Math" w:hAnsi="Cambria Math"/>
                            <w:szCs w:val="21"/>
                          </w:rPr>
                        </m:ctrlPr>
                      </m:sSubPr>
                      <m:e>
                        <m:r>
                          <w:rPr>
                            <w:rFonts w:ascii="Cambria Math" w:hAnsi="Cambria Math"/>
                            <w:szCs w:val="21"/>
                          </w:rPr>
                          <m:t>I</m:t>
                        </m:r>
                      </m:e>
                      <m:sub>
                        <m:r>
                          <w:rPr>
                            <w:rFonts w:ascii="Cambria Math" w:hAnsi="Cambria Math"/>
                            <w:szCs w:val="21"/>
                          </w:rPr>
                          <m:t>p</m:t>
                        </m:r>
                      </m:sub>
                    </m:sSub>
                    <m:r>
                      <w:rPr>
                        <w:rFonts w:ascii="Cambria Math" w:hAnsi="Cambria Math"/>
                        <w:szCs w:val="21"/>
                      </w:rPr>
                      <m:t>)</m:t>
                    </m:r>
                  </m:e>
                  <m:sup>
                    <m:f>
                      <m:fPr>
                        <m:type m:val="lin"/>
                        <m:ctrlPr>
                          <w:rPr>
                            <w:rFonts w:ascii="Cambria Math" w:hAnsi="Cambria Math"/>
                            <w:szCs w:val="21"/>
                          </w:rPr>
                        </m:ctrlPr>
                      </m:fPr>
                      <m:num>
                        <m:r>
                          <w:rPr>
                            <w:rFonts w:ascii="Cambria Math" w:hAnsi="Cambria Math"/>
                            <w:szCs w:val="21"/>
                          </w:rPr>
                          <m:t>3</m:t>
                        </m:r>
                      </m:num>
                      <m:den>
                        <m:r>
                          <w:rPr>
                            <w:rFonts w:ascii="Cambria Math" w:hAnsi="Cambria Math"/>
                            <w:szCs w:val="21"/>
                          </w:rPr>
                          <m:t>2</m:t>
                        </m:r>
                      </m:den>
                    </m:f>
                  </m:sup>
                </m:sSup>
              </m:num>
              <m:den>
                <m:r>
                  <w:rPr>
                    <w:rFonts w:ascii="Cambria Math" w:hAnsi="Cambria Math"/>
                    <w:szCs w:val="21"/>
                  </w:rPr>
                  <m:t>3eℏ</m:t>
                </m:r>
                <m:sSub>
                  <m:sSubPr>
                    <m:ctrlPr>
                      <w:rPr>
                        <w:rFonts w:ascii="Cambria Math" w:hAnsi="Cambria Math"/>
                        <w:szCs w:val="21"/>
                      </w:rPr>
                    </m:ctrlPr>
                  </m:sSubPr>
                  <m:e>
                    <m:r>
                      <w:rPr>
                        <w:rFonts w:ascii="Cambria Math" w:hAnsi="Cambria Math"/>
                        <w:szCs w:val="21"/>
                      </w:rPr>
                      <m:t>E</m:t>
                    </m:r>
                  </m:e>
                  <m:sub>
                    <m:r>
                      <w:rPr>
                        <w:rFonts w:ascii="Cambria Math" w:hAnsi="Cambria Math"/>
                        <w:szCs w:val="21"/>
                      </w:rPr>
                      <m:t>0</m:t>
                    </m:r>
                  </m:sub>
                </m:sSub>
              </m:den>
            </m:f>
          </m:e>
        </m:d>
      </m:oMath>
      <w:r w:rsidR="00BB7B17">
        <w:rPr>
          <w:rFonts w:hint="eastAsia"/>
          <w:szCs w:val="21"/>
        </w:rPr>
        <w:t xml:space="preserve">   </w:t>
      </w:r>
      <w:r w:rsidR="00BB7B17">
        <w:rPr>
          <w:rFonts w:hint="eastAsia"/>
          <w:szCs w:val="21"/>
        </w:rPr>
        <w:t>（</w:t>
      </w:r>
      <w:r w:rsidR="00BB7B17">
        <w:rPr>
          <w:rFonts w:hint="eastAsia"/>
          <w:szCs w:val="21"/>
        </w:rPr>
        <w:t>5</w:t>
      </w:r>
      <w:r w:rsidR="00BB7B17">
        <w:rPr>
          <w:rFonts w:hint="eastAsia"/>
          <w:szCs w:val="21"/>
        </w:rPr>
        <w:t>）</w:t>
      </w:r>
    </w:p>
    <w:p w14:paraId="587B4CD4" w14:textId="56401431" w:rsidR="002802A8" w:rsidRPr="000C1905" w:rsidRDefault="00140095" w:rsidP="00557CA0">
      <w:pPr>
        <w:rPr>
          <w:szCs w:val="21"/>
        </w:rPr>
      </w:pPr>
      <w:r w:rsidRPr="000C1905">
        <w:rPr>
          <w:rFonts w:hint="eastAsia"/>
        </w:rPr>
        <w:t>式（</w:t>
      </w:r>
      <w:r w:rsidRPr="000C1905">
        <w:rPr>
          <w:rFonts w:hint="eastAsia"/>
        </w:rPr>
        <w:t>5</w:t>
      </w:r>
      <w:r w:rsidRPr="000C1905">
        <w:rPr>
          <w:rFonts w:hint="eastAsia"/>
        </w:rPr>
        <w:t>）中</w:t>
      </w:r>
      <w:r w:rsidR="002802A8" w:rsidRPr="000C1905">
        <w:rPr>
          <w:rFonts w:hint="eastAsia"/>
        </w:rPr>
        <w:t>，</w:t>
      </w:r>
      <m:oMath>
        <m:sSub>
          <m:sSubPr>
            <m:ctrlPr>
              <w:rPr>
                <w:rFonts w:ascii="Cambria Math" w:hAnsi="Cambria Math"/>
              </w:rPr>
            </m:ctrlPr>
          </m:sSubPr>
          <m:e>
            <m:r>
              <w:rPr>
                <w:rFonts w:ascii="Cambria Math" w:hAnsi="Cambria Math"/>
              </w:rPr>
              <m:t>I</m:t>
            </m:r>
          </m:e>
          <m:sub>
            <m:r>
              <w:rPr>
                <w:rFonts w:ascii="Cambria Math" w:hAnsi="Cambria Math"/>
              </w:rPr>
              <m:t>p</m:t>
            </m:r>
          </m:sub>
        </m:sSub>
      </m:oMath>
      <w:r w:rsidR="002802A8" w:rsidRPr="000C1905">
        <w:rPr>
          <w:rFonts w:hint="eastAsia"/>
        </w:rPr>
        <w:t>为介质电离势，</w:t>
      </w:r>
      <m:oMath>
        <m:r>
          <w:rPr>
            <w:rFonts w:ascii="Cambria Math" w:hAnsi="Cambria Math"/>
          </w:rPr>
          <m:t>ℏ</m:t>
        </m:r>
      </m:oMath>
      <w:r w:rsidR="002802A8" w:rsidRPr="000C1905">
        <w:rPr>
          <w:rFonts w:hint="eastAsia"/>
        </w:rPr>
        <w:t>为约化普朗克常数，说明实际电离过程对局部场强与水分子束缚能高度敏感。如果溶液中存在如</w:t>
      </w:r>
      <w:r w:rsidR="002802A8" w:rsidRPr="000C1905">
        <w:t>Cl</w:t>
      </w:r>
      <w:r w:rsidR="002802A8" w:rsidRPr="000C1905">
        <w:rPr>
          <w:vertAlign w:val="superscript"/>
        </w:rPr>
        <w:t>−</w:t>
      </w:r>
      <w:r w:rsidR="002802A8" w:rsidRPr="000C1905">
        <w:rPr>
          <w:rFonts w:hint="eastAsia"/>
        </w:rPr>
        <w:t>等“结构破坏型”离子</w:t>
      </w:r>
      <w:r w:rsidR="00712DE3" w:rsidRPr="000C1905">
        <w:rPr>
          <w:vertAlign w:val="superscript"/>
        </w:rPr>
        <w:fldChar w:fldCharType="begin"/>
      </w:r>
      <w:r w:rsidR="00712DE3" w:rsidRPr="000C1905">
        <w:rPr>
          <w:vertAlign w:val="superscript"/>
        </w:rPr>
        <w:instrText xml:space="preserve"> REF _Ref196149366 \r \h </w:instrText>
      </w:r>
      <w:r w:rsidR="00712DE3" w:rsidRPr="000C1905">
        <w:rPr>
          <w:vertAlign w:val="superscript"/>
        </w:rPr>
      </w:r>
      <w:r w:rsidR="00712DE3" w:rsidRPr="000C1905">
        <w:rPr>
          <w:vertAlign w:val="superscript"/>
        </w:rPr>
        <w:fldChar w:fldCharType="separate"/>
      </w:r>
      <w:r w:rsidR="008F6340" w:rsidRPr="000C1905">
        <w:rPr>
          <w:vertAlign w:val="superscript"/>
        </w:rPr>
        <w:t>[20]</w:t>
      </w:r>
      <w:r w:rsidR="00712DE3" w:rsidRPr="000C1905">
        <w:rPr>
          <w:vertAlign w:val="superscript"/>
        </w:rPr>
        <w:fldChar w:fldCharType="end"/>
      </w:r>
      <w:r w:rsidR="002802A8" w:rsidRPr="000C1905">
        <w:rPr>
          <w:rFonts w:hint="eastAsia"/>
        </w:rPr>
        <w:t>，则会削弱氢键束缚并增加系统的预先自由电子密度，有效降低</w:t>
      </w:r>
      <w:r w:rsidR="00557CA0" w:rsidRPr="000C1905">
        <w:rPr>
          <w:rFonts w:hint="eastAsia"/>
        </w:rPr>
        <w:t>电离势</w:t>
      </w:r>
      <m:oMath>
        <m:sSub>
          <m:sSubPr>
            <m:ctrlPr>
              <w:rPr>
                <w:rFonts w:ascii="Cambria Math" w:hAnsi="Cambria Math"/>
              </w:rPr>
            </m:ctrlPr>
          </m:sSubPr>
          <m:e>
            <m:r>
              <w:rPr>
                <w:rFonts w:ascii="Cambria Math" w:hAnsi="Cambria Math"/>
              </w:rPr>
              <m:t>I</m:t>
            </m:r>
          </m:e>
          <m:sub>
            <m:r>
              <w:rPr>
                <w:rFonts w:ascii="Cambria Math" w:hAnsi="Cambria Math"/>
              </w:rPr>
              <m:t>p</m:t>
            </m:r>
          </m:sub>
        </m:sSub>
      </m:oMath>
      <w:r w:rsidR="00557CA0" w:rsidRPr="000C1905">
        <w:rPr>
          <w:rFonts w:hint="eastAsia"/>
        </w:rPr>
        <w:t>，使得</w:t>
      </w:r>
      <m:oMath>
        <m:r>
          <w:rPr>
            <w:rFonts w:ascii="Cambria Math" w:hAnsi="Cambria Math"/>
          </w:rPr>
          <m:t>W</m:t>
        </m:r>
      </m:oMath>
      <w:r w:rsidR="00557CA0" w:rsidRPr="000C1905">
        <w:rPr>
          <w:rFonts w:hint="eastAsia"/>
        </w:rPr>
        <w:t>呈指数上升，而温度的升高进一步削弱氢键势垒，使这一增益效应与离子本征作用同向叠加</w:t>
      </w:r>
      <w:r w:rsidR="002802A8" w:rsidRPr="000C1905">
        <w:rPr>
          <w:rFonts w:hint="eastAsia"/>
        </w:rPr>
        <w:t>；反之，阳离子如</w:t>
      </w:r>
      <w:r w:rsidR="002802A8" w:rsidRPr="000C1905">
        <w:t>Ca</w:t>
      </w:r>
      <w:r w:rsidR="002802A8" w:rsidRPr="000C1905">
        <w:rPr>
          <w:vertAlign w:val="superscript"/>
        </w:rPr>
        <w:t>2+</w:t>
      </w:r>
      <w:r w:rsidR="002802A8" w:rsidRPr="000C1905">
        <w:rPr>
          <w:rFonts w:hint="eastAsia"/>
        </w:rPr>
        <w:t>在溶液中形成强水合壳，使局部水分子受限并增加电子散射频率，难以产生足够的可相干加速载流子</w:t>
      </w:r>
      <w:r w:rsidR="00712DE3" w:rsidRPr="000C1905">
        <w:rPr>
          <w:vertAlign w:val="superscript"/>
        </w:rPr>
        <w:fldChar w:fldCharType="begin"/>
      </w:r>
      <w:r w:rsidR="00712DE3" w:rsidRPr="000C1905">
        <w:rPr>
          <w:vertAlign w:val="superscript"/>
        </w:rPr>
        <w:instrText xml:space="preserve"> REF _Ref196149425 \r \h </w:instrText>
      </w:r>
      <w:r w:rsidR="00712DE3" w:rsidRPr="000C1905">
        <w:rPr>
          <w:vertAlign w:val="superscript"/>
        </w:rPr>
      </w:r>
      <w:r w:rsidR="00712DE3" w:rsidRPr="000C1905">
        <w:rPr>
          <w:vertAlign w:val="superscript"/>
        </w:rPr>
        <w:fldChar w:fldCharType="separate"/>
      </w:r>
      <w:r w:rsidR="008F6340" w:rsidRPr="000C1905">
        <w:rPr>
          <w:vertAlign w:val="superscript"/>
        </w:rPr>
        <w:t>[21]</w:t>
      </w:r>
      <w:r w:rsidR="00712DE3" w:rsidRPr="000C1905">
        <w:rPr>
          <w:vertAlign w:val="superscript"/>
        </w:rPr>
        <w:fldChar w:fldCharType="end"/>
      </w:r>
      <w:r w:rsidR="002802A8" w:rsidRPr="000C1905">
        <w:rPr>
          <w:rFonts w:hint="eastAsia"/>
        </w:rPr>
        <w:t>。此外，</w:t>
      </w:r>
      <w:r w:rsidR="002802A8" w:rsidRPr="000C1905">
        <w:t>HCO</w:t>
      </w:r>
      <w:r w:rsidR="002802A8" w:rsidRPr="000C1905">
        <w:rPr>
          <w:vertAlign w:val="subscript"/>
        </w:rPr>
        <w:t>3</w:t>
      </w:r>
      <w:r w:rsidR="002802A8" w:rsidRPr="000C1905">
        <w:rPr>
          <w:vertAlign w:val="superscript"/>
        </w:rPr>
        <w:t>−</w:t>
      </w:r>
      <w:r w:rsidR="002802A8" w:rsidRPr="000C1905">
        <w:rPr>
          <w:rFonts w:hint="eastAsia"/>
        </w:rPr>
        <w:t>等阴离子不仅能破坏部分氢键，而且还具有高电子亲和力，会在极短时间内俘获自由电子</w:t>
      </w:r>
      <w:r w:rsidR="00712DE3" w:rsidRPr="000C1905">
        <w:rPr>
          <w:vertAlign w:val="superscript"/>
        </w:rPr>
        <w:fldChar w:fldCharType="begin"/>
      </w:r>
      <w:r w:rsidR="00712DE3" w:rsidRPr="000C1905">
        <w:rPr>
          <w:vertAlign w:val="superscript"/>
        </w:rPr>
        <w:instrText xml:space="preserve"> REF _Ref196149435 \r \h </w:instrText>
      </w:r>
      <w:r w:rsidR="00712DE3" w:rsidRPr="000C1905">
        <w:rPr>
          <w:vertAlign w:val="superscript"/>
        </w:rPr>
      </w:r>
      <w:r w:rsidR="00712DE3" w:rsidRPr="000C1905">
        <w:rPr>
          <w:vertAlign w:val="superscript"/>
        </w:rPr>
        <w:fldChar w:fldCharType="separate"/>
      </w:r>
      <w:r w:rsidR="008F6340" w:rsidRPr="000C1905">
        <w:rPr>
          <w:vertAlign w:val="superscript"/>
        </w:rPr>
        <w:t>[22]</w:t>
      </w:r>
      <w:r w:rsidR="00712DE3" w:rsidRPr="000C1905">
        <w:rPr>
          <w:vertAlign w:val="superscript"/>
        </w:rPr>
        <w:fldChar w:fldCharType="end"/>
      </w:r>
      <w:r w:rsidR="002802A8" w:rsidRPr="000C1905">
        <w:rPr>
          <w:rFonts w:hint="eastAsia"/>
        </w:rPr>
        <w:t>，阻断其参与太赫兹辐射的瞬时电流贡献。</w:t>
      </w:r>
      <w:r w:rsidR="00557CA0" w:rsidRPr="000C1905">
        <w:rPr>
          <w:rFonts w:hint="eastAsia"/>
        </w:rPr>
        <w:t>温度升高导致水合壳松弛、</w:t>
      </w:r>
      <w:r w:rsidR="00557CA0" w:rsidRPr="000C1905">
        <w:t>HCO₃⁻</w:t>
      </w:r>
      <w:r w:rsidR="00557CA0" w:rsidRPr="000C1905">
        <w:rPr>
          <w:rFonts w:hint="eastAsia"/>
        </w:rPr>
        <w:t>浓度降低，俘获截面随之减小，导致低温区抑制最明显而高温区逐渐被抵消。因此，温度只在放大或削弱离子的本征调控行为时才显著改变</w:t>
      </w:r>
      <m:oMath>
        <m:r>
          <w:rPr>
            <w:rFonts w:ascii="Cambria Math" w:hAnsi="Cambria Math"/>
          </w:rPr>
          <m:t>nτ</m:t>
        </m:r>
      </m:oMath>
      <w:r w:rsidR="00557CA0" w:rsidRPr="000C1905">
        <w:rPr>
          <w:rFonts w:hint="eastAsia"/>
        </w:rPr>
        <w:t>，其</w:t>
      </w:r>
      <w:r w:rsidR="00143903" w:rsidRPr="000C1905">
        <w:rPr>
          <w:rFonts w:hint="eastAsia"/>
        </w:rPr>
        <w:t>温度变化</w:t>
      </w:r>
      <w:r w:rsidR="00557CA0" w:rsidRPr="000C1905">
        <w:rPr>
          <w:rFonts w:hint="eastAsia"/>
        </w:rPr>
        <w:t>并不改变“</w:t>
      </w:r>
      <w:r w:rsidR="00143903" w:rsidRPr="000C1905">
        <w:rPr>
          <w:rFonts w:hint="eastAsia"/>
        </w:rPr>
        <w:t>离子的增强与抑制</w:t>
      </w:r>
      <w:r w:rsidR="00557CA0" w:rsidRPr="000C1905">
        <w:rPr>
          <w:rFonts w:hint="eastAsia"/>
        </w:rPr>
        <w:t>”的</w:t>
      </w:r>
      <w:r w:rsidR="00143903" w:rsidRPr="000C1905">
        <w:rPr>
          <w:rFonts w:hint="eastAsia"/>
        </w:rPr>
        <w:t>结论。</w:t>
      </w:r>
    </w:p>
    <w:p w14:paraId="14581350" w14:textId="270043FA" w:rsidR="002802A8" w:rsidRPr="000C1905" w:rsidRDefault="002802A8" w:rsidP="003F16AB">
      <w:pPr>
        <w:ind w:firstLineChars="200" w:firstLine="420"/>
      </w:pPr>
      <w:r w:rsidRPr="000C1905">
        <w:rPr>
          <w:rFonts w:hint="eastAsia"/>
        </w:rPr>
        <w:t>在强场激发后，液体等离子体是一个典型的多体系统，其中既包含自由电子，也包括离子、水分子及其基团。在宏观层面可通过等离子体频率</w:t>
      </w:r>
      <m:oMath>
        <m:sSub>
          <m:sSubPr>
            <m:ctrlPr>
              <w:rPr>
                <w:rFonts w:ascii="Cambria Math" w:hAnsi="Cambria Math"/>
              </w:rPr>
            </m:ctrlPr>
          </m:sSubPr>
          <m:e>
            <m:r>
              <w:rPr>
                <w:rFonts w:ascii="Cambria Math" w:hAnsi="Cambria Math"/>
              </w:rPr>
              <m:t>ω</m:t>
            </m:r>
          </m:e>
          <m:sub>
            <m:r>
              <w:rPr>
                <w:rFonts w:ascii="Cambria Math" w:hAnsi="Cambria Math"/>
              </w:rPr>
              <m:t>p</m:t>
            </m:r>
          </m:sub>
        </m:sSub>
      </m:oMath>
      <w:r w:rsidR="00712DE3" w:rsidRPr="000C1905">
        <w:rPr>
          <w:vertAlign w:val="superscript"/>
        </w:rPr>
        <w:fldChar w:fldCharType="begin"/>
      </w:r>
      <w:r w:rsidR="00712DE3" w:rsidRPr="000C1905">
        <w:rPr>
          <w:vertAlign w:val="superscript"/>
        </w:rPr>
        <w:instrText xml:space="preserve"> REF _Ref196149791 \r \h </w:instrText>
      </w:r>
      <w:r w:rsidR="00712DE3" w:rsidRPr="000C1905">
        <w:rPr>
          <w:vertAlign w:val="superscript"/>
        </w:rPr>
      </w:r>
      <w:r w:rsidR="00712DE3" w:rsidRPr="000C1905">
        <w:rPr>
          <w:vertAlign w:val="superscript"/>
        </w:rPr>
        <w:fldChar w:fldCharType="separate"/>
      </w:r>
      <w:r w:rsidR="008F6340" w:rsidRPr="000C1905">
        <w:rPr>
          <w:vertAlign w:val="superscript"/>
        </w:rPr>
        <w:t>[23]</w:t>
      </w:r>
      <w:r w:rsidR="00712DE3" w:rsidRPr="000C1905">
        <w:rPr>
          <w:vertAlign w:val="superscript"/>
        </w:rPr>
        <w:fldChar w:fldCharType="end"/>
      </w:r>
      <w:r w:rsidRPr="000C1905">
        <w:rPr>
          <w:rFonts w:hint="eastAsia"/>
        </w:rPr>
        <w:t>：</w:t>
      </w:r>
    </w:p>
    <w:p w14:paraId="503C8AD0" w14:textId="7BC8DCA8" w:rsidR="003F16AB" w:rsidRPr="000C1905" w:rsidRDefault="00E97054" w:rsidP="00BB7B17">
      <w:pPr>
        <w:ind w:firstLineChars="200" w:firstLine="420"/>
        <w:jc w:val="center"/>
        <w:rPr>
          <w:szCs w:val="21"/>
        </w:rPr>
      </w:pPr>
      <m:oMath>
        <m:sSub>
          <m:sSubPr>
            <m:ctrlPr>
              <w:rPr>
                <w:rFonts w:ascii="Cambria Math" w:hAnsi="Cambria Math"/>
                <w:szCs w:val="21"/>
              </w:rPr>
            </m:ctrlPr>
          </m:sSubPr>
          <m:e>
            <m:r>
              <w:rPr>
                <w:rFonts w:ascii="Cambria Math" w:hAnsi="Cambria Math"/>
                <w:szCs w:val="21"/>
              </w:rPr>
              <m:t>ω</m:t>
            </m:r>
          </m:e>
          <m:sub>
            <m:r>
              <w:rPr>
                <w:rFonts w:ascii="Cambria Math" w:hAnsi="Cambria Math"/>
                <w:szCs w:val="21"/>
              </w:rPr>
              <m:t>p</m:t>
            </m:r>
          </m:sub>
        </m:sSub>
        <m:r>
          <w:rPr>
            <w:rFonts w:ascii="Cambria Math" w:hAnsi="Cambria Math"/>
            <w:szCs w:val="21"/>
          </w:rPr>
          <m:t>=</m:t>
        </m:r>
        <m:rad>
          <m:radPr>
            <m:degHide m:val="1"/>
            <m:ctrlPr>
              <w:rPr>
                <w:rFonts w:ascii="Cambria Math" w:hAnsi="Cambria Math"/>
                <w:szCs w:val="21"/>
              </w:rPr>
            </m:ctrlPr>
          </m:radPr>
          <m:deg/>
          <m:e>
            <m:f>
              <m:fPr>
                <m:ctrlPr>
                  <w:rPr>
                    <w:rFonts w:ascii="Cambria Math" w:hAnsi="Cambria Math"/>
                    <w:szCs w:val="21"/>
                  </w:rPr>
                </m:ctrlPr>
              </m:fPr>
              <m:num>
                <m:r>
                  <w:rPr>
                    <w:rFonts w:ascii="Cambria Math" w:hAnsi="Cambria Math"/>
                    <w:szCs w:val="21"/>
                  </w:rPr>
                  <m:t>n</m:t>
                </m:r>
                <m:sSup>
                  <m:sSupPr>
                    <m:ctrlPr>
                      <w:rPr>
                        <w:rFonts w:ascii="Cambria Math" w:hAnsi="Cambria Math"/>
                        <w:szCs w:val="21"/>
                      </w:rPr>
                    </m:ctrlPr>
                  </m:sSupPr>
                  <m:e>
                    <m:r>
                      <w:rPr>
                        <w:rFonts w:ascii="Cambria Math" w:hAnsi="Cambria Math"/>
                        <w:szCs w:val="21"/>
                      </w:rPr>
                      <m:t>e</m:t>
                    </m:r>
                  </m:e>
                  <m:sup>
                    <m:r>
                      <w:rPr>
                        <w:rFonts w:ascii="Cambria Math" w:hAnsi="Cambria Math"/>
                        <w:szCs w:val="21"/>
                      </w:rPr>
                      <m:t>2</m:t>
                    </m:r>
                  </m:sup>
                </m:sSup>
              </m:num>
              <m:den>
                <m:sSub>
                  <m:sSubPr>
                    <m:ctrlPr>
                      <w:rPr>
                        <w:rFonts w:ascii="Cambria Math" w:hAnsi="Cambria Math"/>
                        <w:szCs w:val="21"/>
                      </w:rPr>
                    </m:ctrlPr>
                  </m:sSubPr>
                  <m:e>
                    <m:r>
                      <w:rPr>
                        <w:rFonts w:ascii="Cambria Math" w:hAnsi="Cambria Math"/>
                        <w:szCs w:val="21"/>
                      </w:rPr>
                      <m:t>ε</m:t>
                    </m:r>
                  </m:e>
                  <m:sub>
                    <m:r>
                      <w:rPr>
                        <w:rFonts w:ascii="Cambria Math" w:hAnsi="Cambria Math"/>
                        <w:szCs w:val="21"/>
                      </w:rPr>
                      <m:t>0</m:t>
                    </m:r>
                  </m:sub>
                </m:sSub>
                <m:r>
                  <w:rPr>
                    <w:rFonts w:ascii="Cambria Math" w:hAnsi="Cambria Math"/>
                    <w:szCs w:val="21"/>
                  </w:rPr>
                  <m:t>m</m:t>
                </m:r>
              </m:den>
            </m:f>
          </m:e>
        </m:rad>
      </m:oMath>
      <w:r w:rsidR="00BB7B17">
        <w:rPr>
          <w:rFonts w:hint="eastAsia"/>
          <w:szCs w:val="21"/>
        </w:rPr>
        <w:t xml:space="preserve">  </w:t>
      </w:r>
      <w:r w:rsidR="00BB7B17">
        <w:rPr>
          <w:rFonts w:hint="eastAsia"/>
          <w:szCs w:val="21"/>
        </w:rPr>
        <w:t>（</w:t>
      </w:r>
      <w:r w:rsidR="00BB7B17">
        <w:rPr>
          <w:rFonts w:hint="eastAsia"/>
          <w:szCs w:val="21"/>
        </w:rPr>
        <w:t>6</w:t>
      </w:r>
      <w:r w:rsidR="00BB7B17">
        <w:rPr>
          <w:rFonts w:hint="eastAsia"/>
          <w:szCs w:val="21"/>
        </w:rPr>
        <w:t>）</w:t>
      </w:r>
    </w:p>
    <w:p w14:paraId="26F70C6D" w14:textId="067B499A" w:rsidR="002802A8" w:rsidRPr="000C1905" w:rsidRDefault="00BB7B17" w:rsidP="002802A8">
      <w:pPr>
        <w:rPr>
          <w:szCs w:val="21"/>
        </w:rPr>
      </w:pPr>
      <w:r>
        <w:rPr>
          <w:rFonts w:hint="eastAsia"/>
        </w:rPr>
        <w:t>式</w:t>
      </w:r>
      <w:r>
        <w:t>（</w:t>
      </w:r>
      <w:r>
        <w:rPr>
          <w:rFonts w:hint="eastAsia"/>
        </w:rPr>
        <w:t>6</w:t>
      </w:r>
      <w:r>
        <w:rPr>
          <w:rFonts w:hint="eastAsia"/>
        </w:rPr>
        <w:t>）</w:t>
      </w:r>
      <w:r>
        <w:t>中，</w:t>
      </w:r>
      <w:r w:rsidR="002802A8" w:rsidRPr="000C1905">
        <w:rPr>
          <w:rFonts w:hint="eastAsia"/>
        </w:rPr>
        <w:t>等离子体频率</w:t>
      </w:r>
      <m:oMath>
        <m:sSub>
          <m:sSubPr>
            <m:ctrlPr>
              <w:rPr>
                <w:rFonts w:ascii="Cambria Math" w:hAnsi="Cambria Math"/>
              </w:rPr>
            </m:ctrlPr>
          </m:sSubPr>
          <m:e>
            <m:r>
              <w:rPr>
                <w:rFonts w:ascii="Cambria Math" w:hAnsi="Cambria Math"/>
              </w:rPr>
              <m:t>ω</m:t>
            </m:r>
          </m:e>
          <m:sub>
            <m:r>
              <w:rPr>
                <w:rFonts w:ascii="Cambria Math" w:hAnsi="Cambria Math"/>
              </w:rPr>
              <m:t>p</m:t>
            </m:r>
          </m:sub>
        </m:sSub>
      </m:oMath>
      <w:r w:rsidR="002802A8" w:rsidRPr="000C1905">
        <w:rPr>
          <w:rFonts w:hint="eastAsia"/>
        </w:rPr>
        <w:t>用来衡量其集体振荡特征；然而，液态介质中，由于电子</w:t>
      </w:r>
      <w:r w:rsidR="002802A8" w:rsidRPr="000C1905">
        <w:rPr>
          <w:rFonts w:hint="eastAsia"/>
        </w:rPr>
        <w:t>-</w:t>
      </w:r>
      <w:r w:rsidR="002802A8" w:rsidRPr="000C1905">
        <w:rPr>
          <w:rFonts w:hint="eastAsia"/>
        </w:rPr>
        <w:t>离子、电子</w:t>
      </w:r>
      <w:r w:rsidR="002802A8" w:rsidRPr="000C1905">
        <w:rPr>
          <w:rFonts w:hint="eastAsia"/>
        </w:rPr>
        <w:t>-</w:t>
      </w:r>
      <w:r w:rsidR="002802A8" w:rsidRPr="000C1905">
        <w:rPr>
          <w:rFonts w:hint="eastAsia"/>
        </w:rPr>
        <w:t>分子碰撞极其频繁，</w:t>
      </w:r>
      <m:oMath>
        <m:r>
          <w:rPr>
            <w:rFonts w:ascii="Cambria Math" w:hAnsi="Cambria Math"/>
          </w:rPr>
          <m:t>τ</m:t>
        </m:r>
      </m:oMath>
      <w:r w:rsidR="002802A8" w:rsidRPr="000C1905">
        <w:rPr>
          <w:rFonts w:hint="eastAsia"/>
        </w:rPr>
        <w:t>通常远小于干净气体等离子体情形。特别是当</w:t>
      </w:r>
      <w:r w:rsidR="002802A8" w:rsidRPr="000C1905">
        <w:t>Ca</w:t>
      </w:r>
      <w:r w:rsidR="002802A8" w:rsidRPr="000C1905">
        <w:rPr>
          <w:vertAlign w:val="superscript"/>
        </w:rPr>
        <w:t>2+</w:t>
      </w:r>
      <w:r w:rsidR="002802A8" w:rsidRPr="000C1905">
        <w:rPr>
          <w:rFonts w:hint="eastAsia"/>
        </w:rPr>
        <w:t>或高浓度</w:t>
      </w:r>
      <w:r w:rsidR="002802A8" w:rsidRPr="000C1905">
        <w:t>Cl</w:t>
      </w:r>
      <w:r w:rsidR="002802A8" w:rsidRPr="000C1905">
        <w:rPr>
          <w:vertAlign w:val="superscript"/>
        </w:rPr>
        <w:t>−</w:t>
      </w:r>
      <w:r w:rsidR="002802A8" w:rsidRPr="000C1905">
        <w:rPr>
          <w:rFonts w:hint="eastAsia"/>
        </w:rPr>
        <w:t>存在时，电子碰撞截面的增大导致</w:t>
      </w:r>
      <m:oMath>
        <m:r>
          <w:rPr>
            <w:rFonts w:ascii="Cambria Math" w:hAnsi="Cambria Math"/>
          </w:rPr>
          <m:t>ωτ≪1</m:t>
        </m:r>
      </m:oMath>
      <w:r w:rsidR="002802A8" w:rsidRPr="000C1905">
        <w:rPr>
          <w:rFonts w:hint="eastAsia"/>
        </w:rPr>
        <w:t>，会显著抑制高频电流幅度。与此同时，离子的种类和组分还会改变水分子间的氢键网络。从分子动力学的视角考察，</w:t>
      </w:r>
      <w:r w:rsidR="002802A8" w:rsidRPr="000C1905">
        <w:t>Cl</w:t>
      </w:r>
      <w:r w:rsidR="002802A8" w:rsidRPr="000C1905">
        <w:rPr>
          <w:vertAlign w:val="superscript"/>
        </w:rPr>
        <w:t>−</w:t>
      </w:r>
      <w:r w:rsidR="002802A8" w:rsidRPr="000C1905">
        <w:rPr>
          <w:rFonts w:hint="eastAsia"/>
        </w:rPr>
        <w:t>易插入水分子之间，</w:t>
      </w:r>
      <w:r w:rsidR="002802A8" w:rsidRPr="000C1905">
        <w:rPr>
          <w:rFonts w:hint="eastAsia"/>
        </w:rPr>
        <w:lastRenderedPageBreak/>
        <w:t>使氢键“松散化”，从而在一定程度上提升电离产率；而</w:t>
      </w:r>
      <w:r w:rsidR="002802A8" w:rsidRPr="000C1905">
        <w:t>Ca</w:t>
      </w:r>
      <w:r w:rsidR="002802A8" w:rsidRPr="000C1905">
        <w:rPr>
          <w:vertAlign w:val="superscript"/>
        </w:rPr>
        <w:t>2+</w:t>
      </w:r>
      <w:r w:rsidR="002802A8" w:rsidRPr="000C1905">
        <w:rPr>
          <w:rFonts w:hint="eastAsia"/>
        </w:rPr>
        <w:t>则会形成紧密的水合壳并“锁定”周围水分子，导致局部区域更为有序，但可供激光电离的自由水减少。</w:t>
      </w:r>
    </w:p>
    <w:p w14:paraId="3FDB6159" w14:textId="274D2552" w:rsidR="002802A8" w:rsidRPr="000C1905" w:rsidRDefault="002802A8" w:rsidP="003F16AB">
      <w:pPr>
        <w:ind w:firstLineChars="200" w:firstLine="420"/>
      </w:pPr>
      <w:r w:rsidRPr="000C1905">
        <w:rPr>
          <w:rFonts w:hint="eastAsia"/>
        </w:rPr>
        <w:t>若同时引入</w:t>
      </w:r>
      <w:r w:rsidRPr="000C1905">
        <w:t>HCO</w:t>
      </w:r>
      <w:r w:rsidRPr="000C1905">
        <w:rPr>
          <w:vertAlign w:val="subscript"/>
        </w:rPr>
        <w:t>3</w:t>
      </w:r>
      <w:r w:rsidRPr="000C1905">
        <w:rPr>
          <w:vertAlign w:val="superscript"/>
        </w:rPr>
        <w:t>−</w:t>
      </w:r>
      <w:r w:rsidRPr="000C1905">
        <w:rPr>
          <w:rFonts w:hint="eastAsia"/>
        </w:rPr>
        <w:t>，俘获自由电子的速率常可用简单速率方程表征</w:t>
      </w:r>
      <w:r w:rsidR="00712DE3" w:rsidRPr="000C1905">
        <w:rPr>
          <w:vertAlign w:val="superscript"/>
        </w:rPr>
        <w:fldChar w:fldCharType="begin"/>
      </w:r>
      <w:r w:rsidR="00712DE3" w:rsidRPr="000C1905">
        <w:rPr>
          <w:vertAlign w:val="superscript"/>
        </w:rPr>
        <w:instrText xml:space="preserve"> REF _Ref196149803 \r \h </w:instrText>
      </w:r>
      <w:r w:rsidR="00712DE3" w:rsidRPr="000C1905">
        <w:rPr>
          <w:vertAlign w:val="superscript"/>
        </w:rPr>
      </w:r>
      <w:r w:rsidR="00712DE3" w:rsidRPr="000C1905">
        <w:rPr>
          <w:vertAlign w:val="superscript"/>
        </w:rPr>
        <w:fldChar w:fldCharType="separate"/>
      </w:r>
      <w:r w:rsidR="008F6340" w:rsidRPr="000C1905">
        <w:rPr>
          <w:vertAlign w:val="superscript"/>
        </w:rPr>
        <w:t>[24]</w:t>
      </w:r>
      <w:r w:rsidR="00712DE3" w:rsidRPr="000C1905">
        <w:rPr>
          <w:vertAlign w:val="superscript"/>
        </w:rPr>
        <w:fldChar w:fldCharType="end"/>
      </w:r>
      <w:r w:rsidRPr="000C1905">
        <w:rPr>
          <w:rFonts w:hint="eastAsia"/>
        </w:rPr>
        <w:t>：</w:t>
      </w:r>
    </w:p>
    <w:p w14:paraId="559D8DE2" w14:textId="2410E2F0" w:rsidR="003F16AB" w:rsidRPr="000C1905" w:rsidRDefault="00E97054" w:rsidP="00BB7B17">
      <w:pPr>
        <w:ind w:firstLineChars="200" w:firstLine="420"/>
        <w:jc w:val="center"/>
      </w:pPr>
      <m:oMath>
        <m:f>
          <m:fPr>
            <m:ctrlPr>
              <w:rPr>
                <w:rFonts w:ascii="Cambria Math" w:hAnsi="Cambria Math"/>
              </w:rPr>
            </m:ctrlPr>
          </m:fPr>
          <m:num>
            <m:r>
              <m:rPr>
                <m:nor/>
              </m:rPr>
              <m:t>d</m:t>
            </m:r>
            <m:sSub>
              <m:sSubPr>
                <m:ctrlPr>
                  <w:rPr>
                    <w:rFonts w:ascii="Cambria Math" w:hAnsi="Cambria Math"/>
                  </w:rPr>
                </m:ctrlPr>
              </m:sSubPr>
              <m:e>
                <m:r>
                  <w:rPr>
                    <w:rFonts w:ascii="Cambria Math" w:hAnsi="Cambria Math"/>
                  </w:rPr>
                  <m:t>n</m:t>
                </m:r>
              </m:e>
              <m:sub>
                <m:r>
                  <w:rPr>
                    <w:rFonts w:ascii="Cambria Math" w:hAnsi="Cambria Math"/>
                  </w:rPr>
                  <m:t>e</m:t>
                </m:r>
              </m:sub>
            </m:sSub>
          </m:num>
          <m:den>
            <m:r>
              <m:rPr>
                <m:nor/>
              </m:rPr>
              <m:t>d</m:t>
            </m:r>
            <m:r>
              <w:rPr>
                <w:rFonts w:ascii="Cambria Math" w:hAnsi="Cambria Math"/>
              </w:rPr>
              <m:t>t</m:t>
            </m:r>
          </m:den>
        </m:f>
        <m:r>
          <w:rPr>
            <w:rFonts w:ascii="Cambria Math" w:hAnsi="Cambria Math"/>
          </w:rPr>
          <m:t>=G(t)-</m:t>
        </m:r>
        <m:sSub>
          <m:sSubPr>
            <m:ctrlPr>
              <w:rPr>
                <w:rFonts w:ascii="Cambria Math" w:hAnsi="Cambria Math"/>
              </w:rPr>
            </m:ctrlPr>
          </m:sSubPr>
          <m:e>
            <m:r>
              <w:rPr>
                <w:rFonts w:ascii="Cambria Math" w:hAnsi="Cambria Math"/>
              </w:rPr>
              <m:t>k</m:t>
            </m:r>
          </m:e>
          <m:sub>
            <m:r>
              <m:rPr>
                <m:nor/>
              </m:rPr>
              <m:t>c</m:t>
            </m:r>
          </m:sub>
        </m:sSub>
        <m:r>
          <w:rPr>
            <w:rFonts w:ascii="Cambria Math" w:hAnsi="Cambria Math"/>
          </w:rPr>
          <m:t>[</m:t>
        </m:r>
        <m:sSubSup>
          <m:sSubSupPr>
            <m:ctrlPr>
              <w:rPr>
                <w:rFonts w:ascii="Cambria Math" w:hAnsi="Cambria Math"/>
              </w:rPr>
            </m:ctrlPr>
          </m:sSubSupPr>
          <m:e>
            <m:r>
              <m:rPr>
                <m:nor/>
              </m:rPr>
              <m:t>HCO</m:t>
            </m:r>
          </m:e>
          <m:sub>
            <m:r>
              <w:rPr>
                <w:rFonts w:ascii="Cambria Math" w:hAnsi="Cambria Math"/>
              </w:rPr>
              <m:t>3</m:t>
            </m:r>
          </m:sub>
          <m:sup>
            <m:r>
              <w:rPr>
                <w:rFonts w:ascii="Cambria Math" w:hAnsi="Cambria Math"/>
              </w:rPr>
              <m:t>-</m:t>
            </m:r>
          </m:sup>
        </m:sSubSup>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e</m:t>
            </m:r>
          </m:sub>
        </m:sSub>
      </m:oMath>
      <w:r w:rsidR="00BB7B17">
        <w:rPr>
          <w:rFonts w:hint="eastAsia"/>
        </w:rPr>
        <w:t xml:space="preserve">  </w:t>
      </w:r>
      <w:r w:rsidR="00BB7B17">
        <w:rPr>
          <w:rFonts w:hint="eastAsia"/>
        </w:rPr>
        <w:t>（</w:t>
      </w:r>
      <w:r w:rsidR="00BB7B17">
        <w:rPr>
          <w:rFonts w:hint="eastAsia"/>
        </w:rPr>
        <w:t>7</w:t>
      </w:r>
      <w:r w:rsidR="00BB7B17">
        <w:rPr>
          <w:rFonts w:hint="eastAsia"/>
        </w:rPr>
        <w:t>）</w:t>
      </w:r>
    </w:p>
    <w:p w14:paraId="4F7CC432" w14:textId="2AF044DE" w:rsidR="002802A8" w:rsidRPr="000C1905" w:rsidRDefault="00143903" w:rsidP="00BB7B17">
      <w:pPr>
        <w:rPr>
          <w:szCs w:val="21"/>
        </w:rPr>
      </w:pPr>
      <w:r w:rsidRPr="000C1905">
        <w:rPr>
          <w:rFonts w:hint="eastAsia"/>
        </w:rPr>
        <w:t>式（</w:t>
      </w:r>
      <w:r w:rsidRPr="000C1905">
        <w:rPr>
          <w:rFonts w:hint="eastAsia"/>
        </w:rPr>
        <w:t>7</w:t>
      </w:r>
      <w:r w:rsidRPr="000C1905">
        <w:rPr>
          <w:rFonts w:hint="eastAsia"/>
        </w:rPr>
        <w:t>）中，</w:t>
      </w:r>
      <m:oMath>
        <m:r>
          <w:rPr>
            <w:rFonts w:ascii="Cambria Math" w:hAnsi="Cambria Math"/>
          </w:rPr>
          <m:t>G(t)</m:t>
        </m:r>
      </m:oMath>
      <w:r w:rsidR="002802A8" w:rsidRPr="000C1905">
        <w:rPr>
          <w:rFonts w:hint="eastAsia"/>
        </w:rPr>
        <w:t>是激光瞬时产生电子的速率，</w:t>
      </w:r>
      <m:oMath>
        <m:sSub>
          <m:sSubPr>
            <m:ctrlPr>
              <w:rPr>
                <w:rFonts w:ascii="Cambria Math" w:hAnsi="Cambria Math"/>
              </w:rPr>
            </m:ctrlPr>
          </m:sSubPr>
          <m:e>
            <m:r>
              <w:rPr>
                <w:rFonts w:ascii="Cambria Math" w:hAnsi="Cambria Math"/>
              </w:rPr>
              <m:t>k</m:t>
            </m:r>
          </m:e>
          <m:sub>
            <m:r>
              <w:rPr>
                <w:rFonts w:ascii="Cambria Math" w:hAnsi="Cambria Math"/>
              </w:rPr>
              <m:t>c</m:t>
            </m:r>
          </m:sub>
        </m:sSub>
      </m:oMath>
      <w:r w:rsidR="002802A8" w:rsidRPr="000C1905">
        <w:rPr>
          <w:rFonts w:hint="eastAsia"/>
        </w:rPr>
        <w:t>为俘获速率常数，</w:t>
      </w:r>
      <m:oMath>
        <m:r>
          <w:rPr>
            <w:rFonts w:ascii="Cambria Math" w:hAnsi="Cambria Math"/>
          </w:rPr>
          <m:t>[</m:t>
        </m:r>
        <m:sSubSup>
          <m:sSubSupPr>
            <m:ctrlPr>
              <w:rPr>
                <w:rFonts w:ascii="Cambria Math" w:hAnsi="Cambria Math"/>
              </w:rPr>
            </m:ctrlPr>
          </m:sSubSupPr>
          <m:e>
            <m:r>
              <w:rPr>
                <w:rFonts w:ascii="Cambria Math" w:hAnsi="Cambria Math"/>
              </w:rPr>
              <m:t>HCO</m:t>
            </m:r>
          </m:e>
          <m:sub>
            <m:r>
              <w:rPr>
                <w:rFonts w:ascii="Cambria Math" w:hAnsi="Cambria Math"/>
              </w:rPr>
              <m:t>3</m:t>
            </m:r>
          </m:sub>
          <m:sup>
            <m:r>
              <w:rPr>
                <w:rFonts w:ascii="Cambria Math" w:hAnsi="Cambria Math"/>
              </w:rPr>
              <m:t>-</m:t>
            </m:r>
          </m:sup>
        </m:sSubSup>
        <m:r>
          <w:rPr>
            <w:rFonts w:ascii="Cambria Math" w:hAnsi="Cambria Math"/>
          </w:rPr>
          <m:t>]</m:t>
        </m:r>
      </m:oMath>
      <w:r w:rsidR="002802A8" w:rsidRPr="000C1905">
        <w:rPr>
          <w:rFonts w:hint="eastAsia"/>
        </w:rPr>
        <w:t>表示该离子的浓度。可见在较高浓度</w:t>
      </w:r>
      <w:r w:rsidR="00C23FC6" w:rsidRPr="000C1905">
        <w:rPr>
          <w:rFonts w:hint="eastAsia"/>
        </w:rPr>
        <w:t>(</w:t>
      </w:r>
      <w:r w:rsidR="002802A8" w:rsidRPr="000C1905">
        <w:rPr>
          <w:rFonts w:ascii="Cambria Math" w:hAnsi="Cambria Math" w:cs="Cambria Math"/>
        </w:rPr>
        <w:t>∼</w:t>
      </w:r>
      <w:r w:rsidR="002802A8" w:rsidRPr="000C1905">
        <w:t>0.3–</w:t>
      </w:r>
      <w:r w:rsidR="002802A8" w:rsidRPr="000C1905">
        <w:rPr>
          <w:rFonts w:hint="eastAsia"/>
        </w:rPr>
        <w:t>0.6 M</w:t>
      </w:r>
      <w:r w:rsidR="00C23FC6" w:rsidRPr="000C1905">
        <w:rPr>
          <w:rFonts w:hint="eastAsia"/>
        </w:rPr>
        <w:t>)</w:t>
      </w:r>
      <w:r w:rsidR="002802A8" w:rsidRPr="000C1905">
        <w:rPr>
          <w:rFonts w:hint="eastAsia"/>
        </w:rPr>
        <w:t>下，</w:t>
      </w:r>
      <w:r w:rsidR="002802A8" w:rsidRPr="000C1905">
        <w:t>HCO</w:t>
      </w:r>
      <w:r w:rsidR="002802A8" w:rsidRPr="000C1905">
        <w:rPr>
          <w:vertAlign w:val="subscript"/>
        </w:rPr>
        <w:t>3</w:t>
      </w:r>
      <w:r w:rsidR="002802A8" w:rsidRPr="000C1905">
        <w:rPr>
          <w:vertAlign w:val="superscript"/>
        </w:rPr>
        <w:t>−</w:t>
      </w:r>
      <w:r w:rsidR="002802A8" w:rsidRPr="000C1905">
        <w:rPr>
          <w:rFonts w:hint="eastAsia"/>
        </w:rPr>
        <w:t>的高效捕获作用会显著有效自由电子密度，导致瞬态光电流快速衰减，从而使太赫兹输出随浓度上升而单调降低。</w:t>
      </w:r>
    </w:p>
    <w:p w14:paraId="774DCE19" w14:textId="36DED646" w:rsidR="002802A8" w:rsidRDefault="002802A8" w:rsidP="003F16AB">
      <w:pPr>
        <w:ind w:firstLineChars="200" w:firstLine="420"/>
      </w:pPr>
      <w:r w:rsidRPr="000C1905">
        <w:rPr>
          <w:rFonts w:hint="eastAsia"/>
        </w:rPr>
        <w:t>基于上述分析，不同离子环境下的太赫兹发射主要取决于以下因素，在飞秒激发下产生足够多且具有相干寿命的自由电子、电子在超快碰撞中的损失速度，以及氢键网络的整体结构变化。</w:t>
      </w:r>
      <w:r w:rsidRPr="000C1905">
        <w:t>NaCl</w:t>
      </w:r>
      <w:r w:rsidRPr="000C1905">
        <w:rPr>
          <w:rFonts w:hint="eastAsia"/>
        </w:rPr>
        <w:t>溶液能够显著增强太赫兹辐射，这表明</w:t>
      </w:r>
      <w:r w:rsidRPr="000C1905">
        <w:t>Cl</w:t>
      </w:r>
      <w:r w:rsidRPr="000C1905">
        <w:rPr>
          <w:vertAlign w:val="superscript"/>
        </w:rPr>
        <w:t>−</w:t>
      </w:r>
      <w:r w:rsidRPr="000C1905">
        <w:rPr>
          <w:rFonts w:hint="eastAsia"/>
        </w:rPr>
        <w:t>的“破坏氢键</w:t>
      </w:r>
      <w:r w:rsidRPr="000C1905">
        <w:t>+</w:t>
      </w:r>
      <w:r w:rsidRPr="000C1905">
        <w:rPr>
          <w:rFonts w:hint="eastAsia"/>
        </w:rPr>
        <w:t>提供种子电子”作用超过了</w:t>
      </w:r>
      <m:oMath>
        <m:r>
          <w:rPr>
            <w:rFonts w:ascii="Cambria Math" w:hAnsi="Cambria Math"/>
          </w:rPr>
          <m:t>τ</m:t>
        </m:r>
      </m:oMath>
      <w:r w:rsidRPr="000C1905">
        <w:rPr>
          <w:rFonts w:hint="eastAsia"/>
        </w:rPr>
        <w:t>下降带来的不利影响；而</w:t>
      </w:r>
      <w:r w:rsidRPr="000C1905">
        <w:t>Ca</w:t>
      </w:r>
      <w:r w:rsidRPr="000C1905">
        <w:rPr>
          <w:vertAlign w:val="superscript"/>
        </w:rPr>
        <w:t>2+</w:t>
      </w:r>
      <w:r w:rsidRPr="000C1905">
        <w:rPr>
          <w:rFonts w:hint="eastAsia"/>
        </w:rPr>
        <w:t>尽管也提供</w:t>
      </w:r>
      <w:r w:rsidRPr="000C1905">
        <w:t>Cl</w:t>
      </w:r>
      <w:r w:rsidRPr="000C1905">
        <w:rPr>
          <w:vertAlign w:val="superscript"/>
        </w:rPr>
        <w:t>−</w:t>
      </w:r>
      <w:r w:rsidRPr="000C1905">
        <w:rPr>
          <w:rFonts w:hint="eastAsia"/>
        </w:rPr>
        <w:t>，但其双电荷散射和强水合作用抑制了太赫兹辐射的增强。含</w:t>
      </w:r>
      <w:r w:rsidRPr="000C1905">
        <w:t>HCO</w:t>
      </w:r>
      <w:r w:rsidRPr="000C1905">
        <w:rPr>
          <w:vertAlign w:val="subscript"/>
        </w:rPr>
        <w:t>3</w:t>
      </w:r>
      <w:r w:rsidRPr="000C1905">
        <w:rPr>
          <w:vertAlign w:val="superscript"/>
        </w:rPr>
        <w:t>−</w:t>
      </w:r>
      <w:r w:rsidRPr="000C1905">
        <w:rPr>
          <w:rFonts w:hint="eastAsia"/>
        </w:rPr>
        <w:t>的溶液由于俘获效应占主导地位，导致太赫兹输出明显受到抑制，而</w:t>
      </w:r>
      <w:r w:rsidR="00BE6195" w:rsidRPr="000C1905">
        <w:rPr>
          <w:rFonts w:hint="eastAsia"/>
        </w:rPr>
        <w:t>Ca(HCO</w:t>
      </w:r>
      <w:r w:rsidR="00BE6195" w:rsidRPr="000C1905">
        <w:rPr>
          <w:rFonts w:hint="eastAsia"/>
          <w:vertAlign w:val="subscript"/>
        </w:rPr>
        <w:t>3</w:t>
      </w:r>
      <w:r w:rsidR="00BE6195" w:rsidRPr="000C1905">
        <w:rPr>
          <w:rFonts w:hint="eastAsia"/>
        </w:rPr>
        <w:t>)</w:t>
      </w:r>
      <w:r w:rsidR="00BE6195" w:rsidRPr="000C1905">
        <w:rPr>
          <w:rFonts w:hint="eastAsia"/>
          <w:vertAlign w:val="subscript"/>
        </w:rPr>
        <w:t>2</w:t>
      </w:r>
      <w:r w:rsidRPr="000C1905">
        <w:rPr>
          <w:rFonts w:hint="eastAsia"/>
        </w:rPr>
        <w:t>则叠加了阳离子的强散射与阴离子的快速捕获，呈现出最强的抑制趋势。这些结果充分表明，溶液中的离子对水中瞬态等离子体具有多重调控机制，从而最终决定了太赫兹辐射的效率。</w:t>
      </w:r>
    </w:p>
    <w:p w14:paraId="1DCF010A" w14:textId="77777777" w:rsidR="00BB7B17" w:rsidRPr="000C1905" w:rsidRDefault="00BB7B17" w:rsidP="003F16AB">
      <w:pPr>
        <w:ind w:firstLineChars="200" w:firstLine="420"/>
        <w:rPr>
          <w:szCs w:val="21"/>
        </w:rPr>
      </w:pPr>
    </w:p>
    <w:p w14:paraId="48AEF9E3" w14:textId="09F9EE68" w:rsidR="002802A8" w:rsidRPr="000C1905" w:rsidRDefault="00E13729" w:rsidP="00E13729">
      <w:pPr>
        <w:rPr>
          <w:b/>
          <w:sz w:val="28"/>
          <w:szCs w:val="28"/>
        </w:rPr>
      </w:pPr>
      <w:commentRangeStart w:id="8"/>
      <w:r w:rsidRPr="000C1905">
        <w:rPr>
          <w:rFonts w:hint="eastAsia"/>
          <w:b/>
          <w:sz w:val="28"/>
          <w:szCs w:val="28"/>
        </w:rPr>
        <w:t xml:space="preserve">4 </w:t>
      </w:r>
      <w:r w:rsidR="002802A8" w:rsidRPr="000C1905">
        <w:rPr>
          <w:rFonts w:hint="eastAsia"/>
          <w:b/>
          <w:sz w:val="28"/>
          <w:szCs w:val="28"/>
        </w:rPr>
        <w:t>分子动力学模拟</w:t>
      </w:r>
      <w:commentRangeEnd w:id="8"/>
      <w:r w:rsidR="00537EBA">
        <w:rPr>
          <w:rStyle w:val="ad"/>
        </w:rPr>
        <w:commentReference w:id="8"/>
      </w:r>
    </w:p>
    <w:p w14:paraId="10C84E6A" w14:textId="4E6676CD" w:rsidR="002802A8" w:rsidRPr="000C1905" w:rsidRDefault="00572991" w:rsidP="002802A8">
      <w:pPr>
        <w:ind w:firstLineChars="200" w:firstLine="420"/>
      </w:pPr>
      <w:r>
        <w:rPr>
          <w:rFonts w:ascii="Segoe UI" w:hAnsi="Segoe UI" w:cs="Segoe UI"/>
          <w:color w:val="0F1115"/>
          <w:shd w:val="clear" w:color="auto" w:fill="FFFFFF"/>
        </w:rPr>
        <w:t>为从分子层面深入阐明离子对飞秒激光诱导太赫兹辐射的调制机理，本研究在实验观测基础上开展了分子动力学模拟。模拟采用</w:t>
      </w:r>
      <w:r>
        <w:rPr>
          <w:rFonts w:ascii="Segoe UI" w:hAnsi="Segoe UI" w:cs="Segoe UI"/>
          <w:color w:val="0F1115"/>
          <w:shd w:val="clear" w:color="auto" w:fill="FFFFFF"/>
        </w:rPr>
        <w:t>GROMACS 2022.5</w:t>
      </w:r>
      <w:r>
        <w:rPr>
          <w:rFonts w:ascii="Segoe UI" w:hAnsi="Segoe UI" w:cs="Segoe UI"/>
          <w:color w:val="0F1115"/>
          <w:shd w:val="clear" w:color="auto" w:fill="FFFFFF"/>
        </w:rPr>
        <w:t>软件包，选用</w:t>
      </w:r>
      <w:r>
        <w:rPr>
          <w:rFonts w:ascii="Segoe UI" w:hAnsi="Segoe UI" w:cs="Segoe UI"/>
          <w:color w:val="0F1115"/>
          <w:shd w:val="clear" w:color="auto" w:fill="FFFFFF"/>
        </w:rPr>
        <w:t>SPC/E</w:t>
      </w:r>
      <w:r>
        <w:rPr>
          <w:rFonts w:ascii="Segoe UI" w:hAnsi="Segoe UI" w:cs="Segoe UI"/>
          <w:color w:val="0F1115"/>
          <w:shd w:val="clear" w:color="auto" w:fill="FFFFFF"/>
        </w:rPr>
        <w:t>水模型和</w:t>
      </w:r>
      <w:r>
        <w:rPr>
          <w:rFonts w:ascii="Segoe UI" w:hAnsi="Segoe UI" w:cs="Segoe UI"/>
          <w:color w:val="0F1115"/>
          <w:shd w:val="clear" w:color="auto" w:fill="FFFFFF"/>
        </w:rPr>
        <w:t>OPLS-AA</w:t>
      </w:r>
      <w:r>
        <w:rPr>
          <w:rFonts w:ascii="Segoe UI" w:hAnsi="Segoe UI" w:cs="Segoe UI"/>
          <w:color w:val="0F1115"/>
          <w:shd w:val="clear" w:color="auto" w:fill="FFFFFF"/>
        </w:rPr>
        <w:t>力场描述</w:t>
      </w:r>
      <w:r>
        <w:rPr>
          <w:rFonts w:ascii="Segoe UI" w:hAnsi="Segoe UI" w:cs="Segoe UI"/>
          <w:color w:val="0F1115"/>
          <w:shd w:val="clear" w:color="auto" w:fill="FFFFFF"/>
        </w:rPr>
        <w:t>Na⁺</w:t>
      </w:r>
      <w:r>
        <w:rPr>
          <w:rFonts w:ascii="Segoe UI" w:hAnsi="Segoe UI" w:cs="Segoe UI"/>
          <w:color w:val="0F1115"/>
          <w:shd w:val="clear" w:color="auto" w:fill="FFFFFF"/>
        </w:rPr>
        <w:t>、</w:t>
      </w:r>
      <w:r>
        <w:rPr>
          <w:rFonts w:ascii="Segoe UI" w:hAnsi="Segoe UI" w:cs="Segoe UI"/>
          <w:color w:val="0F1115"/>
          <w:shd w:val="clear" w:color="auto" w:fill="FFFFFF"/>
        </w:rPr>
        <w:t>Cl⁻</w:t>
      </w:r>
      <w:r>
        <w:rPr>
          <w:rFonts w:ascii="Segoe UI" w:hAnsi="Segoe UI" w:cs="Segoe UI"/>
          <w:color w:val="0F1115"/>
          <w:shd w:val="clear" w:color="auto" w:fill="FFFFFF"/>
        </w:rPr>
        <w:t>等常规离子；对于</w:t>
      </w:r>
      <w:r>
        <w:rPr>
          <w:rFonts w:ascii="Segoe UI" w:hAnsi="Segoe UI" w:cs="Segoe UI"/>
          <w:color w:val="0F1115"/>
          <w:shd w:val="clear" w:color="auto" w:fill="FFFFFF"/>
        </w:rPr>
        <w:t>HCO₃⁻</w:t>
      </w:r>
      <w:r>
        <w:rPr>
          <w:rFonts w:ascii="Segoe UI" w:hAnsi="Segoe UI" w:cs="Segoe UI"/>
          <w:color w:val="0F1115"/>
          <w:shd w:val="clear" w:color="auto" w:fill="FFFFFF"/>
        </w:rPr>
        <w:t>离子，通过</w:t>
      </w:r>
      <w:r>
        <w:rPr>
          <w:rFonts w:ascii="Segoe UI" w:hAnsi="Segoe UI" w:cs="Segoe UI"/>
          <w:color w:val="0F1115"/>
          <w:shd w:val="clear" w:color="auto" w:fill="FFFFFF"/>
        </w:rPr>
        <w:t>LigParGen</w:t>
      </w:r>
      <w:r>
        <w:rPr>
          <w:rFonts w:ascii="Segoe UI" w:hAnsi="Segoe UI" w:cs="Segoe UI"/>
          <w:color w:val="0F1115"/>
          <w:shd w:val="clear" w:color="auto" w:fill="FFFFFF"/>
        </w:rPr>
        <w:t>服务器生成</w:t>
      </w:r>
      <w:r>
        <w:rPr>
          <w:rFonts w:ascii="Segoe UI" w:hAnsi="Segoe UI" w:cs="Segoe UI"/>
          <w:color w:val="0F1115"/>
          <w:shd w:val="clear" w:color="auto" w:fill="FFFFFF"/>
        </w:rPr>
        <w:t>OPLS</w:t>
      </w:r>
      <w:r>
        <w:rPr>
          <w:rFonts w:ascii="Segoe UI" w:hAnsi="Segoe UI" w:cs="Segoe UI"/>
          <w:color w:val="0F1115"/>
          <w:shd w:val="clear" w:color="auto" w:fill="FFFFFF"/>
        </w:rPr>
        <w:t>兼容的力场参数。模拟体系构建如下：将约</w:t>
      </w:r>
      <w:r>
        <w:rPr>
          <w:rFonts w:ascii="Segoe UI" w:hAnsi="Segoe UI" w:cs="Segoe UI"/>
          <w:color w:val="0F1115"/>
          <w:shd w:val="clear" w:color="auto" w:fill="FFFFFF"/>
        </w:rPr>
        <w:t>3000</w:t>
      </w:r>
      <w:r>
        <w:rPr>
          <w:rFonts w:ascii="Segoe UI" w:hAnsi="Segoe UI" w:cs="Segoe UI"/>
          <w:color w:val="0F1115"/>
          <w:shd w:val="clear" w:color="auto" w:fill="FFFFFF"/>
        </w:rPr>
        <w:t>个水分子与目标浓度对应的离子置于具有周期性边界的立方模拟盒中。首先</w:t>
      </w:r>
      <w:r w:rsidR="004952F6">
        <w:rPr>
          <w:rFonts w:ascii="Segoe UI" w:hAnsi="Segoe UI" w:cs="Segoe UI" w:hint="eastAsia"/>
          <w:color w:val="0F1115"/>
          <w:shd w:val="clear" w:color="auto" w:fill="FFFFFF"/>
        </w:rPr>
        <w:t>，</w:t>
      </w:r>
      <w:r>
        <w:rPr>
          <w:rFonts w:ascii="Segoe UI" w:hAnsi="Segoe UI" w:cs="Segoe UI"/>
          <w:color w:val="0F1115"/>
          <w:shd w:val="clear" w:color="auto" w:fill="FFFFFF"/>
        </w:rPr>
        <w:t>进行能量最小化，随后在</w:t>
      </w:r>
      <w:r>
        <w:rPr>
          <w:rFonts w:ascii="Segoe UI" w:hAnsi="Segoe UI" w:cs="Segoe UI"/>
          <w:color w:val="0F1115"/>
          <w:shd w:val="clear" w:color="auto" w:fill="FFFFFF"/>
        </w:rPr>
        <w:t>NPT</w:t>
      </w:r>
      <w:r>
        <w:rPr>
          <w:rFonts w:ascii="Segoe UI" w:hAnsi="Segoe UI" w:cs="Segoe UI"/>
          <w:color w:val="0F1115"/>
          <w:shd w:val="clear" w:color="auto" w:fill="FFFFFF"/>
        </w:rPr>
        <w:t>系综下进行平衡（温度</w:t>
      </w:r>
      <w:r>
        <w:rPr>
          <w:rFonts w:ascii="Segoe UI" w:hAnsi="Segoe UI" w:cs="Segoe UI"/>
          <w:color w:val="0F1115"/>
          <w:shd w:val="clear" w:color="auto" w:fill="FFFFFF"/>
        </w:rPr>
        <w:t>300 K</w:t>
      </w:r>
      <w:r>
        <w:rPr>
          <w:rFonts w:ascii="Segoe UI" w:hAnsi="Segoe UI" w:cs="Segoe UI"/>
          <w:color w:val="0F1115"/>
          <w:shd w:val="clear" w:color="auto" w:fill="FFFFFF"/>
        </w:rPr>
        <w:t>，压力</w:t>
      </w:r>
      <w:r>
        <w:rPr>
          <w:rFonts w:ascii="Segoe UI" w:hAnsi="Segoe UI" w:cs="Segoe UI"/>
          <w:color w:val="0F1115"/>
          <w:shd w:val="clear" w:color="auto" w:fill="FFFFFF"/>
        </w:rPr>
        <w:t>1 bar</w:t>
      </w:r>
      <w:r>
        <w:rPr>
          <w:rFonts w:ascii="Segoe UI" w:hAnsi="Segoe UI" w:cs="Segoe UI"/>
          <w:color w:val="0F1115"/>
          <w:shd w:val="clear" w:color="auto" w:fill="FFFFFF"/>
        </w:rPr>
        <w:t>，采用</w:t>
      </w:r>
      <w:r>
        <w:rPr>
          <w:rFonts w:ascii="Segoe UI" w:hAnsi="Segoe UI" w:cs="Segoe UI"/>
          <w:color w:val="0F1115"/>
          <w:shd w:val="clear" w:color="auto" w:fill="FFFFFF"/>
        </w:rPr>
        <w:t>Berendsen</w:t>
      </w:r>
      <w:r>
        <w:rPr>
          <w:rFonts w:ascii="Segoe UI" w:hAnsi="Segoe UI" w:cs="Segoe UI"/>
          <w:color w:val="0F1115"/>
          <w:shd w:val="clear" w:color="auto" w:fill="FFFFFF"/>
        </w:rPr>
        <w:t>控压和</w:t>
      </w:r>
      <w:r>
        <w:rPr>
          <w:rFonts w:ascii="Segoe UI" w:hAnsi="Segoe UI" w:cs="Segoe UI"/>
          <w:color w:val="0F1115"/>
          <w:shd w:val="clear" w:color="auto" w:fill="FFFFFF"/>
        </w:rPr>
        <w:t>Langevin</w:t>
      </w:r>
      <w:r>
        <w:rPr>
          <w:rFonts w:ascii="Segoe UI" w:hAnsi="Segoe UI" w:cs="Segoe UI"/>
          <w:color w:val="0F1115"/>
          <w:shd w:val="clear" w:color="auto" w:fill="FFFFFF"/>
        </w:rPr>
        <w:t>控温，时间常数</w:t>
      </w:r>
      <w:r>
        <w:rPr>
          <w:rFonts w:ascii="Segoe UI" w:hAnsi="Segoe UI" w:cs="Segoe UI"/>
          <w:color w:val="0F1115"/>
          <w:shd w:val="clear" w:color="auto" w:fill="FFFFFF"/>
        </w:rPr>
        <w:t>1 ps</w:t>
      </w:r>
      <w:r>
        <w:rPr>
          <w:rFonts w:ascii="Segoe UI" w:hAnsi="Segoe UI" w:cs="Segoe UI"/>
          <w:color w:val="0F1115"/>
          <w:shd w:val="clear" w:color="auto" w:fill="FFFFFF"/>
        </w:rPr>
        <w:t>），直至体系密度与势能稳定。平衡完成后，转入</w:t>
      </w:r>
      <w:r>
        <w:rPr>
          <w:rFonts w:ascii="Segoe UI" w:hAnsi="Segoe UI" w:cs="Segoe UI"/>
          <w:color w:val="0F1115"/>
          <w:shd w:val="clear" w:color="auto" w:fill="FFFFFF"/>
        </w:rPr>
        <w:t>NVT</w:t>
      </w:r>
      <w:r>
        <w:rPr>
          <w:rFonts w:ascii="Segoe UI" w:hAnsi="Segoe UI" w:cs="Segoe UI"/>
          <w:color w:val="0F1115"/>
          <w:shd w:val="clear" w:color="auto" w:fill="FFFFFF"/>
        </w:rPr>
        <w:t>系综进行</w:t>
      </w:r>
      <w:r>
        <w:rPr>
          <w:rFonts w:ascii="Segoe UI" w:hAnsi="Segoe UI" w:cs="Segoe UI"/>
          <w:color w:val="0F1115"/>
          <w:shd w:val="clear" w:color="auto" w:fill="FFFFFF"/>
        </w:rPr>
        <w:t>20 ns</w:t>
      </w:r>
      <w:r>
        <w:rPr>
          <w:rFonts w:ascii="Segoe UI" w:hAnsi="Segoe UI" w:cs="Segoe UI"/>
          <w:color w:val="0F1115"/>
          <w:shd w:val="clear" w:color="auto" w:fill="FFFFFF"/>
        </w:rPr>
        <w:t>的生产模拟。模拟过程中，积分时间步长设为</w:t>
      </w:r>
      <w:r>
        <w:rPr>
          <w:rFonts w:ascii="Segoe UI" w:hAnsi="Segoe UI" w:cs="Segoe UI"/>
          <w:color w:val="0F1115"/>
          <w:shd w:val="clear" w:color="auto" w:fill="FFFFFF"/>
        </w:rPr>
        <w:t>2 fs</w:t>
      </w:r>
      <w:r>
        <w:rPr>
          <w:rFonts w:ascii="Segoe UI" w:hAnsi="Segoe UI" w:cs="Segoe UI"/>
          <w:color w:val="0F1115"/>
          <w:shd w:val="clear" w:color="auto" w:fill="FFFFFF"/>
        </w:rPr>
        <w:t>，所有氢键均施加</w:t>
      </w:r>
      <w:r>
        <w:rPr>
          <w:rFonts w:ascii="Segoe UI" w:hAnsi="Segoe UI" w:cs="Segoe UI"/>
          <w:color w:val="0F1115"/>
          <w:shd w:val="clear" w:color="auto" w:fill="FFFFFF"/>
        </w:rPr>
        <w:t>LINCS</w:t>
      </w:r>
      <w:r>
        <w:rPr>
          <w:rFonts w:ascii="Segoe UI" w:hAnsi="Segoe UI" w:cs="Segoe UI"/>
          <w:color w:val="0F1115"/>
          <w:shd w:val="clear" w:color="auto" w:fill="FFFFFF"/>
        </w:rPr>
        <w:t>约束以确保数值稳定性。为提升氢键动力学的统计分辨率，轨迹保存时间间隔设置为</w:t>
      </w:r>
      <w:r>
        <w:rPr>
          <w:rFonts w:ascii="Segoe UI" w:hAnsi="Segoe UI" w:cs="Segoe UI"/>
          <w:color w:val="0F1115"/>
          <w:shd w:val="clear" w:color="auto" w:fill="FFFFFF"/>
        </w:rPr>
        <w:t>10 fs</w:t>
      </w:r>
      <w:r w:rsidR="002802A8" w:rsidRPr="000C1905">
        <w:rPr>
          <w:rFonts w:hint="eastAsia"/>
        </w:rPr>
        <w:t>。</w:t>
      </w:r>
    </w:p>
    <w:p w14:paraId="4FD23FCF" w14:textId="4D8F4705" w:rsidR="002802A8" w:rsidRPr="000C1905" w:rsidRDefault="002802A8" w:rsidP="003F16AB">
      <w:pPr>
        <w:ind w:firstLineChars="200" w:firstLine="420"/>
      </w:pPr>
      <w:r w:rsidRPr="000C1905">
        <w:rPr>
          <w:rFonts w:hint="eastAsia"/>
        </w:rPr>
        <w:t>为量化溶液中氢键状态，在</w:t>
      </w:r>
      <m:oMath>
        <m:r>
          <w:rPr>
            <w:rFonts w:ascii="Cambria Math" w:hAnsi="Cambria Math"/>
          </w:rPr>
          <m:t>N</m:t>
        </m:r>
      </m:oMath>
      <w:r w:rsidRPr="000C1905">
        <w:rPr>
          <w:rFonts w:hint="eastAsia"/>
        </w:rPr>
        <w:t>个水分子的体系内，任一水分子可形成的氢键数量</w:t>
      </w:r>
      <m:oMath>
        <m:sSub>
          <m:sSubPr>
            <m:ctrlPr>
              <w:rPr>
                <w:rFonts w:ascii="Cambria Math" w:hAnsi="Cambria Math"/>
              </w:rPr>
            </m:ctrlPr>
          </m:sSubPr>
          <m:e>
            <m:r>
              <w:rPr>
                <w:rFonts w:ascii="Cambria Math" w:hAnsi="Cambria Math"/>
              </w:rPr>
              <m:t>n</m:t>
            </m:r>
          </m:e>
          <m:sub>
            <m:r>
              <w:rPr>
                <w:rFonts w:ascii="Cambria Math" w:hAnsi="Cambria Math"/>
              </w:rPr>
              <m:t>HB</m:t>
            </m:r>
          </m:sub>
        </m:sSub>
        <m:r>
          <w:rPr>
            <w:rFonts w:ascii="Cambria Math" w:hAnsi="Cambria Math"/>
          </w:rPr>
          <m:t>(i)</m:t>
        </m:r>
      </m:oMath>
      <w:r w:rsidRPr="000C1905">
        <w:rPr>
          <w:rFonts w:hint="eastAsia"/>
        </w:rPr>
        <w:t>可通过遍历所有分子对来统计，用平均氢键数量</w:t>
      </w:r>
      <m:oMath>
        <m:sSub>
          <m:sSubPr>
            <m:ctrlPr>
              <w:rPr>
                <w:rFonts w:ascii="Cambria Math" w:hAnsi="Cambria Math"/>
              </w:rPr>
            </m:ctrlPr>
          </m:sSubPr>
          <m:e>
            <m:r>
              <w:rPr>
                <w:rFonts w:ascii="Cambria Math" w:hAnsi="Cambria Math"/>
              </w:rPr>
              <m:t>N</m:t>
            </m:r>
          </m:e>
          <m:sub>
            <m:r>
              <m:rPr>
                <m:nor/>
              </m:rPr>
              <m:t>HB</m:t>
            </m:r>
          </m:sub>
        </m:sSub>
      </m:oMath>
      <w:r w:rsidRPr="000C1905">
        <w:rPr>
          <w:rFonts w:hint="eastAsia"/>
        </w:rPr>
        <w:t>计算全体系氢键总数</w:t>
      </w:r>
      <w:r w:rsidR="00712DE3" w:rsidRPr="000C1905">
        <w:rPr>
          <w:vertAlign w:val="superscript"/>
        </w:rPr>
        <w:fldChar w:fldCharType="begin"/>
      </w:r>
      <w:r w:rsidR="00712DE3" w:rsidRPr="000C1905">
        <w:rPr>
          <w:vertAlign w:val="superscript"/>
        </w:rPr>
        <w:instrText xml:space="preserve"> REF _Ref196149810 \r \h </w:instrText>
      </w:r>
      <w:r w:rsidR="00712DE3" w:rsidRPr="000C1905">
        <w:rPr>
          <w:vertAlign w:val="superscript"/>
        </w:rPr>
      </w:r>
      <w:r w:rsidR="00712DE3" w:rsidRPr="000C1905">
        <w:rPr>
          <w:vertAlign w:val="superscript"/>
        </w:rPr>
        <w:fldChar w:fldCharType="separate"/>
      </w:r>
      <w:r w:rsidR="008F6340" w:rsidRPr="000C1905">
        <w:rPr>
          <w:vertAlign w:val="superscript"/>
        </w:rPr>
        <w:t>[25]</w:t>
      </w:r>
      <w:r w:rsidR="00712DE3" w:rsidRPr="000C1905">
        <w:rPr>
          <w:vertAlign w:val="superscript"/>
        </w:rPr>
        <w:fldChar w:fldCharType="end"/>
      </w:r>
      <w:r w:rsidRPr="000C1905">
        <w:rPr>
          <w:rFonts w:hint="eastAsia"/>
        </w:rPr>
        <w:t>：</w:t>
      </w:r>
    </w:p>
    <w:p w14:paraId="0CA4706C" w14:textId="3BC5FD48" w:rsidR="003F16AB" w:rsidRPr="000C1905" w:rsidRDefault="003F16AB" w:rsidP="00596347">
      <w:pPr>
        <w:ind w:firstLineChars="200" w:firstLine="420"/>
        <w:jc w:val="center"/>
        <w:rPr>
          <w:szCs w:val="21"/>
        </w:rPr>
      </w:pPr>
      <m:oMath>
        <m:r>
          <w:rPr>
            <w:rFonts w:ascii="Cambria Math" w:hAnsi="Cambria Math"/>
            <w:szCs w:val="21"/>
          </w:rPr>
          <m:t>〈</m:t>
        </m:r>
        <m:sSub>
          <m:sSubPr>
            <m:ctrlPr>
              <w:rPr>
                <w:rFonts w:ascii="Cambria Math" w:hAnsi="Cambria Math"/>
                <w:szCs w:val="21"/>
              </w:rPr>
            </m:ctrlPr>
          </m:sSubPr>
          <m:e>
            <m:r>
              <w:rPr>
                <w:rFonts w:ascii="Cambria Math" w:hAnsi="Cambria Math"/>
                <w:szCs w:val="21"/>
              </w:rPr>
              <m:t>N</m:t>
            </m:r>
          </m:e>
          <m:sub>
            <m:r>
              <m:rPr>
                <m:nor/>
              </m:rPr>
              <w:rPr>
                <w:szCs w:val="21"/>
              </w:rPr>
              <m:t>HB</m:t>
            </m:r>
          </m:sub>
        </m:sSub>
        <m:r>
          <w:rPr>
            <w:rFonts w:ascii="Cambria Math" w:hAnsi="Cambria Math"/>
            <w:szCs w:val="21"/>
          </w:rPr>
          <m:t>〉=</m:t>
        </m:r>
        <m:f>
          <m:fPr>
            <m:ctrlPr>
              <w:rPr>
                <w:rFonts w:ascii="Cambria Math" w:hAnsi="Cambria Math"/>
                <w:szCs w:val="21"/>
              </w:rPr>
            </m:ctrlPr>
          </m:fPr>
          <m:num>
            <m:r>
              <w:rPr>
                <w:rFonts w:ascii="Cambria Math" w:hAnsi="Cambria Math"/>
                <w:szCs w:val="21"/>
              </w:rPr>
              <m:t>1</m:t>
            </m:r>
          </m:num>
          <m:den>
            <m:r>
              <w:rPr>
                <w:rFonts w:ascii="Cambria Math" w:hAnsi="Cambria Math"/>
                <w:szCs w:val="21"/>
              </w:rPr>
              <m:t>2</m:t>
            </m:r>
          </m:den>
        </m:f>
        <m:nary>
          <m:naryPr>
            <m:chr m:val="∑"/>
            <m:limLoc m:val="undOvr"/>
            <m:grow m:val="1"/>
            <m:ctrlPr>
              <w:rPr>
                <w:rFonts w:ascii="Cambria Math" w:hAnsi="Cambria Math"/>
                <w:szCs w:val="21"/>
              </w:rPr>
            </m:ctrlPr>
          </m:naryPr>
          <m:sub>
            <m:r>
              <w:rPr>
                <w:rFonts w:ascii="Cambria Math" w:hAnsi="Cambria Math"/>
                <w:szCs w:val="21"/>
              </w:rPr>
              <m:t>i=1</m:t>
            </m:r>
          </m:sub>
          <m:sup>
            <m:r>
              <w:rPr>
                <w:rFonts w:ascii="Cambria Math" w:hAnsi="Cambria Math"/>
                <w:szCs w:val="21"/>
              </w:rPr>
              <m:t>N</m:t>
            </m:r>
          </m:sup>
          <m:e>
            <m:r>
              <w:rPr>
                <w:rFonts w:ascii="Cambria Math" w:hAnsi="Cambria Math"/>
                <w:szCs w:val="21"/>
              </w:rPr>
              <m:t>〈</m:t>
            </m:r>
            <m:sSub>
              <m:sSubPr>
                <m:ctrlPr>
                  <w:rPr>
                    <w:rFonts w:ascii="Cambria Math" w:hAnsi="Cambria Math"/>
                    <w:szCs w:val="21"/>
                  </w:rPr>
                </m:ctrlPr>
              </m:sSubPr>
              <m:e>
                <m:r>
                  <w:rPr>
                    <w:rFonts w:ascii="Cambria Math" w:hAnsi="Cambria Math"/>
                    <w:szCs w:val="21"/>
                  </w:rPr>
                  <m:t>n</m:t>
                </m:r>
              </m:e>
              <m:sub>
                <m:r>
                  <m:rPr>
                    <m:nor/>
                  </m:rPr>
                  <w:rPr>
                    <w:szCs w:val="21"/>
                  </w:rPr>
                  <m:t>HB</m:t>
                </m:r>
              </m:sub>
            </m:sSub>
            <m:r>
              <w:rPr>
                <w:rFonts w:ascii="Cambria Math" w:hAnsi="Cambria Math"/>
                <w:szCs w:val="21"/>
              </w:rPr>
              <m:t>(</m:t>
            </m:r>
          </m:e>
        </m:nary>
        <m:r>
          <w:rPr>
            <w:rFonts w:ascii="Cambria Math" w:hAnsi="Cambria Math"/>
            <w:szCs w:val="21"/>
          </w:rPr>
          <m:t>i)〉</m:t>
        </m:r>
      </m:oMath>
      <w:r w:rsidR="00596347">
        <w:rPr>
          <w:rFonts w:hint="eastAsia"/>
          <w:szCs w:val="21"/>
        </w:rPr>
        <w:t xml:space="preserve">  </w:t>
      </w:r>
      <w:r w:rsidR="00596347">
        <w:rPr>
          <w:rFonts w:hint="eastAsia"/>
          <w:szCs w:val="21"/>
        </w:rPr>
        <w:t>（</w:t>
      </w:r>
      <w:r w:rsidR="00596347">
        <w:rPr>
          <w:rFonts w:hint="eastAsia"/>
          <w:szCs w:val="21"/>
        </w:rPr>
        <w:t>8</w:t>
      </w:r>
      <w:r w:rsidR="00596347">
        <w:rPr>
          <w:rFonts w:hint="eastAsia"/>
          <w:szCs w:val="21"/>
        </w:rPr>
        <w:t>）</w:t>
      </w:r>
    </w:p>
    <w:p w14:paraId="03801D66" w14:textId="674BB17C" w:rsidR="002802A8" w:rsidRPr="000C1905" w:rsidRDefault="002802A8" w:rsidP="002802A8">
      <w:pPr>
        <w:ind w:firstLineChars="200" w:firstLine="420"/>
      </w:pPr>
      <w:r w:rsidRPr="000C1905">
        <w:rPr>
          <w:rFonts w:hint="eastAsia"/>
        </w:rPr>
        <w:t>平均氢键数随离子浓度的变化关系</w:t>
      </w:r>
      <w:r w:rsidR="00596347">
        <w:rPr>
          <w:rFonts w:hint="eastAsia"/>
        </w:rPr>
        <w:t>如</w:t>
      </w:r>
      <w:r w:rsidR="00596347" w:rsidRPr="000C1905">
        <w:rPr>
          <w:rFonts w:hint="eastAsia"/>
        </w:rPr>
        <w:t>图</w:t>
      </w:r>
      <w:r w:rsidR="00596347" w:rsidRPr="000C1905">
        <w:rPr>
          <w:rFonts w:hint="eastAsia"/>
        </w:rPr>
        <w:t>8</w:t>
      </w:r>
      <w:r w:rsidR="00596347">
        <w:rPr>
          <w:rFonts w:hint="eastAsia"/>
        </w:rPr>
        <w:t>所示</w:t>
      </w:r>
      <w:r w:rsidRPr="000C1905">
        <w:rPr>
          <w:rFonts w:hint="eastAsia"/>
        </w:rPr>
        <w:t>。研究表明，任何盐的添加都会导致平均氢键数的减少，这一现象与扩展氢键网络的破坏相吻合。值得注意的是，不同离子对氢键数的影响程度存在显著差异。当浓度达到</w:t>
      </w:r>
      <w:r w:rsidRPr="000C1905">
        <w:t>0.6 M</w:t>
      </w:r>
      <w:r w:rsidRPr="000C1905">
        <w:rPr>
          <w:rFonts w:hint="eastAsia"/>
        </w:rPr>
        <w:t>时，</w:t>
      </w:r>
      <w:r w:rsidR="00BE6195" w:rsidRPr="000C1905">
        <w:rPr>
          <w:rFonts w:hint="eastAsia"/>
        </w:rPr>
        <w:t>Ca(HCO</w:t>
      </w:r>
      <w:r w:rsidR="00BE6195" w:rsidRPr="000C1905">
        <w:rPr>
          <w:rFonts w:hint="eastAsia"/>
          <w:vertAlign w:val="subscript"/>
        </w:rPr>
        <w:t>3</w:t>
      </w:r>
      <w:r w:rsidR="00BE6195" w:rsidRPr="000C1905">
        <w:rPr>
          <w:rFonts w:hint="eastAsia"/>
        </w:rPr>
        <w:t>)</w:t>
      </w:r>
      <w:r w:rsidR="00BE6195" w:rsidRPr="000C1905">
        <w:rPr>
          <w:rFonts w:hint="eastAsia"/>
          <w:vertAlign w:val="subscript"/>
        </w:rPr>
        <w:t>2</w:t>
      </w:r>
      <w:r w:rsidRPr="000C1905">
        <w:rPr>
          <w:rFonts w:hint="eastAsia"/>
        </w:rPr>
        <w:t>引起的氢键数下降最为明显。这一现象可归因于部分水</w:t>
      </w:r>
      <w:r w:rsidRPr="000C1905">
        <w:t>-</w:t>
      </w:r>
      <w:r w:rsidRPr="000C1905">
        <w:rPr>
          <w:rFonts w:hint="eastAsia"/>
        </w:rPr>
        <w:t>水氢键被水</w:t>
      </w:r>
      <w:r w:rsidRPr="000C1905">
        <w:t>-Ca²⁺</w:t>
      </w:r>
      <w:r w:rsidRPr="000C1905">
        <w:rPr>
          <w:rFonts w:hint="eastAsia"/>
        </w:rPr>
        <w:t>配位所取代，而这些配位作用并不被计入氢键范畴</w:t>
      </w:r>
      <w:r w:rsidR="00712DE3" w:rsidRPr="000C1905">
        <w:rPr>
          <w:vertAlign w:val="superscript"/>
        </w:rPr>
        <w:fldChar w:fldCharType="begin"/>
      </w:r>
      <w:r w:rsidR="00712DE3" w:rsidRPr="000C1905">
        <w:rPr>
          <w:vertAlign w:val="superscript"/>
        </w:rPr>
        <w:instrText xml:space="preserve"> REF _Ref196149822 \r \h </w:instrText>
      </w:r>
      <w:r w:rsidR="00712DE3" w:rsidRPr="000C1905">
        <w:rPr>
          <w:vertAlign w:val="superscript"/>
        </w:rPr>
      </w:r>
      <w:r w:rsidR="00712DE3" w:rsidRPr="000C1905">
        <w:rPr>
          <w:vertAlign w:val="superscript"/>
        </w:rPr>
        <w:fldChar w:fldCharType="separate"/>
      </w:r>
      <w:r w:rsidR="008F6340" w:rsidRPr="000C1905">
        <w:rPr>
          <w:vertAlign w:val="superscript"/>
        </w:rPr>
        <w:t>[26]</w:t>
      </w:r>
      <w:r w:rsidR="00712DE3" w:rsidRPr="000C1905">
        <w:rPr>
          <w:vertAlign w:val="superscript"/>
        </w:rPr>
        <w:fldChar w:fldCharType="end"/>
      </w:r>
      <w:r w:rsidRPr="000C1905">
        <w:rPr>
          <w:rFonts w:hint="eastAsia"/>
        </w:rPr>
        <w:t>。此外，</w:t>
      </w:r>
      <w:r w:rsidRPr="000C1905">
        <w:t>HCO₃⁻</w:t>
      </w:r>
      <w:r w:rsidRPr="000C1905">
        <w:rPr>
          <w:rFonts w:hint="eastAsia"/>
        </w:rPr>
        <w:t>会导致氢键显著减少，特别是当其与</w:t>
      </w:r>
      <w:r w:rsidRPr="000C1905">
        <w:t>Ca²⁺</w:t>
      </w:r>
      <w:r w:rsidRPr="000C1905">
        <w:rPr>
          <w:rFonts w:hint="eastAsia"/>
        </w:rPr>
        <w:t>结合时。实验结果进一步证实，</w:t>
      </w:r>
      <w:r w:rsidRPr="000C1905">
        <w:t>Cl⁻</w:t>
      </w:r>
      <w:r w:rsidRPr="000C1905">
        <w:rPr>
          <w:rFonts w:hint="eastAsia"/>
        </w:rPr>
        <w:t>和</w:t>
      </w:r>
      <w:r w:rsidRPr="000C1905">
        <w:t>Na⁺</w:t>
      </w:r>
      <w:r w:rsidRPr="000C1905">
        <w:rPr>
          <w:rFonts w:hint="eastAsia"/>
        </w:rPr>
        <w:t>作为中等程度的结构破坏者，而</w:t>
      </w:r>
      <w:r w:rsidRPr="000C1905">
        <w:t>HCO₃⁻</w:t>
      </w:r>
      <w:r w:rsidRPr="000C1905">
        <w:rPr>
          <w:rFonts w:hint="eastAsia"/>
        </w:rPr>
        <w:t>对氢键网络具有更为显著的破坏作用。</w:t>
      </w:r>
    </w:p>
    <w:p w14:paraId="152DDE4E" w14:textId="53146A88" w:rsidR="00B64ABF" w:rsidRPr="000C1905" w:rsidRDefault="004F4C82" w:rsidP="00B64ABF">
      <w:pPr>
        <w:widowControl/>
        <w:spacing w:line="360" w:lineRule="auto"/>
        <w:ind w:firstLineChars="200" w:firstLine="420"/>
        <w:jc w:val="center"/>
        <w:rPr>
          <w:sz w:val="24"/>
        </w:rPr>
      </w:pPr>
      <w:r w:rsidRPr="000C1905">
        <w:object w:dxaOrig="4297" w:dyaOrig="3432" w14:anchorId="5B688072">
          <v:shape id="_x0000_i1032" type="#_x0000_t75" style="width:215.15pt;height:171.65pt" o:ole="">
            <v:imagedata r:id="rId24" o:title=""/>
          </v:shape>
          <o:OLEObject Type="Embed" ProgID="Visio.Drawing.15" ShapeID="_x0000_i1032" DrawAspect="Content" ObjectID="_1838876121" r:id="rId25"/>
        </w:object>
      </w:r>
    </w:p>
    <w:p w14:paraId="6646A1EB" w14:textId="4736C36E" w:rsidR="002802A8" w:rsidRPr="000C1905" w:rsidRDefault="00B64ABF" w:rsidP="00E13729">
      <w:pPr>
        <w:jc w:val="center"/>
        <w:rPr>
          <w:rFonts w:ascii="宋体" w:hAnsi="宋体"/>
          <w:b/>
          <w:sz w:val="15"/>
          <w:szCs w:val="15"/>
        </w:rPr>
      </w:pPr>
      <w:r w:rsidRPr="000C1905">
        <w:rPr>
          <w:rFonts w:ascii="宋体" w:hAnsi="宋体" w:hint="eastAsia"/>
          <w:b/>
          <w:sz w:val="15"/>
          <w:szCs w:val="15"/>
        </w:rPr>
        <w:t>图</w:t>
      </w:r>
      <w:r w:rsidR="007E616A" w:rsidRPr="000C1905">
        <w:rPr>
          <w:rFonts w:ascii="宋体" w:hAnsi="宋体" w:hint="eastAsia"/>
          <w:b/>
          <w:sz w:val="15"/>
          <w:szCs w:val="15"/>
        </w:rPr>
        <w:t>8</w:t>
      </w:r>
      <w:r w:rsidR="00E13729" w:rsidRPr="000C1905">
        <w:rPr>
          <w:rFonts w:ascii="宋体" w:hAnsi="宋体" w:hint="eastAsia"/>
          <w:b/>
          <w:sz w:val="15"/>
          <w:szCs w:val="15"/>
        </w:rPr>
        <w:t xml:space="preserve">  </w:t>
      </w:r>
      <w:r w:rsidRPr="000C1905">
        <w:rPr>
          <w:rFonts w:ascii="宋体" w:hAnsi="宋体" w:hint="eastAsia"/>
          <w:b/>
          <w:sz w:val="15"/>
          <w:szCs w:val="15"/>
        </w:rPr>
        <w:t>每个水分子的平均氢键数随离子浓度的变化</w:t>
      </w:r>
    </w:p>
    <w:p w14:paraId="7ED139DB" w14:textId="4F6944A4" w:rsidR="002802A8" w:rsidRPr="000C1905" w:rsidRDefault="002802A8" w:rsidP="003F16AB">
      <w:pPr>
        <w:ind w:firstLineChars="200" w:firstLine="420"/>
      </w:pPr>
      <w:r w:rsidRPr="000C1905">
        <w:rPr>
          <w:rFonts w:hint="eastAsia"/>
        </w:rPr>
        <w:t>考虑到氢键数量不仅重要，其在亚皮秒至皮秒时间尺度上的断裂与重排过程也对太赫兹辐射中的瞬态极化具有决定性影响。为此，定义氢键生存函数为</w:t>
      </w:r>
      <w:r w:rsidR="00712DE3" w:rsidRPr="000C1905">
        <w:rPr>
          <w:vertAlign w:val="superscript"/>
        </w:rPr>
        <w:fldChar w:fldCharType="begin"/>
      </w:r>
      <w:r w:rsidR="00712DE3" w:rsidRPr="000C1905">
        <w:rPr>
          <w:vertAlign w:val="superscript"/>
        </w:rPr>
        <w:instrText xml:space="preserve"> REF _Ref196149810 \r \h </w:instrText>
      </w:r>
      <w:r w:rsidR="00712DE3" w:rsidRPr="000C1905">
        <w:rPr>
          <w:vertAlign w:val="superscript"/>
        </w:rPr>
      </w:r>
      <w:r w:rsidR="00712DE3" w:rsidRPr="000C1905">
        <w:rPr>
          <w:vertAlign w:val="superscript"/>
        </w:rPr>
        <w:fldChar w:fldCharType="separate"/>
      </w:r>
      <w:r w:rsidR="008F6340" w:rsidRPr="000C1905">
        <w:rPr>
          <w:vertAlign w:val="superscript"/>
        </w:rPr>
        <w:t>[25]</w:t>
      </w:r>
      <w:r w:rsidR="00712DE3" w:rsidRPr="000C1905">
        <w:rPr>
          <w:vertAlign w:val="superscript"/>
        </w:rPr>
        <w:fldChar w:fldCharType="end"/>
      </w:r>
    </w:p>
    <w:p w14:paraId="74F51A95" w14:textId="611E0F35" w:rsidR="003F16AB" w:rsidRPr="000C1905" w:rsidRDefault="00E97054" w:rsidP="00596347">
      <w:pPr>
        <w:ind w:firstLineChars="200" w:firstLine="420"/>
        <w:jc w:val="center"/>
      </w:pPr>
      <m:oMath>
        <m:sSub>
          <m:sSubPr>
            <m:ctrlPr>
              <w:rPr>
                <w:rFonts w:ascii="Cambria Math" w:hAnsi="Cambria Math"/>
              </w:rPr>
            </m:ctrlPr>
          </m:sSubPr>
          <m:e>
            <m:r>
              <w:rPr>
                <w:rFonts w:ascii="Cambria Math" w:hAnsi="Cambria Math"/>
              </w:rPr>
              <m:t>S</m:t>
            </m:r>
          </m:e>
          <m:sub>
            <m:r>
              <m:rPr>
                <m:nor/>
              </m:rPr>
              <m:t>HB</m:t>
            </m:r>
          </m:sub>
        </m:sSub>
        <m:r>
          <w:rPr>
            <w:rFonts w:ascii="Cambria Math" w:hAnsi="Cambria Math"/>
          </w:rPr>
          <m:t>(t)=</m:t>
        </m:r>
        <m:f>
          <m:fPr>
            <m:ctrlPr>
              <w:rPr>
                <w:rFonts w:ascii="Cambria Math" w:hAnsi="Cambria Math"/>
              </w:rPr>
            </m:ctrlPr>
          </m:fPr>
          <m:num>
            <m:r>
              <w:rPr>
                <w:rFonts w:ascii="Cambria Math" w:hAnsi="Cambria Math"/>
              </w:rPr>
              <m:t>〈h(0)</m:t>
            </m:r>
            <m:r>
              <w:rPr>
                <w:rFonts w:ascii="Cambria Math" w:hAnsi="Cambria Math"/>
              </w:rPr>
              <m:t>h(t)〉</m:t>
            </m:r>
          </m:num>
          <m:den>
            <m:r>
              <w:rPr>
                <w:rFonts w:ascii="Cambria Math" w:hAnsi="Cambria Math"/>
              </w:rPr>
              <m:t>〈h(0)〉</m:t>
            </m:r>
          </m:den>
        </m:f>
      </m:oMath>
      <w:r w:rsidR="00596347">
        <w:rPr>
          <w:rFonts w:hint="eastAsia"/>
        </w:rPr>
        <w:t xml:space="preserve">  </w:t>
      </w:r>
      <w:r w:rsidR="00596347">
        <w:rPr>
          <w:rFonts w:hint="eastAsia"/>
        </w:rPr>
        <w:t>（</w:t>
      </w:r>
      <w:r w:rsidR="00596347">
        <w:rPr>
          <w:rFonts w:hint="eastAsia"/>
        </w:rPr>
        <w:t>9</w:t>
      </w:r>
      <w:r w:rsidR="00596347">
        <w:rPr>
          <w:rFonts w:hint="eastAsia"/>
        </w:rPr>
        <w:t>）</w:t>
      </w:r>
    </w:p>
    <w:p w14:paraId="68776E19" w14:textId="70FFE7E8" w:rsidR="002802A8" w:rsidRPr="000C1905" w:rsidRDefault="00596347" w:rsidP="00596347">
      <w:pPr>
        <w:rPr>
          <w:szCs w:val="21"/>
        </w:rPr>
      </w:pPr>
      <w:r>
        <w:rPr>
          <w:rFonts w:hint="eastAsia"/>
        </w:rPr>
        <w:t>式</w:t>
      </w:r>
      <w:r w:rsidR="002802A8" w:rsidRPr="000C1905">
        <w:rPr>
          <w:rFonts w:hint="eastAsia"/>
        </w:rPr>
        <w:t>中</w:t>
      </w:r>
      <w:r>
        <w:rPr>
          <w:rFonts w:hint="eastAsia"/>
        </w:rPr>
        <w:t>：</w:t>
      </w:r>
      <m:oMath>
        <m:r>
          <w:rPr>
            <w:rFonts w:ascii="Cambria Math" w:hAnsi="Cambria Math"/>
          </w:rPr>
          <m:t>h</m:t>
        </m:r>
        <m:d>
          <m:dPr>
            <m:ctrlPr>
              <w:rPr>
                <w:rFonts w:ascii="Cambria Math" w:hAnsi="Cambria Math"/>
              </w:rPr>
            </m:ctrlPr>
          </m:dPr>
          <m:e>
            <m:r>
              <w:rPr>
                <w:rFonts w:ascii="Cambria Math" w:hAnsi="Cambria Math"/>
              </w:rPr>
              <m:t>t</m:t>
            </m:r>
          </m:e>
        </m:d>
        <m:r>
          <w:rPr>
            <w:rFonts w:ascii="Cambria Math" w:hAnsi="Cambria Math"/>
          </w:rPr>
          <m:t>=1</m:t>
        </m:r>
        <m:r>
          <w:rPr>
            <w:rFonts w:ascii="Cambria Math" w:hAnsi="Cambria Math"/>
          </w:rPr>
          <m:t>或</m:t>
        </m:r>
        <m:r>
          <w:rPr>
            <w:rFonts w:ascii="Cambria Math" w:hAnsi="Cambria Math"/>
          </w:rPr>
          <m:t>0</m:t>
        </m:r>
      </m:oMath>
      <w:r w:rsidR="002802A8" w:rsidRPr="000C1905">
        <w:rPr>
          <w:rFonts w:hint="eastAsia"/>
        </w:rPr>
        <w:t>表示给定水分子对在时刻</w:t>
      </w:r>
      <m:oMath>
        <m:r>
          <w:rPr>
            <w:rFonts w:ascii="Cambria Math" w:hAnsi="Cambria Math"/>
          </w:rPr>
          <m:t>t</m:t>
        </m:r>
      </m:oMath>
      <w:r w:rsidR="002802A8" w:rsidRPr="000C1905">
        <w:rPr>
          <w:rFonts w:hint="eastAsia"/>
        </w:rPr>
        <w:t>是否仍保持氢键关系。</w:t>
      </w:r>
      <m:oMath>
        <m:sSub>
          <m:sSubPr>
            <m:ctrlPr>
              <w:rPr>
                <w:rFonts w:ascii="Cambria Math" w:hAnsi="Cambria Math"/>
              </w:rPr>
            </m:ctrlPr>
          </m:sSubPr>
          <m:e>
            <m:r>
              <w:rPr>
                <w:rFonts w:ascii="Cambria Math" w:hAnsi="Cambria Math"/>
              </w:rPr>
              <m:t>S</m:t>
            </m:r>
          </m:e>
          <m:sub>
            <m:r>
              <w:rPr>
                <w:rFonts w:ascii="Cambria Math" w:hAnsi="Cambria Math"/>
              </w:rPr>
              <m:t>HB</m:t>
            </m:r>
          </m:sub>
        </m:sSub>
        <m:r>
          <w:rPr>
            <w:rFonts w:ascii="Cambria Math" w:hAnsi="Cambria Math"/>
          </w:rPr>
          <m:t>(t)</m:t>
        </m:r>
      </m:oMath>
      <w:r w:rsidR="002802A8" w:rsidRPr="000C1905">
        <w:rPr>
          <w:rFonts w:hint="eastAsia"/>
        </w:rPr>
        <w:t>随时间的衰减反映氢键寿命分布，衰减越快说明氢键越易打破。图</w:t>
      </w:r>
      <w:r w:rsidR="000D7F45" w:rsidRPr="000C1905">
        <w:rPr>
          <w:rFonts w:hint="eastAsia"/>
        </w:rPr>
        <w:t>9</w:t>
      </w:r>
      <w:r w:rsidR="002802A8" w:rsidRPr="000C1905">
        <w:rPr>
          <w:rFonts w:hint="eastAsia"/>
        </w:rPr>
        <w:t>展示了</w:t>
      </w:r>
      <w:r w:rsidR="002802A8" w:rsidRPr="000C1905">
        <w:t>0.6 mol/L</w:t>
      </w:r>
      <w:r w:rsidR="002802A8" w:rsidRPr="000C1905">
        <w:rPr>
          <w:rFonts w:hint="eastAsia"/>
        </w:rPr>
        <w:t>浓度下四种离子溶液的氢键寿命分布。从图中可以看出，</w:t>
      </w:r>
      <w:r w:rsidR="002802A8" w:rsidRPr="000C1905">
        <w:t>NaCl</w:t>
      </w:r>
      <w:r w:rsidR="002802A8" w:rsidRPr="000C1905">
        <w:rPr>
          <w:rFonts w:hint="eastAsia"/>
        </w:rPr>
        <w:t>溶液的衰减速度最慢，表明其残余氢键持续时间最长。这可能是因为</w:t>
      </w:r>
      <w:r w:rsidR="002802A8" w:rsidRPr="000C1905">
        <w:t>Cl⁻</w:t>
      </w:r>
      <w:r w:rsidR="002802A8" w:rsidRPr="000C1905">
        <w:rPr>
          <w:rFonts w:hint="eastAsia"/>
        </w:rPr>
        <w:t>破坏了一些较弱的氢键，使剩余的氢键网络更加稳定，形成了数量较少但强度稍强的氢键。相比之下，</w:t>
      </w:r>
      <w:r w:rsidR="00BE6195" w:rsidRPr="000C1905">
        <w:rPr>
          <w:rFonts w:hint="eastAsia"/>
        </w:rPr>
        <w:t>NaHCO</w:t>
      </w:r>
      <w:r w:rsidR="00BE6195" w:rsidRPr="000C1905">
        <w:rPr>
          <w:rFonts w:hint="eastAsia"/>
          <w:vertAlign w:val="subscript"/>
        </w:rPr>
        <w:t>3</w:t>
      </w:r>
      <w:r w:rsidR="002802A8" w:rsidRPr="000C1905">
        <w:rPr>
          <w:rFonts w:hint="eastAsia"/>
        </w:rPr>
        <w:t>溶液和</w:t>
      </w:r>
      <w:r w:rsidR="00BE6195" w:rsidRPr="000C1905">
        <w:rPr>
          <w:rFonts w:hint="eastAsia"/>
        </w:rPr>
        <w:t>Ca(HCO</w:t>
      </w:r>
      <w:r w:rsidR="00BE6195" w:rsidRPr="000C1905">
        <w:rPr>
          <w:rFonts w:hint="eastAsia"/>
          <w:vertAlign w:val="subscript"/>
        </w:rPr>
        <w:t>3</w:t>
      </w:r>
      <w:r w:rsidR="00BE6195" w:rsidRPr="000C1905">
        <w:rPr>
          <w:rFonts w:hint="eastAsia"/>
        </w:rPr>
        <w:t>)</w:t>
      </w:r>
      <w:r w:rsidR="00BE6195" w:rsidRPr="000C1905">
        <w:rPr>
          <w:rFonts w:hint="eastAsia"/>
          <w:vertAlign w:val="subscript"/>
        </w:rPr>
        <w:t>2</w:t>
      </w:r>
      <w:r w:rsidR="002802A8" w:rsidRPr="000C1905">
        <w:rPr>
          <w:rFonts w:hint="eastAsia"/>
        </w:rPr>
        <w:t>溶液显著加快了氢键的断裂速度，其中</w:t>
      </w:r>
      <w:r w:rsidR="002802A8" w:rsidRPr="000C1905">
        <w:t>Ca(HCO</w:t>
      </w:r>
      <w:r w:rsidR="002802A8" w:rsidRPr="000C1905">
        <w:rPr>
          <w:rFonts w:hint="eastAsia"/>
          <w:vertAlign w:val="subscript"/>
        </w:rPr>
        <w:t>3</w:t>
      </w:r>
      <w:r w:rsidR="002802A8" w:rsidRPr="000C1905">
        <w:t>)</w:t>
      </w:r>
      <w:r w:rsidR="002802A8" w:rsidRPr="000C1905">
        <w:rPr>
          <w:rFonts w:hint="eastAsia"/>
          <w:vertAlign w:val="subscript"/>
        </w:rPr>
        <w:t>2</w:t>
      </w:r>
      <w:r w:rsidR="002802A8" w:rsidRPr="000C1905">
        <w:rPr>
          <w:rFonts w:hint="eastAsia"/>
        </w:rPr>
        <w:t>溶液在</w:t>
      </w:r>
      <w:r w:rsidR="002802A8" w:rsidRPr="000C1905">
        <w:t>1 ps</w:t>
      </w:r>
      <w:r w:rsidR="002802A8" w:rsidRPr="000C1905">
        <w:rPr>
          <w:rFonts w:hint="eastAsia"/>
        </w:rPr>
        <w:t>内就降至较低水平，说明其氢键极不稳定，结构扰动更为剧烈。因此，图</w:t>
      </w:r>
      <w:r w:rsidR="000D7F45" w:rsidRPr="000C1905">
        <w:rPr>
          <w:rFonts w:hint="eastAsia"/>
        </w:rPr>
        <w:t>9</w:t>
      </w:r>
      <w:r w:rsidR="002802A8" w:rsidRPr="000C1905">
        <w:rPr>
          <w:rFonts w:hint="eastAsia"/>
        </w:rPr>
        <w:t>证实了</w:t>
      </w:r>
      <w:r w:rsidR="002802A8" w:rsidRPr="000C1905">
        <w:t>HCO₃⁻</w:t>
      </w:r>
      <w:r w:rsidR="002802A8" w:rsidRPr="000C1905">
        <w:rPr>
          <w:rFonts w:hint="eastAsia"/>
        </w:rPr>
        <w:t>具有强离液剂的作用，使氢键网络呈现高度瞬态特性。这种高度瞬态的氢键网络可能促进快速取向极化；然而，在</w:t>
      </w:r>
      <w:r w:rsidR="002802A8" w:rsidRPr="000C1905">
        <w:t>Ca(HCO</w:t>
      </w:r>
      <w:r w:rsidR="002802A8" w:rsidRPr="000C1905">
        <w:rPr>
          <w:rFonts w:hint="eastAsia"/>
          <w:vertAlign w:val="subscript"/>
        </w:rPr>
        <w:t>3</w:t>
      </w:r>
      <w:r w:rsidR="002802A8" w:rsidRPr="000C1905">
        <w:t>)</w:t>
      </w:r>
      <w:r w:rsidR="002802A8" w:rsidRPr="000C1905">
        <w:rPr>
          <w:rFonts w:hint="eastAsia"/>
          <w:vertAlign w:val="subscript"/>
        </w:rPr>
        <w:t>2</w:t>
      </w:r>
      <w:r w:rsidR="002802A8" w:rsidRPr="000C1905">
        <w:rPr>
          <w:rFonts w:hint="eastAsia"/>
        </w:rPr>
        <w:t>中，电子散射和捕获的影响占主导地位。同时，</w:t>
      </w:r>
      <w:r w:rsidR="002802A8" w:rsidRPr="000C1905">
        <w:t>NaCl</w:t>
      </w:r>
      <w:r w:rsidR="002802A8" w:rsidRPr="000C1905">
        <w:rPr>
          <w:rFonts w:hint="eastAsia"/>
        </w:rPr>
        <w:t>溶液中氢键寿命相对较长，表明</w:t>
      </w:r>
      <w:r w:rsidR="002802A8" w:rsidRPr="000C1905">
        <w:t>NaCl</w:t>
      </w:r>
      <w:r w:rsidR="002802A8" w:rsidRPr="000C1905">
        <w:rPr>
          <w:rFonts w:hint="eastAsia"/>
        </w:rPr>
        <w:t>虽然会减少氢键数量，但也可能略微稳定某些氢键的方向。</w:t>
      </w:r>
    </w:p>
    <w:p w14:paraId="68189EDA" w14:textId="1D27E288" w:rsidR="00B64ABF" w:rsidRPr="000C1905" w:rsidRDefault="004F4C82" w:rsidP="00B64ABF">
      <w:pPr>
        <w:widowControl/>
        <w:spacing w:line="360" w:lineRule="auto"/>
        <w:ind w:firstLineChars="200" w:firstLine="420"/>
        <w:jc w:val="center"/>
        <w:rPr>
          <w:sz w:val="24"/>
        </w:rPr>
      </w:pPr>
      <w:r w:rsidRPr="000C1905">
        <w:object w:dxaOrig="4333" w:dyaOrig="3397" w14:anchorId="1DB0A7F3">
          <v:shape id="_x0000_i1033" type="#_x0000_t75" style="width:216.85pt;height:169.95pt" o:ole="">
            <v:imagedata r:id="rId26" o:title=""/>
          </v:shape>
          <o:OLEObject Type="Embed" ProgID="Visio.Drawing.15" ShapeID="_x0000_i1033" DrawAspect="Content" ObjectID="_1838876122" r:id="rId27"/>
        </w:object>
      </w:r>
    </w:p>
    <w:p w14:paraId="570D65B9" w14:textId="2206C8F8" w:rsidR="002802A8" w:rsidRPr="000C1905" w:rsidRDefault="00B64ABF" w:rsidP="00E13729">
      <w:pPr>
        <w:jc w:val="center"/>
        <w:rPr>
          <w:rFonts w:ascii="宋体" w:hAnsi="宋体"/>
          <w:b/>
          <w:sz w:val="15"/>
          <w:szCs w:val="15"/>
        </w:rPr>
      </w:pPr>
      <w:r w:rsidRPr="000C1905">
        <w:rPr>
          <w:rFonts w:ascii="宋体" w:hAnsi="宋体" w:hint="eastAsia"/>
          <w:b/>
          <w:sz w:val="15"/>
          <w:szCs w:val="15"/>
        </w:rPr>
        <w:t>图</w:t>
      </w:r>
      <w:r w:rsidR="000D7F45" w:rsidRPr="000C1905">
        <w:rPr>
          <w:rFonts w:ascii="宋体" w:hAnsi="宋体" w:hint="eastAsia"/>
          <w:b/>
          <w:sz w:val="15"/>
          <w:szCs w:val="15"/>
        </w:rPr>
        <w:t>9</w:t>
      </w:r>
      <w:r w:rsidR="00E13729" w:rsidRPr="000C1905">
        <w:rPr>
          <w:rFonts w:ascii="宋体" w:hAnsi="宋体" w:hint="eastAsia"/>
          <w:b/>
          <w:sz w:val="15"/>
          <w:szCs w:val="15"/>
        </w:rPr>
        <w:t xml:space="preserve">  </w:t>
      </w:r>
      <w:r w:rsidRPr="000C1905">
        <w:rPr>
          <w:rFonts w:ascii="宋体" w:hAnsi="宋体" w:hint="eastAsia"/>
          <w:b/>
          <w:sz w:val="15"/>
          <w:szCs w:val="15"/>
        </w:rPr>
        <w:t>不同离子溶液中0.6 M</w:t>
      </w:r>
      <w:r w:rsidR="004F4C82" w:rsidRPr="000C1905">
        <w:rPr>
          <w:rFonts w:ascii="宋体" w:hAnsi="宋体" w:hint="eastAsia"/>
          <w:b/>
          <w:sz w:val="15"/>
          <w:szCs w:val="15"/>
        </w:rPr>
        <w:t>浓度下氢键寿命分布</w:t>
      </w:r>
    </w:p>
    <w:p w14:paraId="05D2F736" w14:textId="304CFB53" w:rsidR="00DD28EA" w:rsidRPr="000C1905" w:rsidRDefault="002802A8" w:rsidP="003F16AB">
      <w:pPr>
        <w:ind w:firstLineChars="200" w:firstLine="420"/>
        <w:rPr>
          <w:rStyle w:val="MTConvertedEquation"/>
          <w:color w:val="auto"/>
        </w:rPr>
      </w:pPr>
      <w:r w:rsidRPr="000C1905">
        <w:rPr>
          <w:rFonts w:hint="eastAsia"/>
        </w:rPr>
        <w:t>为揭示离子对水分子局部配位的影响，引入径向分布函数</w:t>
      </w:r>
      <m:oMath>
        <m:r>
          <w:rPr>
            <w:rFonts w:ascii="Cambria Math" w:hAnsi="Cambria Math"/>
          </w:rPr>
          <m:t>gOO(r)</m:t>
        </m:r>
      </m:oMath>
    </w:p>
    <w:p w14:paraId="59812493" w14:textId="138E8660" w:rsidR="002802A8" w:rsidRPr="000C1905" w:rsidRDefault="002802A8" w:rsidP="003F16AB">
      <w:pPr>
        <w:ind w:firstLineChars="200" w:firstLine="420"/>
      </w:pPr>
      <w:r w:rsidRPr="000C1905">
        <w:rPr>
          <w:rFonts w:hint="eastAsia"/>
        </w:rPr>
        <w:t>来表征任意两水分子氧原子间的局部配位分布，定义形式可写作</w:t>
      </w:r>
      <w:r w:rsidR="00712DE3" w:rsidRPr="000C1905">
        <w:rPr>
          <w:vertAlign w:val="superscript"/>
        </w:rPr>
        <w:fldChar w:fldCharType="begin"/>
      </w:r>
      <w:r w:rsidR="00712DE3" w:rsidRPr="000C1905">
        <w:rPr>
          <w:vertAlign w:val="superscript"/>
        </w:rPr>
        <w:instrText xml:space="preserve"> REF _Ref196149822 \r \h </w:instrText>
      </w:r>
      <w:r w:rsidR="00712DE3" w:rsidRPr="000C1905">
        <w:rPr>
          <w:vertAlign w:val="superscript"/>
        </w:rPr>
      </w:r>
      <w:r w:rsidR="00712DE3" w:rsidRPr="000C1905">
        <w:rPr>
          <w:vertAlign w:val="superscript"/>
        </w:rPr>
        <w:fldChar w:fldCharType="separate"/>
      </w:r>
      <w:r w:rsidR="008F6340" w:rsidRPr="000C1905">
        <w:rPr>
          <w:vertAlign w:val="superscript"/>
        </w:rPr>
        <w:t>[26]</w:t>
      </w:r>
      <w:r w:rsidR="00712DE3" w:rsidRPr="000C1905">
        <w:rPr>
          <w:vertAlign w:val="superscript"/>
        </w:rPr>
        <w:fldChar w:fldCharType="end"/>
      </w:r>
      <w:r w:rsidRPr="000C1905">
        <w:rPr>
          <w:rFonts w:hint="eastAsia"/>
        </w:rPr>
        <w:t>：</w:t>
      </w:r>
    </w:p>
    <w:p w14:paraId="5DC5DC8D" w14:textId="6379F7F5" w:rsidR="003F16AB" w:rsidRPr="000C1905" w:rsidRDefault="00E97054" w:rsidP="00596347">
      <w:pPr>
        <w:ind w:firstLineChars="200" w:firstLine="420"/>
        <w:jc w:val="center"/>
      </w:pPr>
      <m:oMath>
        <m:sSub>
          <m:sSubPr>
            <m:ctrlPr>
              <w:rPr>
                <w:rFonts w:ascii="Cambria Math" w:hAnsi="Cambria Math"/>
              </w:rPr>
            </m:ctrlPr>
          </m:sSubPr>
          <m:e>
            <m:r>
              <w:rPr>
                <w:rFonts w:ascii="Cambria Math" w:hAnsi="Cambria Math"/>
              </w:rPr>
              <m:t>g</m:t>
            </m:r>
          </m:e>
          <m:sub>
            <m:r>
              <m:rPr>
                <m:nor/>
              </m:rPr>
              <m:t>OO</m:t>
            </m:r>
          </m:sub>
        </m:sSub>
        <m:r>
          <w:rPr>
            <w:rFonts w:ascii="Cambria Math" w:hAnsi="Cambria Math"/>
          </w:rPr>
          <m:t>(r)=</m:t>
        </m:r>
        <m:f>
          <m:fPr>
            <m:ctrlPr>
              <w:rPr>
                <w:rFonts w:ascii="Cambria Math" w:hAnsi="Cambria Math"/>
              </w:rPr>
            </m:ctrlPr>
          </m:fPr>
          <m:num>
            <m:r>
              <w:rPr>
                <w:rFonts w:ascii="Cambria Math" w:hAnsi="Cambria Math"/>
              </w:rPr>
              <m:t>1</m:t>
            </m:r>
          </m:num>
          <m:den>
            <m:r>
              <w:rPr>
                <w:rFonts w:ascii="Cambria Math" w:hAnsi="Cambria Math"/>
              </w:rPr>
              <m:t>4π</m:t>
            </m:r>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ρ</m:t>
            </m:r>
          </m:den>
        </m:f>
        <m:r>
          <w:rPr>
            <w:rFonts w:ascii="Cambria Math" w:hAnsi="Cambria Math"/>
          </w:rPr>
          <m:t>〈</m:t>
        </m:r>
        <m:f>
          <m:fPr>
            <m:ctrlPr>
              <w:rPr>
                <w:rFonts w:ascii="Cambria Math" w:hAnsi="Cambria Math"/>
              </w:rPr>
            </m:ctrlPr>
          </m:fPr>
          <m:num>
            <m:r>
              <m:rPr>
                <m:nor/>
              </m:rPr>
              <m:t>d</m:t>
            </m:r>
            <m:r>
              <w:rPr>
                <w:rFonts w:ascii="Cambria Math" w:hAnsi="Cambria Math"/>
              </w:rPr>
              <m:t>N(r)</m:t>
            </m:r>
          </m:num>
          <m:den>
            <m:r>
              <m:rPr>
                <m:nor/>
              </m:rPr>
              <m:t>d</m:t>
            </m:r>
            <m:r>
              <w:rPr>
                <w:rFonts w:ascii="Cambria Math" w:hAnsi="Cambria Math"/>
              </w:rPr>
              <m:t>r</m:t>
            </m:r>
          </m:den>
        </m:f>
        <m:r>
          <w:rPr>
            <w:rFonts w:ascii="Cambria Math" w:hAnsi="Cambria Math"/>
          </w:rPr>
          <m:t>〉</m:t>
        </m:r>
      </m:oMath>
      <w:r w:rsidR="00596347">
        <w:rPr>
          <w:rFonts w:hint="eastAsia"/>
        </w:rPr>
        <w:t xml:space="preserve">  </w:t>
      </w:r>
      <w:r w:rsidR="00596347">
        <w:rPr>
          <w:rFonts w:hint="eastAsia"/>
        </w:rPr>
        <w:t>（</w:t>
      </w:r>
      <w:r w:rsidR="00596347">
        <w:rPr>
          <w:rFonts w:hint="eastAsia"/>
        </w:rPr>
        <w:t>10</w:t>
      </w:r>
      <w:r w:rsidR="00596347">
        <w:rPr>
          <w:rFonts w:hint="eastAsia"/>
        </w:rPr>
        <w:t>）</w:t>
      </w:r>
    </w:p>
    <w:p w14:paraId="6755B8F9" w14:textId="3F3F1E44" w:rsidR="002802A8" w:rsidRPr="000C1905" w:rsidRDefault="00596347" w:rsidP="00596347">
      <w:pPr>
        <w:rPr>
          <w:szCs w:val="21"/>
        </w:rPr>
      </w:pPr>
      <w:r>
        <w:rPr>
          <w:rFonts w:hint="eastAsia"/>
        </w:rPr>
        <w:t>式</w:t>
      </w:r>
      <w:r w:rsidR="002802A8" w:rsidRPr="000C1905">
        <w:rPr>
          <w:rFonts w:hint="eastAsia"/>
        </w:rPr>
        <w:t>中</w:t>
      </w:r>
      <w:r>
        <w:rPr>
          <w:rFonts w:hint="eastAsia"/>
        </w:rPr>
        <w:t>：</w:t>
      </w:r>
      <m:oMath>
        <m:r>
          <w:rPr>
            <w:rFonts w:ascii="Cambria Math" w:hAnsi="Cambria Math"/>
          </w:rPr>
          <m:t>ρ</m:t>
        </m:r>
      </m:oMath>
      <w:r w:rsidR="002802A8" w:rsidRPr="000C1905">
        <w:rPr>
          <w:rFonts w:hint="eastAsia"/>
        </w:rPr>
        <w:t>为体系平均数密度，</w:t>
      </w:r>
      <m:oMath>
        <m:r>
          <w:rPr>
            <w:rFonts w:ascii="Cambria Math" w:hAnsi="Cambria Math"/>
          </w:rPr>
          <m:t>dN(r)</m:t>
        </m:r>
      </m:oMath>
      <w:r w:rsidR="002802A8" w:rsidRPr="000C1905">
        <w:rPr>
          <w:rFonts w:hint="eastAsia"/>
        </w:rPr>
        <w:t>表示在壳层</w:t>
      </w:r>
      <m:oMath>
        <m:r>
          <w:rPr>
            <w:rFonts w:ascii="Cambria Math" w:hAnsi="Cambria Math"/>
          </w:rPr>
          <m:t>[r,d+dr]</m:t>
        </m:r>
      </m:oMath>
      <w:r w:rsidR="002802A8" w:rsidRPr="000C1905">
        <w:rPr>
          <w:rFonts w:hint="eastAsia"/>
        </w:rPr>
        <w:t>内的氧原子平均数。若</w:t>
      </w:r>
      <m:oMath>
        <m:r>
          <w:rPr>
            <w:rFonts w:ascii="Cambria Math" w:hAnsi="Cambria Math"/>
          </w:rPr>
          <m:t>gOO(r)</m:t>
        </m:r>
      </m:oMath>
      <w:r w:rsidR="002802A8" w:rsidRPr="000C1905">
        <w:rPr>
          <w:rFonts w:hint="eastAsia"/>
        </w:rPr>
        <w:t>在</w:t>
      </w:r>
      <m:oMath>
        <m:r>
          <m:rPr>
            <m:nor/>
          </m:rPr>
          <w:lastRenderedPageBreak/>
          <m:t>r≈2.8 Å</m:t>
        </m:r>
      </m:oMath>
      <w:r w:rsidR="002802A8" w:rsidRPr="000C1905">
        <w:rPr>
          <w:rFonts w:hint="eastAsia"/>
        </w:rPr>
        <w:t>一带出现显著峰值，往往代表氢键主峰位置；峰形与高度的变化反映了离子对水分子最近邻与次近邻结构的扰动。当离子具有“结构破坏”效应时，水</w:t>
      </w:r>
      <w:r w:rsidR="002802A8" w:rsidRPr="000C1905">
        <w:t>-</w:t>
      </w:r>
      <w:r w:rsidR="002802A8" w:rsidRPr="000C1905">
        <w:rPr>
          <w:rFonts w:hint="eastAsia"/>
        </w:rPr>
        <w:t>水间的局部序通常被拉伸或削弱，对应于峰位左</w:t>
      </w:r>
      <w:r w:rsidR="002802A8" w:rsidRPr="000C1905">
        <w:t>/</w:t>
      </w:r>
      <w:r w:rsidR="002802A8" w:rsidRPr="000C1905">
        <w:rPr>
          <w:rFonts w:hint="eastAsia"/>
        </w:rPr>
        <w:t>右移或幅度降低；若阳离子形成强水合壳，则会在特定距离下使</w:t>
      </w:r>
      <m:oMath>
        <m:r>
          <w:rPr>
            <w:rFonts w:ascii="Cambria Math" w:hAnsi="Cambria Math"/>
          </w:rPr>
          <m:t>gOO(r)</m:t>
        </m:r>
      </m:oMath>
      <w:r w:rsidR="002802A8" w:rsidRPr="000C1905">
        <w:rPr>
          <w:rFonts w:hint="eastAsia"/>
        </w:rPr>
        <w:t>峰更尖锐或出现新“肩峰”。纯水与典型浓度</w:t>
      </w:r>
      <w:r w:rsidR="002802A8" w:rsidRPr="000C1905">
        <w:rPr>
          <w:rFonts w:hint="eastAsia"/>
        </w:rPr>
        <w:t>(0.2 mol/L, 0.6 mol/L)</w:t>
      </w:r>
      <w:r w:rsidR="002802A8" w:rsidRPr="000C1905">
        <w:rPr>
          <w:rFonts w:hint="eastAsia"/>
        </w:rPr>
        <w:t>下</w:t>
      </w:r>
      <w:r w:rsidR="003D5907">
        <w:rPr>
          <w:rFonts w:hint="eastAsia"/>
        </w:rPr>
        <w:t>4</w:t>
      </w:r>
      <w:r w:rsidR="002802A8" w:rsidRPr="000C1905">
        <w:rPr>
          <w:rFonts w:hint="eastAsia"/>
        </w:rPr>
        <w:t>种离子溶液的</w:t>
      </w:r>
      <m:oMath>
        <m:r>
          <w:rPr>
            <w:rFonts w:ascii="Cambria Math" w:hAnsi="Cambria Math"/>
          </w:rPr>
          <m:t>gOO(r)</m:t>
        </m:r>
      </m:oMath>
      <w:r w:rsidR="003D5907">
        <w:rPr>
          <w:rFonts w:hint="eastAsia"/>
        </w:rPr>
        <w:t>如</w:t>
      </w:r>
      <w:r w:rsidR="003D5907">
        <w:t>图</w:t>
      </w:r>
      <w:r w:rsidR="003D5907">
        <w:rPr>
          <w:rFonts w:hint="eastAsia"/>
        </w:rPr>
        <w:t>4</w:t>
      </w:r>
      <w:r w:rsidR="003D5907">
        <w:rPr>
          <w:rFonts w:hint="eastAsia"/>
        </w:rPr>
        <w:t>所</w:t>
      </w:r>
      <w:r w:rsidR="003D5907">
        <w:t>示。</w:t>
      </w:r>
    </w:p>
    <w:p w14:paraId="1487C494" w14:textId="094E9DA9" w:rsidR="00B64ABF" w:rsidRPr="000C1905" w:rsidRDefault="004F4C82" w:rsidP="00B64ABF">
      <w:pPr>
        <w:widowControl/>
        <w:spacing w:line="360" w:lineRule="auto"/>
        <w:ind w:firstLineChars="200" w:firstLine="420"/>
        <w:jc w:val="center"/>
        <w:rPr>
          <w:sz w:val="24"/>
        </w:rPr>
      </w:pPr>
      <w:r w:rsidRPr="000C1905">
        <w:object w:dxaOrig="4405" w:dyaOrig="2713" w14:anchorId="05542CFD">
          <v:shape id="_x0000_i1034" type="#_x0000_t75" style="width:220.2pt;height:136.45pt" o:ole="">
            <v:imagedata r:id="rId28" o:title=""/>
          </v:shape>
          <o:OLEObject Type="Embed" ProgID="Visio.Drawing.15" ShapeID="_x0000_i1034" DrawAspect="Content" ObjectID="_1838876123" r:id="rId29"/>
        </w:object>
      </w:r>
    </w:p>
    <w:p w14:paraId="13094E20" w14:textId="3CC4317F" w:rsidR="00B64ABF" w:rsidRPr="000C1905" w:rsidRDefault="00B64ABF" w:rsidP="00E13729">
      <w:pPr>
        <w:jc w:val="center"/>
        <w:rPr>
          <w:rFonts w:ascii="宋体" w:hAnsi="宋体"/>
          <w:b/>
          <w:sz w:val="15"/>
          <w:szCs w:val="15"/>
        </w:rPr>
      </w:pPr>
      <w:r w:rsidRPr="000C1905">
        <w:rPr>
          <w:rFonts w:ascii="宋体" w:hAnsi="宋体" w:hint="eastAsia"/>
          <w:b/>
          <w:sz w:val="15"/>
          <w:szCs w:val="15"/>
        </w:rPr>
        <w:t>图</w:t>
      </w:r>
      <w:r w:rsidR="000D7F45" w:rsidRPr="000C1905">
        <w:rPr>
          <w:rFonts w:ascii="宋体" w:hAnsi="宋体" w:hint="eastAsia"/>
          <w:b/>
          <w:sz w:val="15"/>
          <w:szCs w:val="15"/>
        </w:rPr>
        <w:t>10</w:t>
      </w:r>
      <w:r w:rsidR="00E13729" w:rsidRPr="000C1905">
        <w:rPr>
          <w:rFonts w:ascii="宋体" w:hAnsi="宋体" w:hint="eastAsia"/>
          <w:b/>
          <w:sz w:val="15"/>
          <w:szCs w:val="15"/>
        </w:rPr>
        <w:t xml:space="preserve">  </w:t>
      </w:r>
      <w:r w:rsidRPr="000C1905">
        <w:rPr>
          <w:rFonts w:ascii="宋体" w:hAnsi="宋体" w:hint="eastAsia"/>
          <w:b/>
          <w:sz w:val="15"/>
          <w:szCs w:val="15"/>
        </w:rPr>
        <w:t>纯水与不同溶液的氧-氧径向分布函数</w:t>
      </w:r>
    </w:p>
    <w:p w14:paraId="77D0BB71" w14:textId="3D0695A6" w:rsidR="002802A8" w:rsidRPr="000C1905" w:rsidRDefault="002802A8" w:rsidP="002802A8">
      <w:pPr>
        <w:ind w:firstLineChars="200" w:firstLine="420"/>
      </w:pPr>
      <w:r w:rsidRPr="000C1905">
        <w:t>NaCl</w:t>
      </w:r>
      <w:r w:rsidRPr="000C1905">
        <w:rPr>
          <w:rFonts w:hint="eastAsia"/>
        </w:rPr>
        <w:t>溶液曲线整体向右微移并略有展宽，表明</w:t>
      </w:r>
      <w:r w:rsidRPr="000C1905">
        <w:t>Cl</w:t>
      </w:r>
      <w:r w:rsidRPr="000C1905">
        <w:rPr>
          <w:vertAlign w:val="superscript"/>
        </w:rPr>
        <w:t>−</w:t>
      </w:r>
      <w:r w:rsidRPr="000C1905">
        <w:rPr>
          <w:rFonts w:hint="eastAsia"/>
        </w:rPr>
        <w:t>通过“破坏型”相互作用使局部氢键网络变得松散；</w:t>
      </w:r>
      <w:r w:rsidR="00BE6195" w:rsidRPr="000C1905">
        <w:rPr>
          <w:rFonts w:hint="eastAsia"/>
        </w:rPr>
        <w:t>CaCl</w:t>
      </w:r>
      <w:r w:rsidR="00BE6195" w:rsidRPr="000C1905">
        <w:rPr>
          <w:rFonts w:hint="eastAsia"/>
          <w:vertAlign w:val="subscript"/>
        </w:rPr>
        <w:t>2</w:t>
      </w:r>
      <w:r w:rsidRPr="000C1905">
        <w:rPr>
          <w:rFonts w:hint="eastAsia"/>
        </w:rPr>
        <w:t>在第一峰处变得更尖锐且位置略内移，反映了</w:t>
      </w:r>
      <w:r w:rsidRPr="000C1905">
        <w:t>Ca</w:t>
      </w:r>
      <w:r w:rsidRPr="000C1905">
        <w:rPr>
          <w:vertAlign w:val="superscript"/>
        </w:rPr>
        <w:t>2+</w:t>
      </w:r>
      <w:r w:rsidRPr="000C1905">
        <w:rPr>
          <w:rFonts w:hint="eastAsia"/>
        </w:rPr>
        <w:t>强水合作用导致的局部有序度提升；</w:t>
      </w:r>
      <w:r w:rsidR="00BE6195" w:rsidRPr="000C1905">
        <w:rPr>
          <w:rFonts w:hint="eastAsia"/>
        </w:rPr>
        <w:t>NaHCO</w:t>
      </w:r>
      <w:r w:rsidR="00BE6195" w:rsidRPr="000C1905">
        <w:rPr>
          <w:rFonts w:hint="eastAsia"/>
          <w:vertAlign w:val="subscript"/>
        </w:rPr>
        <w:t>3</w:t>
      </w:r>
      <w:r w:rsidRPr="000C1905">
        <w:rPr>
          <w:rFonts w:hint="eastAsia"/>
        </w:rPr>
        <w:t>与</w:t>
      </w:r>
      <w:r w:rsidRPr="000C1905">
        <w:t>Ca(HCO</w:t>
      </w:r>
      <w:r w:rsidRPr="000C1905">
        <w:rPr>
          <w:rFonts w:hint="eastAsia"/>
          <w:vertAlign w:val="subscript"/>
        </w:rPr>
        <w:t>3</w:t>
      </w:r>
      <w:r w:rsidRPr="000C1905">
        <w:t>)</w:t>
      </w:r>
      <w:r w:rsidRPr="000C1905">
        <w:rPr>
          <w:rFonts w:hint="eastAsia"/>
          <w:vertAlign w:val="subscript"/>
        </w:rPr>
        <w:t>2</w:t>
      </w:r>
      <w:r w:rsidRPr="000C1905">
        <w:rPr>
          <w:rFonts w:hint="eastAsia"/>
        </w:rPr>
        <w:t>均在</w:t>
      </w:r>
      <w:r w:rsidRPr="000C1905">
        <w:t>3.3–3.5 Å</w:t>
      </w:r>
      <w:r w:rsidRPr="000C1905">
        <w:rPr>
          <w:rFonts w:hint="eastAsia"/>
        </w:rPr>
        <w:t>附近出现肩峰，表明</w:t>
      </w:r>
      <w:r w:rsidRPr="000C1905">
        <w:t>HCO</w:t>
      </w:r>
      <w:r w:rsidRPr="000C1905">
        <w:rPr>
          <w:vertAlign w:val="subscript"/>
        </w:rPr>
        <w:t>3</w:t>
      </w:r>
      <w:r w:rsidRPr="000C1905">
        <w:rPr>
          <w:vertAlign w:val="superscript"/>
        </w:rPr>
        <w:t>−</w:t>
      </w:r>
      <w:r w:rsidRPr="000C1905">
        <w:rPr>
          <w:rFonts w:hint="eastAsia"/>
        </w:rPr>
        <w:t>与阳离子或水分子形成复合配位簇，从而减少可自由电离的水分子；特别是</w:t>
      </w:r>
      <w:r w:rsidR="00BE6195" w:rsidRPr="000C1905">
        <w:rPr>
          <w:rFonts w:hint="eastAsia"/>
        </w:rPr>
        <w:t>Ca(HCO</w:t>
      </w:r>
      <w:r w:rsidR="00BE6195" w:rsidRPr="000C1905">
        <w:rPr>
          <w:rFonts w:hint="eastAsia"/>
          <w:vertAlign w:val="subscript"/>
        </w:rPr>
        <w:t>3</w:t>
      </w:r>
      <w:r w:rsidR="00BE6195" w:rsidRPr="000C1905">
        <w:rPr>
          <w:rFonts w:hint="eastAsia"/>
        </w:rPr>
        <w:t>)</w:t>
      </w:r>
      <w:r w:rsidR="00BE6195" w:rsidRPr="000C1905">
        <w:rPr>
          <w:rFonts w:hint="eastAsia"/>
          <w:vertAlign w:val="subscript"/>
        </w:rPr>
        <w:t>2</w:t>
      </w:r>
      <w:r w:rsidRPr="000C1905">
        <w:rPr>
          <w:rFonts w:hint="eastAsia"/>
        </w:rPr>
        <w:t>在高浓度下同时具有强散射</w:t>
      </w:r>
      <w:r w:rsidRPr="000C1905">
        <w:t>(Ca</w:t>
      </w:r>
      <w:r w:rsidRPr="000C1905">
        <w:rPr>
          <w:vertAlign w:val="superscript"/>
        </w:rPr>
        <w:t>2+</w:t>
      </w:r>
      <w:r w:rsidRPr="000C1905">
        <w:t>)</w:t>
      </w:r>
      <w:r w:rsidRPr="000C1905">
        <w:rPr>
          <w:rFonts w:hint="eastAsia"/>
        </w:rPr>
        <w:t>与电子捕获</w:t>
      </w:r>
      <w:r w:rsidRPr="000C1905">
        <w:t>(</w:t>
      </w:r>
      <w:bookmarkStart w:id="9" w:name="_Hlk197438418"/>
      <w:r w:rsidRPr="000C1905">
        <w:t>HCO</w:t>
      </w:r>
      <w:r w:rsidRPr="000C1905">
        <w:rPr>
          <w:vertAlign w:val="subscript"/>
        </w:rPr>
        <w:t>3</w:t>
      </w:r>
      <w:r w:rsidRPr="000C1905">
        <w:rPr>
          <w:vertAlign w:val="superscript"/>
        </w:rPr>
        <w:t>−</w:t>
      </w:r>
      <w:bookmarkEnd w:id="9"/>
      <w:r w:rsidRPr="000C1905">
        <w:t>)</w:t>
      </w:r>
      <w:r w:rsidR="00537EBA">
        <w:rPr>
          <w:rFonts w:hint="eastAsia"/>
        </w:rPr>
        <w:t>2</w:t>
      </w:r>
      <w:r w:rsidRPr="000C1905">
        <w:rPr>
          <w:rFonts w:hint="eastAsia"/>
        </w:rPr>
        <w:t>种机制，导致其局部结构分布更为复杂。</w:t>
      </w:r>
    </w:p>
    <w:p w14:paraId="391C9253" w14:textId="04E8E12B" w:rsidR="002802A8" w:rsidRDefault="002802A8" w:rsidP="002802A8">
      <w:pPr>
        <w:ind w:firstLineChars="200" w:firstLine="420"/>
      </w:pPr>
      <w:r w:rsidRPr="000C1905">
        <w:rPr>
          <w:rFonts w:hint="eastAsia"/>
        </w:rPr>
        <w:t>分子动力学模拟结果为我们的机理解释提供了强有力的支持。在</w:t>
      </w:r>
      <w:r w:rsidRPr="000C1905">
        <w:t>NaCl</w:t>
      </w:r>
      <w:r w:rsidRPr="000C1905">
        <w:rPr>
          <w:rFonts w:hint="eastAsia"/>
        </w:rPr>
        <w:t>溶液中，尽管氢键数量有所减少，但寿命曲线的衰减并不显著。此外，</w:t>
      </w:r>
      <w:r w:rsidRPr="000C1905">
        <w:t>Cl</w:t>
      </w:r>
      <w:r w:rsidRPr="000C1905">
        <w:rPr>
          <w:vertAlign w:val="superscript"/>
        </w:rPr>
        <w:t>−</w:t>
      </w:r>
      <w:r w:rsidRPr="000C1905">
        <w:rPr>
          <w:rFonts w:hint="eastAsia"/>
        </w:rPr>
        <w:t>的电子捕获能力相对较弱，因此能够提供较多的自由电子，从而增强瞬态极化效应。在</w:t>
      </w:r>
      <w:r w:rsidR="00BE6195" w:rsidRPr="000C1905">
        <w:rPr>
          <w:rFonts w:hint="eastAsia"/>
        </w:rPr>
        <w:t>CaCl</w:t>
      </w:r>
      <w:r w:rsidR="00BE6195" w:rsidRPr="000C1905">
        <w:rPr>
          <w:rFonts w:hint="eastAsia"/>
          <w:vertAlign w:val="subscript"/>
        </w:rPr>
        <w:t>2</w:t>
      </w:r>
      <w:r w:rsidRPr="000C1905">
        <w:rPr>
          <w:rFonts w:hint="eastAsia"/>
        </w:rPr>
        <w:t>溶液中，</w:t>
      </w:r>
      <w:r w:rsidRPr="000C1905">
        <w:t>Cl</w:t>
      </w:r>
      <w:r w:rsidRPr="000C1905">
        <w:rPr>
          <w:vertAlign w:val="superscript"/>
        </w:rPr>
        <w:t>−</w:t>
      </w:r>
      <w:r w:rsidRPr="000C1905">
        <w:rPr>
          <w:rFonts w:hint="eastAsia"/>
        </w:rPr>
        <w:t>同样有助于破坏氢键，但</w:t>
      </w:r>
      <w:r w:rsidRPr="000C1905">
        <w:t>Ca²⁺</w:t>
      </w:r>
      <w:r w:rsidRPr="000C1905">
        <w:rPr>
          <w:rFonts w:hint="eastAsia"/>
        </w:rPr>
        <w:t>的强水合作用及其双电荷散射对电子运动和水分子解离构成了更明显的阻碍，导致其太赫兹增强效果逊于</w:t>
      </w:r>
      <w:r w:rsidRPr="000C1905">
        <w:t>NaCl</w:t>
      </w:r>
      <w:r w:rsidRPr="000C1905">
        <w:rPr>
          <w:rFonts w:hint="eastAsia"/>
        </w:rPr>
        <w:t>溶液。对于</w:t>
      </w:r>
      <w:r w:rsidR="00BE6195" w:rsidRPr="000C1905">
        <w:rPr>
          <w:rFonts w:hint="eastAsia"/>
        </w:rPr>
        <w:t>NaHCO</w:t>
      </w:r>
      <w:r w:rsidR="00BE6195" w:rsidRPr="000C1905">
        <w:rPr>
          <w:rFonts w:hint="eastAsia"/>
          <w:vertAlign w:val="subscript"/>
        </w:rPr>
        <w:t>3</w:t>
      </w:r>
      <w:r w:rsidRPr="000C1905">
        <w:rPr>
          <w:rFonts w:hint="eastAsia"/>
        </w:rPr>
        <w:t>和</w:t>
      </w:r>
      <w:r w:rsidRPr="000C1905">
        <w:t>Ca(HCO</w:t>
      </w:r>
      <w:r w:rsidRPr="000C1905">
        <w:rPr>
          <w:rFonts w:hint="eastAsia"/>
          <w:vertAlign w:val="subscript"/>
        </w:rPr>
        <w:t>3</w:t>
      </w:r>
      <w:r w:rsidRPr="000C1905">
        <w:t>)</w:t>
      </w:r>
      <w:r w:rsidRPr="000C1905">
        <w:rPr>
          <w:rFonts w:hint="eastAsia"/>
          <w:vertAlign w:val="subscript"/>
        </w:rPr>
        <w:t>2</w:t>
      </w:r>
      <w:r w:rsidRPr="000C1905">
        <w:rPr>
          <w:rFonts w:hint="eastAsia"/>
        </w:rPr>
        <w:t>溶液，由于</w:t>
      </w:r>
      <w:r w:rsidRPr="000C1905">
        <w:t>HCO₃⁻</w:t>
      </w:r>
      <w:r w:rsidRPr="000C1905">
        <w:rPr>
          <w:rFonts w:hint="eastAsia"/>
        </w:rPr>
        <w:t>极易俘获激光电离产生的电子，且两者均对氢键网络造成了显著扰动，尤其是</w:t>
      </w:r>
      <w:r w:rsidRPr="000C1905">
        <w:t>Ca(HCO</w:t>
      </w:r>
      <w:r w:rsidRPr="000C1905">
        <w:rPr>
          <w:rFonts w:hint="eastAsia"/>
          <w:vertAlign w:val="subscript"/>
        </w:rPr>
        <w:t>3</w:t>
      </w:r>
      <w:r w:rsidRPr="000C1905">
        <w:t>)</w:t>
      </w:r>
      <w:r w:rsidRPr="000C1905">
        <w:rPr>
          <w:rFonts w:hint="eastAsia"/>
          <w:vertAlign w:val="subscript"/>
        </w:rPr>
        <w:t>2</w:t>
      </w:r>
      <w:r w:rsidRPr="000C1905">
        <w:rPr>
          <w:rFonts w:hint="eastAsia"/>
        </w:rPr>
        <w:t>在高浓度下会形成大量稳定复合物，从而减少了可供电离或极化的水分子数量，并加剧了电子散射与复合损失，最终导致太赫兹发射被显著抑制。</w:t>
      </w:r>
    </w:p>
    <w:p w14:paraId="7512D881" w14:textId="77777777" w:rsidR="00537EBA" w:rsidRPr="000C1905" w:rsidRDefault="00537EBA" w:rsidP="002802A8">
      <w:pPr>
        <w:ind w:firstLineChars="200" w:firstLine="420"/>
      </w:pPr>
    </w:p>
    <w:p w14:paraId="7A8BFF20" w14:textId="543BBBCF" w:rsidR="002802A8" w:rsidRPr="000C1905" w:rsidRDefault="00E13729" w:rsidP="00E13729">
      <w:pPr>
        <w:rPr>
          <w:b/>
          <w:sz w:val="28"/>
          <w:szCs w:val="28"/>
        </w:rPr>
      </w:pPr>
      <w:bookmarkStart w:id="10" w:name="_Hlk196144280"/>
      <w:r w:rsidRPr="000C1905">
        <w:rPr>
          <w:rFonts w:hint="eastAsia"/>
          <w:b/>
          <w:sz w:val="28"/>
          <w:szCs w:val="28"/>
        </w:rPr>
        <w:t xml:space="preserve">5 </w:t>
      </w:r>
      <w:r w:rsidR="002802A8" w:rsidRPr="000C1905">
        <w:rPr>
          <w:rFonts w:hint="eastAsia"/>
          <w:b/>
          <w:sz w:val="28"/>
          <w:szCs w:val="28"/>
        </w:rPr>
        <w:t>结束语</w:t>
      </w:r>
    </w:p>
    <w:bookmarkEnd w:id="10"/>
    <w:p w14:paraId="7FAD0A66" w14:textId="77777777" w:rsidR="00537EBA" w:rsidRDefault="001D0163" w:rsidP="005523CC">
      <w:pPr>
        <w:ind w:firstLineChars="200" w:firstLine="420"/>
        <w:jc w:val="left"/>
        <w:rPr>
          <w:szCs w:val="21"/>
        </w:rPr>
      </w:pPr>
      <w:r w:rsidRPr="000C1905">
        <w:rPr>
          <w:rFonts w:hint="eastAsia"/>
          <w:szCs w:val="21"/>
        </w:rPr>
        <w:t>本研究利用飞秒激光流动水射流系统，</w:t>
      </w:r>
      <w:r w:rsidR="00537EBA">
        <w:rPr>
          <w:rFonts w:hint="eastAsia"/>
          <w:szCs w:val="21"/>
        </w:rPr>
        <w:t>系统</w:t>
      </w:r>
      <w:r w:rsidRPr="000C1905">
        <w:rPr>
          <w:rFonts w:hint="eastAsia"/>
          <w:szCs w:val="21"/>
        </w:rPr>
        <w:t>比较了</w:t>
      </w:r>
      <w:r w:rsidRPr="000C1905">
        <w:rPr>
          <w:szCs w:val="21"/>
        </w:rPr>
        <w:t>Cl⁻</w:t>
      </w:r>
      <w:r w:rsidRPr="000C1905">
        <w:rPr>
          <w:rFonts w:hint="eastAsia"/>
          <w:szCs w:val="21"/>
        </w:rPr>
        <w:t>、</w:t>
      </w:r>
      <w:r w:rsidRPr="000C1905">
        <w:rPr>
          <w:szCs w:val="21"/>
        </w:rPr>
        <w:t>HCO₃⁻</w:t>
      </w:r>
      <w:r w:rsidRPr="000C1905">
        <w:rPr>
          <w:rFonts w:hint="eastAsia"/>
          <w:szCs w:val="21"/>
        </w:rPr>
        <w:t>与</w:t>
      </w:r>
      <w:r w:rsidRPr="000C1905">
        <w:rPr>
          <w:szCs w:val="21"/>
        </w:rPr>
        <w:t>Ca²⁺</w:t>
      </w:r>
      <w:r w:rsidRPr="000C1905">
        <w:rPr>
          <w:rFonts w:hint="eastAsia"/>
          <w:szCs w:val="21"/>
        </w:rPr>
        <w:t>、</w:t>
      </w:r>
      <w:r w:rsidRPr="000C1905">
        <w:rPr>
          <w:szCs w:val="21"/>
        </w:rPr>
        <w:t>Na⁺</w:t>
      </w:r>
      <w:r w:rsidRPr="000C1905">
        <w:rPr>
          <w:rFonts w:hint="eastAsia"/>
          <w:szCs w:val="21"/>
        </w:rPr>
        <w:t>等离子的太赫兹调控效应，</w:t>
      </w:r>
      <w:r w:rsidR="00537EBA">
        <w:rPr>
          <w:rFonts w:ascii="Segoe UI" w:hAnsi="Segoe UI" w:cs="Segoe UI"/>
          <w:color w:val="0F1115"/>
          <w:shd w:val="clear" w:color="auto" w:fill="FFFFFF"/>
        </w:rPr>
        <w:t>揭示了离子调控太赫兹辐射的</w:t>
      </w:r>
      <w:r w:rsidR="00537EBA">
        <w:rPr>
          <w:rFonts w:ascii="Segoe UI" w:hAnsi="Segoe UI" w:cs="Segoe UI"/>
          <w:color w:val="0F1115"/>
          <w:shd w:val="clear" w:color="auto" w:fill="FFFFFF"/>
        </w:rPr>
        <w:t>“</w:t>
      </w:r>
      <w:r w:rsidR="00537EBA">
        <w:rPr>
          <w:rFonts w:ascii="Segoe UI" w:hAnsi="Segoe UI" w:cs="Segoe UI"/>
          <w:color w:val="0F1115"/>
          <w:shd w:val="clear" w:color="auto" w:fill="FFFFFF"/>
        </w:rPr>
        <w:t>三元耦合</w:t>
      </w:r>
      <w:r w:rsidR="00537EBA">
        <w:rPr>
          <w:rFonts w:ascii="Segoe UI" w:hAnsi="Segoe UI" w:cs="Segoe UI"/>
          <w:color w:val="0F1115"/>
          <w:shd w:val="clear" w:color="auto" w:fill="FFFFFF"/>
        </w:rPr>
        <w:t>”</w:t>
      </w:r>
      <w:r w:rsidR="00537EBA">
        <w:rPr>
          <w:rFonts w:ascii="Segoe UI" w:hAnsi="Segoe UI" w:cs="Segoe UI"/>
          <w:color w:val="0F1115"/>
          <w:shd w:val="clear" w:color="auto" w:fill="FFFFFF"/>
        </w:rPr>
        <w:t>规律：离子电荷数主导电子散射过程，离子半径与水合能力共同重构氢键网络，电导率与俘获动力学决定瞬态电流寿命。</w:t>
      </w:r>
      <w:r w:rsidRPr="000C1905">
        <w:rPr>
          <w:rFonts w:hint="eastAsia"/>
          <w:szCs w:val="21"/>
        </w:rPr>
        <w:t>具体而言：</w:t>
      </w:r>
    </w:p>
    <w:p w14:paraId="66959020" w14:textId="77777777" w:rsidR="00537EBA" w:rsidRDefault="001D0163" w:rsidP="005523CC">
      <w:pPr>
        <w:ind w:firstLineChars="200" w:firstLine="420"/>
        <w:jc w:val="left"/>
        <w:rPr>
          <w:szCs w:val="21"/>
        </w:rPr>
      </w:pPr>
      <w:r w:rsidRPr="000C1905">
        <w:rPr>
          <w:szCs w:val="21"/>
        </w:rPr>
        <w:t>1</w:t>
      </w:r>
      <w:r w:rsidRPr="000C1905">
        <w:rPr>
          <w:rFonts w:hint="eastAsia"/>
          <w:szCs w:val="21"/>
        </w:rPr>
        <w:t>）多价阳离子（</w:t>
      </w:r>
      <w:r w:rsidRPr="000C1905">
        <w:rPr>
          <w:szCs w:val="21"/>
        </w:rPr>
        <w:t>Ca²⁺</w:t>
      </w:r>
      <w:r w:rsidRPr="000C1905">
        <w:rPr>
          <w:rFonts w:hint="eastAsia"/>
          <w:szCs w:val="21"/>
        </w:rPr>
        <w:t>）在激光等离子体中提供双倍库仑中心，显著提高电子</w:t>
      </w:r>
      <w:r w:rsidRPr="000C1905">
        <w:rPr>
          <w:szCs w:val="21"/>
        </w:rPr>
        <w:t>-</w:t>
      </w:r>
      <w:r w:rsidRPr="000C1905">
        <w:rPr>
          <w:rFonts w:hint="eastAsia"/>
          <w:szCs w:val="21"/>
        </w:rPr>
        <w:t>离子散射频率，抑制瞬态电流的相干加速；而单价阳离子（</w:t>
      </w:r>
      <w:r w:rsidRPr="000C1905">
        <w:rPr>
          <w:szCs w:val="21"/>
        </w:rPr>
        <w:t>Na⁺</w:t>
      </w:r>
      <w:r w:rsidR="00537EBA">
        <w:rPr>
          <w:rFonts w:hint="eastAsia"/>
          <w:szCs w:val="21"/>
        </w:rPr>
        <w:t>）则表现为弱散射，易于维持载流子的相干寿命。</w:t>
      </w:r>
    </w:p>
    <w:p w14:paraId="23ECB875" w14:textId="77777777" w:rsidR="00537EBA" w:rsidRDefault="001D0163" w:rsidP="005523CC">
      <w:pPr>
        <w:ind w:firstLineChars="200" w:firstLine="420"/>
        <w:jc w:val="left"/>
        <w:rPr>
          <w:szCs w:val="21"/>
        </w:rPr>
      </w:pPr>
      <w:r w:rsidRPr="000C1905">
        <w:rPr>
          <w:szCs w:val="21"/>
        </w:rPr>
        <w:t>2</w:t>
      </w:r>
      <w:r w:rsidRPr="000C1905">
        <w:rPr>
          <w:rFonts w:hint="eastAsia"/>
          <w:szCs w:val="21"/>
        </w:rPr>
        <w:t>）半径较大、亲水性较弱的</w:t>
      </w:r>
      <w:r w:rsidRPr="000C1905">
        <w:rPr>
          <w:szCs w:val="21"/>
        </w:rPr>
        <w:t>Cl⁻</w:t>
      </w:r>
      <w:r w:rsidRPr="000C1905">
        <w:rPr>
          <w:rFonts w:hint="eastAsia"/>
          <w:szCs w:val="21"/>
        </w:rPr>
        <w:t>可“松化”氢键网络并释放种子电子；半径较小、亲水性较强的</w:t>
      </w:r>
      <w:r w:rsidRPr="000C1905">
        <w:rPr>
          <w:szCs w:val="21"/>
        </w:rPr>
        <w:t>Ca²⁺</w:t>
      </w:r>
      <w:r w:rsidRPr="000C1905">
        <w:rPr>
          <w:rFonts w:hint="eastAsia"/>
          <w:szCs w:val="21"/>
        </w:rPr>
        <w:t>形成致密水合壳，束缚局域水分子并提高体系有序度；多原子阴离子</w:t>
      </w:r>
      <w:r w:rsidRPr="000C1905">
        <w:rPr>
          <w:szCs w:val="21"/>
        </w:rPr>
        <w:t>HCO₃⁻</w:t>
      </w:r>
      <w:r w:rsidRPr="000C1905">
        <w:rPr>
          <w:rFonts w:hint="eastAsia"/>
          <w:szCs w:val="21"/>
        </w:rPr>
        <w:t>在水合过程中</w:t>
      </w:r>
      <w:r w:rsidR="00537EBA">
        <w:rPr>
          <w:rFonts w:hint="eastAsia"/>
          <w:szCs w:val="21"/>
        </w:rPr>
        <w:t>同时引入配位簇和电子捕获位点，导致氢键数量与寿命双重削弱。</w:t>
      </w:r>
    </w:p>
    <w:p w14:paraId="5E500B13" w14:textId="77777777" w:rsidR="00E2548C" w:rsidRDefault="001D0163" w:rsidP="005523CC">
      <w:pPr>
        <w:ind w:firstLineChars="200" w:firstLine="420"/>
        <w:jc w:val="left"/>
        <w:rPr>
          <w:szCs w:val="21"/>
        </w:rPr>
      </w:pPr>
      <w:r w:rsidRPr="000C1905">
        <w:rPr>
          <w:szCs w:val="21"/>
        </w:rPr>
        <w:t>3</w:t>
      </w:r>
      <w:r w:rsidRPr="000C1905">
        <w:rPr>
          <w:rFonts w:hint="eastAsia"/>
          <w:szCs w:val="21"/>
        </w:rPr>
        <w:t>）高电导率虽然提供更多初始载流子，但伴随的频繁碰撞与阴离子俘获（</w:t>
      </w:r>
      <w:r w:rsidRPr="000C1905">
        <w:rPr>
          <w:szCs w:val="21"/>
        </w:rPr>
        <w:t>HCO₃⁻</w:t>
      </w:r>
      <w:r w:rsidRPr="000C1905">
        <w:rPr>
          <w:rFonts w:hint="eastAsia"/>
          <w:szCs w:val="21"/>
        </w:rPr>
        <w:t>）将快速削弱有效电流，因此溶液宏观电导率与太赫兹输出呈系统性的负相关。</w:t>
      </w:r>
    </w:p>
    <w:p w14:paraId="422F332A" w14:textId="12361121" w:rsidR="002C0F69" w:rsidRDefault="001D0163" w:rsidP="005523CC">
      <w:pPr>
        <w:ind w:firstLineChars="200" w:firstLine="420"/>
        <w:jc w:val="left"/>
        <w:rPr>
          <w:rFonts w:ascii="Segoe UI" w:hAnsi="Segoe UI" w:cs="Segoe UI"/>
          <w:color w:val="0F1115"/>
          <w:shd w:val="clear" w:color="auto" w:fill="FFFFFF"/>
        </w:rPr>
      </w:pPr>
      <w:r w:rsidRPr="000C1905">
        <w:rPr>
          <w:rFonts w:hint="eastAsia"/>
          <w:szCs w:val="21"/>
        </w:rPr>
        <w:t>这一规律统一解释了多价强水合离子抑制与单价弱水合离子增强太赫兹辐射的表观差</w:t>
      </w:r>
      <w:r w:rsidRPr="000C1905">
        <w:rPr>
          <w:rFonts w:hint="eastAsia"/>
          <w:szCs w:val="21"/>
        </w:rPr>
        <w:lastRenderedPageBreak/>
        <w:t>异，丰富了瞬态光电流模型在液相强场过程中的理论体系，并为通过水质工程实现可调谐液体太赫兹源提供了技术路径，可面向片上光子器件、可重构通信和离子传感等应用。</w:t>
      </w:r>
      <w:r w:rsidR="00E2548C">
        <w:rPr>
          <w:rFonts w:ascii="Segoe UI" w:hAnsi="Segoe UI" w:cs="Segoe UI"/>
          <w:color w:val="0F1115"/>
          <w:shd w:val="clear" w:color="auto" w:fill="FFFFFF"/>
        </w:rPr>
        <w:t>后续研究需进一步探讨多离子协同效应与流体梯度对载流子动力学的影响，并结合超快诊断技术与机器学习方法筛选高效离子配方，以推动可编程液体太赫兹辐射器的高性能化发展。</w:t>
      </w:r>
    </w:p>
    <w:p w14:paraId="3F3BE1C0" w14:textId="77777777" w:rsidR="001D5F9B" w:rsidRPr="000C1905" w:rsidRDefault="001D5F9B" w:rsidP="005523CC">
      <w:pPr>
        <w:ind w:firstLineChars="200" w:firstLine="420"/>
        <w:jc w:val="left"/>
        <w:rPr>
          <w:szCs w:val="21"/>
        </w:rPr>
      </w:pPr>
    </w:p>
    <w:p w14:paraId="303779B9" w14:textId="77777777" w:rsidR="00BD6A7C" w:rsidRPr="000C1905" w:rsidRDefault="00DF7B5C">
      <w:pPr>
        <w:spacing w:line="360" w:lineRule="auto"/>
        <w:rPr>
          <w:rFonts w:ascii="宋体" w:hAnsi="宋体"/>
          <w:b/>
          <w:szCs w:val="21"/>
        </w:rPr>
      </w:pPr>
      <w:r w:rsidRPr="000C1905">
        <w:rPr>
          <w:rFonts w:ascii="宋体" w:hAnsi="宋体"/>
          <w:b/>
          <w:szCs w:val="21"/>
        </w:rPr>
        <w:t>参考文献</w:t>
      </w:r>
    </w:p>
    <w:p w14:paraId="5B4575B0" w14:textId="1817E5F8" w:rsidR="00BD6A7C" w:rsidRPr="000C1905" w:rsidRDefault="00B956FA" w:rsidP="008A315C">
      <w:pPr>
        <w:pStyle w:val="aa"/>
        <w:numPr>
          <w:ilvl w:val="0"/>
          <w:numId w:val="2"/>
        </w:numPr>
        <w:ind w:left="0" w:firstLineChars="0" w:firstLine="0"/>
        <w:rPr>
          <w:szCs w:val="21"/>
        </w:rPr>
      </w:pPr>
      <w:bookmarkStart w:id="11" w:name="_Ref196148129"/>
      <w:r w:rsidRPr="00B956FA">
        <w:rPr>
          <w:szCs w:val="21"/>
        </w:rPr>
        <w:t>SHEN Y, SONG Z, XU N, CHEN H, DENG S. Generation of submillimeter terahertz radiation by ultrafast optical-field-emission[J]. IEEE Electron Device Letters, 2023, 44</w:t>
      </w:r>
      <w:r w:rsidRPr="00B956FA">
        <w:rPr>
          <w:szCs w:val="21"/>
        </w:rPr>
        <w:t>（</w:t>
      </w:r>
      <w:r w:rsidRPr="00B956FA">
        <w:rPr>
          <w:szCs w:val="21"/>
        </w:rPr>
        <w:t>7</w:t>
      </w:r>
      <w:r w:rsidRPr="00B956FA">
        <w:rPr>
          <w:szCs w:val="21"/>
        </w:rPr>
        <w:t>）</w:t>
      </w:r>
      <w:r w:rsidRPr="00B956FA">
        <w:rPr>
          <w:szCs w:val="21"/>
        </w:rPr>
        <w:t>: 1204-1207</w:t>
      </w:r>
      <w:r w:rsidR="007F47E5" w:rsidRPr="000C1905">
        <w:rPr>
          <w:szCs w:val="21"/>
        </w:rPr>
        <w:t>.</w:t>
      </w:r>
      <w:bookmarkEnd w:id="11"/>
    </w:p>
    <w:p w14:paraId="12C0C5B8" w14:textId="5C290CA6" w:rsidR="00BD6A7C" w:rsidRPr="000C1905" w:rsidRDefault="00B956FA" w:rsidP="008A315C">
      <w:pPr>
        <w:pStyle w:val="aa"/>
        <w:numPr>
          <w:ilvl w:val="0"/>
          <w:numId w:val="2"/>
        </w:numPr>
        <w:ind w:left="0" w:firstLineChars="0" w:firstLine="0"/>
        <w:rPr>
          <w:szCs w:val="21"/>
        </w:rPr>
      </w:pPr>
      <w:bookmarkStart w:id="12" w:name="_Ref196148160"/>
      <w:r w:rsidRPr="00B956FA">
        <w:rPr>
          <w:szCs w:val="21"/>
        </w:rPr>
        <w:t>JANG D. High efficient terahertz generation from two-color femtosecond laser filaments[C]. Relativistic Plasma Waves and Particle Beams as Coherent and Incoherent Radiation Sources IV, 2021-04-18: 8</w:t>
      </w:r>
      <w:r w:rsidR="00DF7B5C" w:rsidRPr="000C1905">
        <w:rPr>
          <w:szCs w:val="21"/>
        </w:rPr>
        <w:t>.</w:t>
      </w:r>
      <w:bookmarkEnd w:id="12"/>
    </w:p>
    <w:p w14:paraId="086DE316" w14:textId="1E726C3D" w:rsidR="00BD6A7C" w:rsidRPr="000C1905" w:rsidRDefault="00B956FA" w:rsidP="008A315C">
      <w:pPr>
        <w:pStyle w:val="aa"/>
        <w:numPr>
          <w:ilvl w:val="0"/>
          <w:numId w:val="2"/>
        </w:numPr>
        <w:ind w:left="0" w:firstLineChars="0" w:firstLine="0"/>
        <w:rPr>
          <w:szCs w:val="21"/>
        </w:rPr>
      </w:pPr>
      <w:bookmarkStart w:id="13" w:name="_Ref196148178"/>
      <w:r w:rsidRPr="00B956FA">
        <w:rPr>
          <w:szCs w:val="21"/>
        </w:rPr>
        <w:t>GOPAL A, HERZER S, SCHMIDT A, et al. Observation of gigawatt-class THz pulses from a compact laser-driven particle accelerator[J]. Physical Review Letters, 2013, 111</w:t>
      </w:r>
      <w:r w:rsidRPr="00B956FA">
        <w:rPr>
          <w:szCs w:val="21"/>
        </w:rPr>
        <w:t>（</w:t>
      </w:r>
      <w:r w:rsidRPr="00B956FA">
        <w:rPr>
          <w:szCs w:val="21"/>
        </w:rPr>
        <w:t>7</w:t>
      </w:r>
      <w:r w:rsidRPr="00B956FA">
        <w:rPr>
          <w:szCs w:val="21"/>
        </w:rPr>
        <w:t>）</w:t>
      </w:r>
      <w:r w:rsidRPr="00B956FA">
        <w:rPr>
          <w:szCs w:val="21"/>
        </w:rPr>
        <w:t>: 074802</w:t>
      </w:r>
      <w:r w:rsidR="00DF7B5C" w:rsidRPr="000C1905">
        <w:rPr>
          <w:szCs w:val="21"/>
        </w:rPr>
        <w:t>.</w:t>
      </w:r>
      <w:bookmarkEnd w:id="13"/>
    </w:p>
    <w:p w14:paraId="7AAD8227" w14:textId="71D2873B" w:rsidR="00BD6A7C" w:rsidRPr="000C1905" w:rsidRDefault="00B956FA" w:rsidP="008A315C">
      <w:pPr>
        <w:pStyle w:val="aa"/>
        <w:numPr>
          <w:ilvl w:val="0"/>
          <w:numId w:val="2"/>
        </w:numPr>
        <w:ind w:left="0" w:firstLineChars="0" w:firstLine="0"/>
        <w:rPr>
          <w:szCs w:val="21"/>
        </w:rPr>
      </w:pPr>
      <w:bookmarkStart w:id="14" w:name="_Ref196148196"/>
      <w:r w:rsidRPr="00B956FA">
        <w:rPr>
          <w:szCs w:val="21"/>
        </w:rPr>
        <w:t>JIN Q, E Y W, WILLIAMS K, DAI J, ZHANG X C. Observation of broadband terahertz wave generation from liquid water[J]. Applied Physics Letters, 2017, 111</w:t>
      </w:r>
      <w:r w:rsidRPr="00B956FA">
        <w:rPr>
          <w:szCs w:val="21"/>
        </w:rPr>
        <w:t>（</w:t>
      </w:r>
      <w:r w:rsidRPr="00B956FA">
        <w:rPr>
          <w:szCs w:val="21"/>
        </w:rPr>
        <w:t>7</w:t>
      </w:r>
      <w:r w:rsidRPr="00B956FA">
        <w:rPr>
          <w:szCs w:val="21"/>
        </w:rPr>
        <w:t>）</w:t>
      </w:r>
      <w:r w:rsidRPr="00B956FA">
        <w:rPr>
          <w:szCs w:val="21"/>
        </w:rPr>
        <w:t>: 071103</w:t>
      </w:r>
      <w:r w:rsidR="00DF7B5C" w:rsidRPr="000C1905">
        <w:rPr>
          <w:szCs w:val="21"/>
        </w:rPr>
        <w:t>.</w:t>
      </w:r>
      <w:bookmarkEnd w:id="14"/>
    </w:p>
    <w:p w14:paraId="6D671717" w14:textId="54494C11" w:rsidR="00BD6A7C" w:rsidRPr="000C1905" w:rsidRDefault="00B956FA" w:rsidP="008A315C">
      <w:pPr>
        <w:pStyle w:val="aa"/>
        <w:numPr>
          <w:ilvl w:val="0"/>
          <w:numId w:val="2"/>
        </w:numPr>
        <w:ind w:left="0" w:firstLineChars="0" w:firstLine="0"/>
        <w:rPr>
          <w:szCs w:val="21"/>
        </w:rPr>
      </w:pPr>
      <w:bookmarkStart w:id="15" w:name="_Ref196148203"/>
      <w:r w:rsidRPr="00B956FA">
        <w:rPr>
          <w:szCs w:val="21"/>
        </w:rPr>
        <w:t>DEY I, JANA K, FEDOROV V Y, et al. Highly efficient broadband terahertz generation from ultrashort laser filamentation in liquids[J]. Nature Communications, 2017, 8</w:t>
      </w:r>
      <w:r w:rsidRPr="00B956FA">
        <w:rPr>
          <w:szCs w:val="21"/>
        </w:rPr>
        <w:t>（</w:t>
      </w:r>
      <w:r w:rsidRPr="00B956FA">
        <w:rPr>
          <w:szCs w:val="21"/>
        </w:rPr>
        <w:t>1</w:t>
      </w:r>
      <w:r w:rsidRPr="00B956FA">
        <w:rPr>
          <w:szCs w:val="21"/>
        </w:rPr>
        <w:t>）</w:t>
      </w:r>
      <w:r w:rsidRPr="00B956FA">
        <w:rPr>
          <w:szCs w:val="21"/>
        </w:rPr>
        <w:t>: 1184</w:t>
      </w:r>
      <w:r w:rsidR="007F47E5" w:rsidRPr="000C1905">
        <w:rPr>
          <w:szCs w:val="21"/>
        </w:rPr>
        <w:t>.</w:t>
      </w:r>
      <w:bookmarkEnd w:id="15"/>
    </w:p>
    <w:p w14:paraId="26EDB030" w14:textId="30404F16" w:rsidR="00BD6A7C" w:rsidRPr="000C1905" w:rsidRDefault="00B956FA" w:rsidP="008A315C">
      <w:pPr>
        <w:pStyle w:val="aa"/>
        <w:numPr>
          <w:ilvl w:val="0"/>
          <w:numId w:val="2"/>
        </w:numPr>
        <w:ind w:left="0" w:firstLineChars="0" w:firstLine="0"/>
        <w:rPr>
          <w:szCs w:val="21"/>
        </w:rPr>
      </w:pPr>
      <w:bookmarkStart w:id="16" w:name="_Ref196148211"/>
      <w:r w:rsidRPr="00B956FA">
        <w:rPr>
          <w:szCs w:val="21"/>
        </w:rPr>
        <w:t>E Y, ZHANG L, TSYPKIN A, KOZLOV S, ZHANG C, ZHANG X C. Progress, challenges, and opportunities of terahertz emission from liquids[J]. Journal of the Optical Society of America B, 2022, 39</w:t>
      </w:r>
      <w:r w:rsidRPr="00B956FA">
        <w:rPr>
          <w:szCs w:val="21"/>
        </w:rPr>
        <w:t>（</w:t>
      </w:r>
      <w:r w:rsidRPr="00B956FA">
        <w:rPr>
          <w:szCs w:val="21"/>
        </w:rPr>
        <w:t>3</w:t>
      </w:r>
      <w:r w:rsidRPr="00B956FA">
        <w:rPr>
          <w:szCs w:val="21"/>
        </w:rPr>
        <w:t>）</w:t>
      </w:r>
      <w:r w:rsidRPr="00B956FA">
        <w:rPr>
          <w:szCs w:val="21"/>
        </w:rPr>
        <w:t>: A43</w:t>
      </w:r>
      <w:r w:rsidR="007F47E5" w:rsidRPr="000C1905">
        <w:rPr>
          <w:szCs w:val="21"/>
        </w:rPr>
        <w:t>.</w:t>
      </w:r>
      <w:bookmarkEnd w:id="16"/>
    </w:p>
    <w:p w14:paraId="078CEB65" w14:textId="2CF5BB91" w:rsidR="00BD6A7C" w:rsidRPr="000C1905" w:rsidRDefault="00B956FA" w:rsidP="008A315C">
      <w:pPr>
        <w:pStyle w:val="aa"/>
        <w:numPr>
          <w:ilvl w:val="0"/>
          <w:numId w:val="2"/>
        </w:numPr>
        <w:ind w:left="0" w:firstLineChars="0" w:firstLine="0"/>
        <w:rPr>
          <w:szCs w:val="21"/>
        </w:rPr>
      </w:pPr>
      <w:bookmarkStart w:id="17" w:name="_Ref196148219"/>
      <w:r w:rsidRPr="00B956FA">
        <w:rPr>
          <w:szCs w:val="21"/>
        </w:rPr>
        <w:t>ZHAO H, TAN Y, WU T, ZHANG R, ZHAO Y J, ZHANG C L, ZHANG L L. Strong anisotropy in aqueous salt solutions revealed by terahertz-induced Kerr effect[J]. Optics Communications, 2021, 497: 127192</w:t>
      </w:r>
      <w:r w:rsidR="00DF7B5C" w:rsidRPr="000C1905">
        <w:rPr>
          <w:szCs w:val="21"/>
        </w:rPr>
        <w:t>.</w:t>
      </w:r>
      <w:bookmarkEnd w:id="17"/>
    </w:p>
    <w:p w14:paraId="442F3FE2" w14:textId="74220075" w:rsidR="00BD6A7C" w:rsidRPr="000C1905" w:rsidRDefault="00B956FA" w:rsidP="008A315C">
      <w:pPr>
        <w:pStyle w:val="aa"/>
        <w:numPr>
          <w:ilvl w:val="0"/>
          <w:numId w:val="2"/>
        </w:numPr>
        <w:ind w:left="0" w:firstLineChars="0" w:firstLine="0"/>
        <w:rPr>
          <w:szCs w:val="21"/>
        </w:rPr>
      </w:pPr>
      <w:r w:rsidRPr="00B956FA">
        <w:rPr>
          <w:szCs w:val="21"/>
        </w:rPr>
        <w:t>ZHANG M H, XIAO W, WANG W M, ZHANG R, ZHANG C L, ZHANG X C, ZHANG L L. Highly sensitive detection of broadband terahertz waves using aqueous salt solutions[J]. Optics Express, 2022, 30</w:t>
      </w:r>
      <w:r w:rsidRPr="00B956FA">
        <w:rPr>
          <w:szCs w:val="21"/>
        </w:rPr>
        <w:t>（</w:t>
      </w:r>
      <w:r w:rsidRPr="00B956FA">
        <w:rPr>
          <w:szCs w:val="21"/>
        </w:rPr>
        <w:t>21</w:t>
      </w:r>
      <w:r w:rsidRPr="00B956FA">
        <w:rPr>
          <w:szCs w:val="21"/>
        </w:rPr>
        <w:t>）</w:t>
      </w:r>
      <w:r w:rsidRPr="00B956FA">
        <w:rPr>
          <w:szCs w:val="21"/>
        </w:rPr>
        <w:t>: 39142-39151</w:t>
      </w:r>
      <w:r w:rsidR="007F47E5" w:rsidRPr="000C1905">
        <w:rPr>
          <w:szCs w:val="21"/>
        </w:rPr>
        <w:t>.</w:t>
      </w:r>
    </w:p>
    <w:p w14:paraId="63B291CC" w14:textId="64915CB4" w:rsidR="00BD6A7C" w:rsidRPr="000C1905" w:rsidRDefault="00B956FA" w:rsidP="008A315C">
      <w:pPr>
        <w:pStyle w:val="aa"/>
        <w:numPr>
          <w:ilvl w:val="0"/>
          <w:numId w:val="2"/>
        </w:numPr>
        <w:ind w:left="0" w:firstLineChars="0" w:firstLine="0"/>
        <w:rPr>
          <w:szCs w:val="21"/>
        </w:rPr>
      </w:pPr>
      <w:bookmarkStart w:id="18" w:name="_Ref196148221"/>
      <w:r w:rsidRPr="00B956FA">
        <w:rPr>
          <w:szCs w:val="21"/>
        </w:rPr>
        <w:t>ZHANG Y, SHEN T, WANG H, LI H, WANG T, HE G, CHANG C, LI L. Enhancement of terahertz emission from aqueous NaCl solutions[J]. Journal of the Optical Society of America B, 2024, 41</w:t>
      </w:r>
      <w:r w:rsidRPr="00B956FA">
        <w:rPr>
          <w:szCs w:val="21"/>
        </w:rPr>
        <w:t>（</w:t>
      </w:r>
      <w:r w:rsidRPr="00B956FA">
        <w:rPr>
          <w:szCs w:val="21"/>
        </w:rPr>
        <w:t>9</w:t>
      </w:r>
      <w:r w:rsidRPr="00B956FA">
        <w:rPr>
          <w:szCs w:val="21"/>
        </w:rPr>
        <w:t>）</w:t>
      </w:r>
      <w:r w:rsidRPr="00B956FA">
        <w:rPr>
          <w:szCs w:val="21"/>
        </w:rPr>
        <w:t>: 1876-1882</w:t>
      </w:r>
      <w:r w:rsidR="00DF7B5C" w:rsidRPr="000C1905">
        <w:rPr>
          <w:szCs w:val="21"/>
        </w:rPr>
        <w:t>.</w:t>
      </w:r>
      <w:bookmarkEnd w:id="18"/>
    </w:p>
    <w:p w14:paraId="54903100" w14:textId="445D7659" w:rsidR="00BD6A7C" w:rsidRPr="000C1905" w:rsidRDefault="00B956FA" w:rsidP="008A315C">
      <w:pPr>
        <w:pStyle w:val="aa"/>
        <w:numPr>
          <w:ilvl w:val="0"/>
          <w:numId w:val="2"/>
        </w:numPr>
        <w:ind w:left="0" w:firstLineChars="0" w:firstLine="0"/>
        <w:rPr>
          <w:szCs w:val="21"/>
        </w:rPr>
      </w:pPr>
      <w:bookmarkStart w:id="19" w:name="_Ref196148290"/>
      <w:r w:rsidRPr="00B956FA">
        <w:rPr>
          <w:szCs w:val="21"/>
        </w:rPr>
        <w:t>JIN Q, GAO S, ZHANG X C. Investigation of liquid lines as terahertz emitters under ultrashort optical excitation[J]. arXiv preprint, 2019: arXiv:1902.07150</w:t>
      </w:r>
      <w:r w:rsidR="007F47E5" w:rsidRPr="000C1905">
        <w:rPr>
          <w:rFonts w:hint="eastAsia"/>
          <w:szCs w:val="21"/>
        </w:rPr>
        <w:t>.</w:t>
      </w:r>
      <w:bookmarkEnd w:id="19"/>
    </w:p>
    <w:p w14:paraId="40C5ED2C" w14:textId="3250C596" w:rsidR="00712DE3" w:rsidRPr="000C1905" w:rsidRDefault="00B956FA" w:rsidP="00712DE3">
      <w:pPr>
        <w:pStyle w:val="aa"/>
        <w:numPr>
          <w:ilvl w:val="0"/>
          <w:numId w:val="2"/>
        </w:numPr>
        <w:ind w:left="0" w:firstLineChars="0" w:firstLine="0"/>
        <w:rPr>
          <w:szCs w:val="21"/>
        </w:rPr>
      </w:pPr>
      <w:bookmarkStart w:id="20" w:name="_Ref196148409"/>
      <w:r w:rsidRPr="00B956FA">
        <w:rPr>
          <w:szCs w:val="21"/>
        </w:rPr>
        <w:t>RODRÍGUEZ-FERNÁNDEZ C D, DOVAL A, AROSA Y, et al. Tailoring refractive index dispersion in ionic liquids: the influence of charge delocalization in cations[J]. Spectrochimica Acta Part A Molecular and Biomolecular Spectroscopy, 2025, 324: 124964</w:t>
      </w:r>
      <w:r w:rsidR="007F47E5" w:rsidRPr="000C1905">
        <w:rPr>
          <w:szCs w:val="21"/>
        </w:rPr>
        <w:t>.</w:t>
      </w:r>
      <w:bookmarkEnd w:id="20"/>
    </w:p>
    <w:p w14:paraId="5850C1B3" w14:textId="253C5798" w:rsidR="00712DE3" w:rsidRPr="000C1905" w:rsidRDefault="00B956FA" w:rsidP="00712DE3">
      <w:pPr>
        <w:pStyle w:val="aa"/>
        <w:numPr>
          <w:ilvl w:val="0"/>
          <w:numId w:val="2"/>
        </w:numPr>
        <w:ind w:left="0" w:firstLineChars="0" w:firstLine="0"/>
        <w:rPr>
          <w:szCs w:val="21"/>
        </w:rPr>
      </w:pPr>
      <w:r w:rsidRPr="00B956FA">
        <w:rPr>
          <w:szCs w:val="21"/>
        </w:rPr>
        <w:t>ZHU K, NASERIFAR S, GODDARD W A, et al. Topology induced crossover between Langevin, subdiffusion, and Brownian diffusion regimes in supercooled water[J]. Physical Chemistry Chemical Physics, 2023, 25</w:t>
      </w:r>
      <w:r w:rsidRPr="00B956FA">
        <w:rPr>
          <w:szCs w:val="21"/>
        </w:rPr>
        <w:t>（</w:t>
      </w:r>
      <w:r w:rsidRPr="00B956FA">
        <w:rPr>
          <w:szCs w:val="21"/>
        </w:rPr>
        <w:t>15</w:t>
      </w:r>
      <w:r w:rsidRPr="00B956FA">
        <w:rPr>
          <w:szCs w:val="21"/>
        </w:rPr>
        <w:t>）</w:t>
      </w:r>
      <w:r w:rsidRPr="00B956FA">
        <w:rPr>
          <w:szCs w:val="21"/>
        </w:rPr>
        <w:t>: 10353-10366</w:t>
      </w:r>
      <w:r w:rsidR="00712DE3" w:rsidRPr="000C1905">
        <w:rPr>
          <w:szCs w:val="21"/>
        </w:rPr>
        <w:t>.</w:t>
      </w:r>
    </w:p>
    <w:p w14:paraId="58AAB48D" w14:textId="5C4EF836" w:rsidR="00712DE3" w:rsidRPr="000C1905" w:rsidRDefault="00B956FA" w:rsidP="00712DE3">
      <w:pPr>
        <w:pStyle w:val="aa"/>
        <w:numPr>
          <w:ilvl w:val="0"/>
          <w:numId w:val="2"/>
        </w:numPr>
        <w:ind w:left="0" w:firstLineChars="0" w:firstLine="0"/>
        <w:rPr>
          <w:szCs w:val="21"/>
        </w:rPr>
      </w:pPr>
      <w:r w:rsidRPr="00B956FA">
        <w:rPr>
          <w:szCs w:val="21"/>
        </w:rPr>
        <w:t>CHENG Y, QIAN Y, LUO H, et al. Terahertz narrowband perfect metasurface absorber based on micro-ring-shaped GaAs array for enhanced refractive index sensing[J]. Physica E Low-Dimensional Systems and Nanostructures, 2023, 146: 115527</w:t>
      </w:r>
      <w:r>
        <w:rPr>
          <w:szCs w:val="21"/>
        </w:rPr>
        <w:t>.</w:t>
      </w:r>
    </w:p>
    <w:p w14:paraId="27752170" w14:textId="2B57252B" w:rsidR="00BD6A7C" w:rsidRPr="000C1905" w:rsidRDefault="00B956FA" w:rsidP="008A315C">
      <w:pPr>
        <w:pStyle w:val="aa"/>
        <w:numPr>
          <w:ilvl w:val="0"/>
          <w:numId w:val="2"/>
        </w:numPr>
        <w:ind w:left="0" w:firstLineChars="0" w:firstLine="0"/>
        <w:rPr>
          <w:szCs w:val="21"/>
        </w:rPr>
      </w:pPr>
      <w:bookmarkStart w:id="21" w:name="_Ref196148453"/>
      <w:r w:rsidRPr="00B956FA">
        <w:rPr>
          <w:szCs w:val="21"/>
        </w:rPr>
        <w:t>SHUKLA V K, SINGH M, HUSSAIN S, et al. External static electric field assisted THz radiation generation via optical rectification of secant hyperbolic laser pulse in a plasma[J]. Physics of Plasmas, 2024, 31</w:t>
      </w:r>
      <w:r w:rsidRPr="00B956FA">
        <w:rPr>
          <w:szCs w:val="21"/>
        </w:rPr>
        <w:t>（</w:t>
      </w:r>
      <w:r w:rsidRPr="00B956FA">
        <w:rPr>
          <w:szCs w:val="21"/>
        </w:rPr>
        <w:t>8</w:t>
      </w:r>
      <w:r w:rsidRPr="00B956FA">
        <w:rPr>
          <w:szCs w:val="21"/>
        </w:rPr>
        <w:t>）</w:t>
      </w:r>
      <w:r w:rsidRPr="00B956FA">
        <w:rPr>
          <w:szCs w:val="21"/>
        </w:rPr>
        <w:t>: 083102</w:t>
      </w:r>
      <w:r w:rsidR="005F72A0" w:rsidRPr="000C1905">
        <w:rPr>
          <w:szCs w:val="21"/>
        </w:rPr>
        <w:t>.</w:t>
      </w:r>
      <w:bookmarkEnd w:id="21"/>
    </w:p>
    <w:p w14:paraId="4F9BD7D3" w14:textId="1566306B" w:rsidR="005F72A0" w:rsidRPr="000C1905" w:rsidRDefault="00B956FA" w:rsidP="008A315C">
      <w:pPr>
        <w:pStyle w:val="aa"/>
        <w:numPr>
          <w:ilvl w:val="0"/>
          <w:numId w:val="2"/>
        </w:numPr>
        <w:ind w:left="0" w:firstLineChars="0" w:firstLine="0"/>
        <w:rPr>
          <w:szCs w:val="21"/>
        </w:rPr>
      </w:pPr>
      <w:bookmarkStart w:id="22" w:name="_Ref196149316"/>
      <w:bookmarkStart w:id="23" w:name="_Ref196148490"/>
      <w:r w:rsidRPr="00B956FA">
        <w:rPr>
          <w:szCs w:val="21"/>
        </w:rPr>
        <w:lastRenderedPageBreak/>
        <w:t>JI P, LIU X, HOU L, et al. Temperature-dependent charge carrier behavior in phosphorene quantum dots probed by terahertz time-domain spectroscopy[J]. Optics Letters, 2023, 49</w:t>
      </w:r>
      <w:r w:rsidRPr="00B956FA">
        <w:rPr>
          <w:szCs w:val="21"/>
        </w:rPr>
        <w:t>（</w:t>
      </w:r>
      <w:r w:rsidRPr="00B956FA">
        <w:rPr>
          <w:szCs w:val="21"/>
        </w:rPr>
        <w:t>2</w:t>
      </w:r>
      <w:r w:rsidRPr="00B956FA">
        <w:rPr>
          <w:szCs w:val="21"/>
        </w:rPr>
        <w:t>）</w:t>
      </w:r>
      <w:r w:rsidRPr="00B956FA">
        <w:rPr>
          <w:szCs w:val="21"/>
        </w:rPr>
        <w:t>: 214-214</w:t>
      </w:r>
      <w:r w:rsidR="005F72A0" w:rsidRPr="000C1905">
        <w:rPr>
          <w:szCs w:val="21"/>
        </w:rPr>
        <w:t>.</w:t>
      </w:r>
      <w:bookmarkEnd w:id="22"/>
    </w:p>
    <w:p w14:paraId="67C28D3D" w14:textId="25D1128F" w:rsidR="005F72A0" w:rsidRPr="000C1905" w:rsidRDefault="00B956FA" w:rsidP="008A315C">
      <w:pPr>
        <w:pStyle w:val="aa"/>
        <w:numPr>
          <w:ilvl w:val="0"/>
          <w:numId w:val="2"/>
        </w:numPr>
        <w:ind w:left="0" w:firstLineChars="0" w:firstLine="0"/>
        <w:rPr>
          <w:szCs w:val="21"/>
        </w:rPr>
      </w:pPr>
      <w:bookmarkStart w:id="24" w:name="_Ref196149323"/>
      <w:bookmarkStart w:id="25" w:name="_Ref196148552"/>
      <w:bookmarkEnd w:id="23"/>
      <w:r w:rsidRPr="00B956FA">
        <w:rPr>
          <w:szCs w:val="21"/>
        </w:rPr>
        <w:t>BOROUMAND N, THORPE A, PARKS A M, et al. Keldysh ionization theory of atoms: mathematical details[J]. Journal of Physics B Atomic Molecular and Optical Physics, 2022, 55</w:t>
      </w:r>
      <w:r w:rsidRPr="00B956FA">
        <w:rPr>
          <w:szCs w:val="21"/>
        </w:rPr>
        <w:t>（</w:t>
      </w:r>
      <w:r w:rsidRPr="00B956FA">
        <w:rPr>
          <w:szCs w:val="21"/>
        </w:rPr>
        <w:t>21</w:t>
      </w:r>
      <w:r w:rsidRPr="00B956FA">
        <w:rPr>
          <w:szCs w:val="21"/>
        </w:rPr>
        <w:t>）</w:t>
      </w:r>
      <w:r w:rsidRPr="00B956FA">
        <w:rPr>
          <w:szCs w:val="21"/>
        </w:rPr>
        <w:t>: 213001</w:t>
      </w:r>
      <w:r w:rsidR="005F72A0" w:rsidRPr="000C1905">
        <w:rPr>
          <w:szCs w:val="21"/>
        </w:rPr>
        <w:t>.</w:t>
      </w:r>
      <w:bookmarkEnd w:id="24"/>
    </w:p>
    <w:p w14:paraId="0E1E681E" w14:textId="48CD23E2" w:rsidR="005F72A0" w:rsidRPr="000C1905" w:rsidRDefault="00B956FA" w:rsidP="008A315C">
      <w:pPr>
        <w:pStyle w:val="aa"/>
        <w:numPr>
          <w:ilvl w:val="0"/>
          <w:numId w:val="2"/>
        </w:numPr>
        <w:ind w:left="0" w:firstLineChars="0" w:firstLine="0"/>
        <w:rPr>
          <w:szCs w:val="21"/>
        </w:rPr>
      </w:pPr>
      <w:bookmarkStart w:id="26" w:name="_Ref196149334"/>
      <w:bookmarkStart w:id="27" w:name="_Ref196148534"/>
      <w:bookmarkEnd w:id="25"/>
      <w:r w:rsidRPr="00B956FA">
        <w:rPr>
          <w:szCs w:val="21"/>
        </w:rPr>
        <w:t>SAYRAÇ M. Numerical simulation of coherent extreme ultraviolet radiation by considering simple hydrogen atomic potential[J]. Iğdır Üniversitesi Fen Bilimleri Enstitüsü Dergisi, 2023, 13</w:t>
      </w:r>
      <w:r w:rsidRPr="00B956FA">
        <w:rPr>
          <w:szCs w:val="21"/>
        </w:rPr>
        <w:t>（</w:t>
      </w:r>
      <w:r w:rsidRPr="00B956FA">
        <w:rPr>
          <w:szCs w:val="21"/>
        </w:rPr>
        <w:t>1</w:t>
      </w:r>
      <w:r w:rsidRPr="00B956FA">
        <w:rPr>
          <w:szCs w:val="21"/>
        </w:rPr>
        <w:t>）</w:t>
      </w:r>
      <w:r w:rsidRPr="00B956FA">
        <w:rPr>
          <w:szCs w:val="21"/>
        </w:rPr>
        <w:t>: 259-267</w:t>
      </w:r>
      <w:r w:rsidR="005F72A0" w:rsidRPr="000C1905">
        <w:rPr>
          <w:szCs w:val="21"/>
        </w:rPr>
        <w:t>.</w:t>
      </w:r>
      <w:bookmarkEnd w:id="26"/>
    </w:p>
    <w:p w14:paraId="37AE4140" w14:textId="04744D74" w:rsidR="005F72A0" w:rsidRPr="000C1905" w:rsidRDefault="00B956FA" w:rsidP="008A315C">
      <w:pPr>
        <w:pStyle w:val="aa"/>
        <w:numPr>
          <w:ilvl w:val="0"/>
          <w:numId w:val="2"/>
        </w:numPr>
        <w:ind w:left="0" w:firstLineChars="0" w:firstLine="0"/>
        <w:rPr>
          <w:szCs w:val="21"/>
        </w:rPr>
      </w:pPr>
      <w:bookmarkStart w:id="28" w:name="_Ref196149349"/>
      <w:bookmarkStart w:id="29" w:name="_Ref196148568"/>
      <w:bookmarkEnd w:id="27"/>
      <w:r w:rsidRPr="00B956FA">
        <w:rPr>
          <w:szCs w:val="21"/>
        </w:rPr>
        <w:t>FENG Y, FANG H, GAO Y, et al. Hierarchical clustering analysis of hydrogen bond networks in aqueous solutions[J]. Physical Chemistry Chemical Physics, 2022, 24</w:t>
      </w:r>
      <w:r w:rsidRPr="00B956FA">
        <w:rPr>
          <w:szCs w:val="21"/>
        </w:rPr>
        <w:t>（</w:t>
      </w:r>
      <w:r w:rsidRPr="00B956FA">
        <w:rPr>
          <w:szCs w:val="21"/>
        </w:rPr>
        <w:t>16</w:t>
      </w:r>
      <w:r w:rsidRPr="00B956FA">
        <w:rPr>
          <w:szCs w:val="21"/>
        </w:rPr>
        <w:t>）</w:t>
      </w:r>
      <w:r w:rsidRPr="00B956FA">
        <w:rPr>
          <w:szCs w:val="21"/>
        </w:rPr>
        <w:t>: 9707-9717</w:t>
      </w:r>
      <w:r w:rsidR="005F72A0" w:rsidRPr="000C1905">
        <w:rPr>
          <w:szCs w:val="21"/>
        </w:rPr>
        <w:t>.</w:t>
      </w:r>
      <w:bookmarkEnd w:id="28"/>
    </w:p>
    <w:p w14:paraId="79F65CA1" w14:textId="7E201BA2" w:rsidR="005F72A0" w:rsidRPr="000C1905" w:rsidRDefault="00B956FA" w:rsidP="008A315C">
      <w:pPr>
        <w:pStyle w:val="aa"/>
        <w:numPr>
          <w:ilvl w:val="0"/>
          <w:numId w:val="2"/>
        </w:numPr>
        <w:ind w:left="0" w:firstLineChars="0" w:firstLine="0"/>
        <w:rPr>
          <w:szCs w:val="21"/>
        </w:rPr>
      </w:pPr>
      <w:bookmarkStart w:id="30" w:name="_Ref196149358"/>
      <w:bookmarkStart w:id="31" w:name="_Ref196148577"/>
      <w:bookmarkEnd w:id="29"/>
      <w:r w:rsidRPr="00B956FA">
        <w:rPr>
          <w:szCs w:val="21"/>
        </w:rPr>
        <w:t>DAS B, CHANDRA A. Ab initio molecular dynamics study of aqueous solutions of magnesium and calcium nitrates: hydration shell structure, dynamics and vibrational echo spectroscopy[J]. Journal of Physical Chemistry B, 2022, 126</w:t>
      </w:r>
      <w:r w:rsidRPr="00B956FA">
        <w:rPr>
          <w:szCs w:val="21"/>
        </w:rPr>
        <w:t>（</w:t>
      </w:r>
      <w:r w:rsidRPr="00B956FA">
        <w:rPr>
          <w:szCs w:val="21"/>
        </w:rPr>
        <w:t>2</w:t>
      </w:r>
      <w:r w:rsidRPr="00B956FA">
        <w:rPr>
          <w:szCs w:val="21"/>
        </w:rPr>
        <w:t>）</w:t>
      </w:r>
      <w:r w:rsidRPr="00B956FA">
        <w:rPr>
          <w:szCs w:val="21"/>
        </w:rPr>
        <w:t>: 528-544</w:t>
      </w:r>
      <w:r w:rsidR="005F72A0" w:rsidRPr="000C1905">
        <w:rPr>
          <w:szCs w:val="21"/>
        </w:rPr>
        <w:t>.</w:t>
      </w:r>
      <w:bookmarkEnd w:id="30"/>
    </w:p>
    <w:p w14:paraId="6C779F8C" w14:textId="15ED4E81" w:rsidR="005F72A0" w:rsidRPr="000C1905" w:rsidRDefault="00B956FA" w:rsidP="008A315C">
      <w:pPr>
        <w:pStyle w:val="aa"/>
        <w:numPr>
          <w:ilvl w:val="0"/>
          <w:numId w:val="2"/>
        </w:numPr>
        <w:ind w:left="0" w:firstLineChars="0" w:firstLine="0"/>
        <w:rPr>
          <w:szCs w:val="21"/>
        </w:rPr>
      </w:pPr>
      <w:bookmarkStart w:id="32" w:name="_Ref196149366"/>
      <w:bookmarkStart w:id="33" w:name="_Ref196148585"/>
      <w:bookmarkEnd w:id="31"/>
      <w:r w:rsidRPr="00B956FA">
        <w:rPr>
          <w:szCs w:val="21"/>
        </w:rPr>
        <w:t>MACIAS E, TRAVESSET A. Hydrogen bond network disruption by hydration layers in water solutions with salt and hydrogen-bonding polymers (PEO)[J]. Journal of Physical Chemistry B, 2023, 127</w:t>
      </w:r>
      <w:r w:rsidRPr="00B956FA">
        <w:rPr>
          <w:szCs w:val="21"/>
        </w:rPr>
        <w:t>（</w:t>
      </w:r>
      <w:r w:rsidRPr="00B956FA">
        <w:rPr>
          <w:szCs w:val="21"/>
        </w:rPr>
        <w:t>30</w:t>
      </w:r>
      <w:r w:rsidRPr="00B956FA">
        <w:rPr>
          <w:szCs w:val="21"/>
        </w:rPr>
        <w:t>）</w:t>
      </w:r>
      <w:r w:rsidRPr="00B956FA">
        <w:rPr>
          <w:szCs w:val="21"/>
        </w:rPr>
        <w:t>: 6778-6794</w:t>
      </w:r>
      <w:r w:rsidR="005F72A0" w:rsidRPr="000C1905">
        <w:rPr>
          <w:szCs w:val="21"/>
        </w:rPr>
        <w:t>.</w:t>
      </w:r>
      <w:bookmarkEnd w:id="32"/>
    </w:p>
    <w:p w14:paraId="71387023" w14:textId="1BA393B8" w:rsidR="005F72A0" w:rsidRPr="000C1905" w:rsidRDefault="00B956FA" w:rsidP="008A315C">
      <w:pPr>
        <w:pStyle w:val="aa"/>
        <w:numPr>
          <w:ilvl w:val="0"/>
          <w:numId w:val="2"/>
        </w:numPr>
        <w:ind w:left="0" w:firstLineChars="0" w:firstLine="0"/>
        <w:rPr>
          <w:szCs w:val="21"/>
        </w:rPr>
      </w:pPr>
      <w:bookmarkStart w:id="34" w:name="_Ref196149425"/>
      <w:bookmarkStart w:id="35" w:name="_Ref196148611"/>
      <w:bookmarkEnd w:id="33"/>
      <w:r w:rsidRPr="00B956FA">
        <w:rPr>
          <w:szCs w:val="21"/>
        </w:rPr>
        <w:t>QU K, MEUREN S, FISCH N J. Creating pair plasmas with observable collective effects[J]. Plasma Physics and Controlled Fusion, 2023, 65</w:t>
      </w:r>
      <w:r w:rsidRPr="00B956FA">
        <w:rPr>
          <w:szCs w:val="21"/>
        </w:rPr>
        <w:t>（</w:t>
      </w:r>
      <w:r w:rsidRPr="00B956FA">
        <w:rPr>
          <w:szCs w:val="21"/>
        </w:rPr>
        <w:t>3</w:t>
      </w:r>
      <w:r w:rsidRPr="00B956FA">
        <w:rPr>
          <w:szCs w:val="21"/>
        </w:rPr>
        <w:t>）</w:t>
      </w:r>
      <w:r w:rsidRPr="00B956FA">
        <w:rPr>
          <w:szCs w:val="21"/>
        </w:rPr>
        <w:t>: 034007</w:t>
      </w:r>
      <w:r w:rsidR="005F72A0" w:rsidRPr="000C1905">
        <w:rPr>
          <w:szCs w:val="21"/>
        </w:rPr>
        <w:t>.</w:t>
      </w:r>
      <w:bookmarkEnd w:id="34"/>
    </w:p>
    <w:p w14:paraId="2F943DCF" w14:textId="6C130C17" w:rsidR="005F72A0" w:rsidRPr="000C1905" w:rsidRDefault="00B956FA" w:rsidP="008A315C">
      <w:pPr>
        <w:pStyle w:val="aa"/>
        <w:numPr>
          <w:ilvl w:val="0"/>
          <w:numId w:val="2"/>
        </w:numPr>
        <w:ind w:left="0" w:firstLineChars="0" w:firstLine="0"/>
        <w:rPr>
          <w:szCs w:val="21"/>
        </w:rPr>
      </w:pPr>
      <w:bookmarkStart w:id="36" w:name="_Ref196149435"/>
      <w:bookmarkStart w:id="37" w:name="_Ref196148632"/>
      <w:bookmarkEnd w:id="35"/>
      <w:r w:rsidRPr="00B956FA">
        <w:rPr>
          <w:szCs w:val="21"/>
        </w:rPr>
        <w:t>GUO W, LI M, WANG S, et al. Photoelectrochemical synthesis of hydrogen peroxide from saline water via the two-electron water oxidation reaction[J]. Langmuir, 2024, 40</w:t>
      </w:r>
      <w:r w:rsidRPr="00B956FA">
        <w:rPr>
          <w:szCs w:val="21"/>
        </w:rPr>
        <w:t>（</w:t>
      </w:r>
      <w:r w:rsidRPr="00B956FA">
        <w:rPr>
          <w:szCs w:val="21"/>
        </w:rPr>
        <w:t>38</w:t>
      </w:r>
      <w:r w:rsidRPr="00B956FA">
        <w:rPr>
          <w:szCs w:val="21"/>
        </w:rPr>
        <w:t>）</w:t>
      </w:r>
      <w:r w:rsidRPr="00B956FA">
        <w:rPr>
          <w:szCs w:val="21"/>
        </w:rPr>
        <w:t>: 20186-20194</w:t>
      </w:r>
      <w:r w:rsidR="005F72A0" w:rsidRPr="000C1905">
        <w:rPr>
          <w:szCs w:val="21"/>
        </w:rPr>
        <w:t>.</w:t>
      </w:r>
      <w:bookmarkEnd w:id="36"/>
    </w:p>
    <w:p w14:paraId="1B04D7A5" w14:textId="1E3D8E48" w:rsidR="005F72A0" w:rsidRPr="000C1905" w:rsidRDefault="00B956FA" w:rsidP="008A315C">
      <w:pPr>
        <w:pStyle w:val="aa"/>
        <w:numPr>
          <w:ilvl w:val="0"/>
          <w:numId w:val="2"/>
        </w:numPr>
        <w:ind w:left="0" w:firstLineChars="0" w:firstLine="0"/>
        <w:rPr>
          <w:szCs w:val="21"/>
        </w:rPr>
      </w:pPr>
      <w:bookmarkStart w:id="38" w:name="_Ref196149791"/>
      <w:bookmarkStart w:id="39" w:name="_Ref196148644"/>
      <w:bookmarkEnd w:id="37"/>
      <w:r w:rsidRPr="00B956FA">
        <w:rPr>
          <w:szCs w:val="21"/>
        </w:rPr>
        <w:t>PARIDA C, DAS S, CHOWDHURI S. A molecular dynamics simulations study on the modification of aqueous solution structure and dynamics in presence of monovalent salts: an electronic continuum correction approach and effect of ion size[J]. Chemical Physics, 2023, 576: 112117</w:t>
      </w:r>
      <w:r w:rsidR="005F72A0" w:rsidRPr="000C1905">
        <w:rPr>
          <w:szCs w:val="21"/>
        </w:rPr>
        <w:t>.</w:t>
      </w:r>
      <w:bookmarkEnd w:id="38"/>
    </w:p>
    <w:p w14:paraId="3DE18C11" w14:textId="0BBDF303" w:rsidR="005F72A0" w:rsidRPr="000C1905" w:rsidRDefault="00B956FA" w:rsidP="008A315C">
      <w:pPr>
        <w:pStyle w:val="aa"/>
        <w:numPr>
          <w:ilvl w:val="0"/>
          <w:numId w:val="2"/>
        </w:numPr>
        <w:ind w:left="0" w:firstLineChars="0" w:firstLine="0"/>
        <w:rPr>
          <w:szCs w:val="21"/>
        </w:rPr>
      </w:pPr>
      <w:bookmarkStart w:id="40" w:name="_Ref196149803"/>
      <w:bookmarkStart w:id="41" w:name="_Ref196148671"/>
      <w:bookmarkEnd w:id="39"/>
      <w:r w:rsidRPr="00B956FA">
        <w:rPr>
          <w:szCs w:val="21"/>
        </w:rPr>
        <w:t>ZHAKIYEVA Z, MAGNIN V, POULAIN A, et al. Water dynamics in calcium silicate hydrates probed by inelastic neutron scattering and molecular dynamics simulations[J]. Cement and Concrete Research, 2024, 184: 107616</w:t>
      </w:r>
      <w:r w:rsidR="005F72A0" w:rsidRPr="000C1905">
        <w:rPr>
          <w:szCs w:val="21"/>
        </w:rPr>
        <w:t>.</w:t>
      </w:r>
      <w:bookmarkEnd w:id="40"/>
    </w:p>
    <w:p w14:paraId="63871785" w14:textId="2F317570" w:rsidR="005F72A0" w:rsidRPr="000C1905" w:rsidRDefault="00B956FA" w:rsidP="008A315C">
      <w:pPr>
        <w:pStyle w:val="aa"/>
        <w:numPr>
          <w:ilvl w:val="0"/>
          <w:numId w:val="2"/>
        </w:numPr>
        <w:ind w:left="0" w:firstLineChars="0" w:firstLine="0"/>
        <w:rPr>
          <w:szCs w:val="21"/>
        </w:rPr>
      </w:pPr>
      <w:bookmarkStart w:id="42" w:name="_Ref196149810"/>
      <w:bookmarkStart w:id="43" w:name="_Ref196148690"/>
      <w:bookmarkEnd w:id="41"/>
      <w:r w:rsidRPr="00B956FA">
        <w:rPr>
          <w:szCs w:val="21"/>
        </w:rPr>
        <w:t>LOUBET N A, VERDE A R, ACCORDINO S R, et al. Role of hydrogen-bond coordination defects in the structural relaxation of supercooled water[J]. Physical Review E, 2024, 110</w:t>
      </w:r>
      <w:r w:rsidRPr="00B956FA">
        <w:rPr>
          <w:szCs w:val="21"/>
        </w:rPr>
        <w:t>（</w:t>
      </w:r>
      <w:r w:rsidRPr="00B956FA">
        <w:rPr>
          <w:szCs w:val="21"/>
        </w:rPr>
        <w:t>5</w:t>
      </w:r>
      <w:r w:rsidRPr="00B956FA">
        <w:rPr>
          <w:szCs w:val="21"/>
        </w:rPr>
        <w:t>）</w:t>
      </w:r>
      <w:r w:rsidRPr="00B956FA">
        <w:rPr>
          <w:szCs w:val="21"/>
        </w:rPr>
        <w:t>: 054601</w:t>
      </w:r>
      <w:r w:rsidR="005F72A0" w:rsidRPr="000C1905">
        <w:rPr>
          <w:szCs w:val="21"/>
        </w:rPr>
        <w:t>.</w:t>
      </w:r>
      <w:bookmarkEnd w:id="42"/>
    </w:p>
    <w:p w14:paraId="1CF115A1" w14:textId="30CF210F" w:rsidR="00975BAD" w:rsidRPr="000C1905" w:rsidRDefault="00B956FA" w:rsidP="008A315C">
      <w:pPr>
        <w:pStyle w:val="aa"/>
        <w:numPr>
          <w:ilvl w:val="0"/>
          <w:numId w:val="2"/>
        </w:numPr>
        <w:ind w:left="0" w:firstLineChars="0" w:firstLine="0"/>
        <w:rPr>
          <w:szCs w:val="21"/>
        </w:rPr>
      </w:pPr>
      <w:bookmarkStart w:id="44" w:name="_Ref196149822"/>
      <w:bookmarkEnd w:id="43"/>
      <w:r w:rsidRPr="00B956FA">
        <w:rPr>
          <w:szCs w:val="21"/>
        </w:rPr>
        <w:t>MOISON H, AUFORT J, BENOIT M, et al. On local structure equilibration of Ca²⁺ in solution by ab initio molecular dynamics[J]. Journal of Physical Chemistry B, 2024, 128</w:t>
      </w:r>
      <w:r w:rsidRPr="00B956FA">
        <w:rPr>
          <w:szCs w:val="21"/>
        </w:rPr>
        <w:t>（</w:t>
      </w:r>
      <w:r w:rsidRPr="00B956FA">
        <w:rPr>
          <w:szCs w:val="21"/>
        </w:rPr>
        <w:t>13</w:t>
      </w:r>
      <w:r w:rsidRPr="00B956FA">
        <w:rPr>
          <w:szCs w:val="21"/>
        </w:rPr>
        <w:t>）</w:t>
      </w:r>
      <w:r w:rsidRPr="00B956FA">
        <w:rPr>
          <w:szCs w:val="21"/>
        </w:rPr>
        <w:t>: 3167-3181</w:t>
      </w:r>
      <w:r w:rsidR="005F72A0" w:rsidRPr="000C1905">
        <w:rPr>
          <w:szCs w:val="21"/>
        </w:rPr>
        <w:t>.</w:t>
      </w:r>
      <w:bookmarkEnd w:id="44"/>
    </w:p>
    <w:p w14:paraId="3DB6B33D" w14:textId="520E302C" w:rsidR="007218C3" w:rsidRDefault="007218C3" w:rsidP="00615152">
      <w:pPr>
        <w:rPr>
          <w:szCs w:val="21"/>
        </w:rPr>
      </w:pPr>
    </w:p>
    <w:p w14:paraId="055AE294" w14:textId="2C14CF37" w:rsidR="004670D8" w:rsidRPr="000C1905" w:rsidRDefault="004670D8" w:rsidP="00615152">
      <w:pPr>
        <w:rPr>
          <w:szCs w:val="21"/>
        </w:rPr>
      </w:pPr>
      <w:r w:rsidRPr="004670D8">
        <w:rPr>
          <w:rFonts w:hint="eastAsia"/>
          <w:b/>
          <w:szCs w:val="21"/>
        </w:rPr>
        <w:t>收</w:t>
      </w:r>
      <w:r w:rsidRPr="004670D8">
        <w:rPr>
          <w:b/>
          <w:szCs w:val="21"/>
        </w:rPr>
        <w:t>稿日期</w:t>
      </w:r>
      <w:r>
        <w:rPr>
          <w:szCs w:val="21"/>
        </w:rPr>
        <w:t>：</w:t>
      </w:r>
      <w:r>
        <w:rPr>
          <w:rFonts w:hint="eastAsia"/>
          <w:szCs w:val="21"/>
        </w:rPr>
        <w:t>2025</w:t>
      </w:r>
      <w:r>
        <w:rPr>
          <w:szCs w:val="21"/>
        </w:rPr>
        <w:t>-04-22</w:t>
      </w:r>
      <w:r>
        <w:rPr>
          <w:rFonts w:hint="eastAsia"/>
          <w:szCs w:val="21"/>
        </w:rPr>
        <w:t>。</w:t>
      </w:r>
    </w:p>
    <w:p w14:paraId="1C892D15" w14:textId="7726D71B" w:rsidR="005C7DA0" w:rsidRPr="000C1905" w:rsidRDefault="005C7DA0" w:rsidP="00615152">
      <w:pPr>
        <w:rPr>
          <w:szCs w:val="21"/>
        </w:rPr>
      </w:pPr>
      <w:r w:rsidRPr="000C1905">
        <w:rPr>
          <w:b/>
          <w:szCs w:val="21"/>
        </w:rPr>
        <w:t>基金项目：</w:t>
      </w:r>
      <w:r w:rsidRPr="000C1905">
        <w:rPr>
          <w:szCs w:val="21"/>
        </w:rPr>
        <w:t>国家自然科学基金</w:t>
      </w:r>
      <w:r w:rsidRPr="000C1905">
        <w:rPr>
          <w:rFonts w:hint="eastAsia"/>
          <w:szCs w:val="21"/>
        </w:rPr>
        <w:t>项目</w:t>
      </w:r>
      <w:r w:rsidRPr="000C1905">
        <w:t>（</w:t>
      </w:r>
      <w:r w:rsidRPr="000C1905">
        <w:rPr>
          <w:rFonts w:hint="eastAsia"/>
        </w:rPr>
        <w:t>61971208</w:t>
      </w:r>
      <w:r w:rsidRPr="000C1905">
        <w:t>）</w:t>
      </w:r>
      <w:r w:rsidRPr="000C1905">
        <w:rPr>
          <w:rFonts w:hint="eastAsia"/>
        </w:rPr>
        <w:t>资助</w:t>
      </w:r>
      <w:r w:rsidRPr="000C1905">
        <w:rPr>
          <w:rFonts w:hint="eastAsia"/>
          <w:szCs w:val="21"/>
        </w:rPr>
        <w:t>。</w:t>
      </w:r>
    </w:p>
    <w:p w14:paraId="731BF3CE" w14:textId="2817194D" w:rsidR="006A7A64" w:rsidRPr="000C1905" w:rsidRDefault="006A7A64" w:rsidP="006A7A64">
      <w:pPr>
        <w:rPr>
          <w:szCs w:val="21"/>
        </w:rPr>
      </w:pPr>
      <w:r w:rsidRPr="000C1905">
        <w:rPr>
          <w:b/>
          <w:szCs w:val="21"/>
        </w:rPr>
        <w:t>作者简介：</w:t>
      </w:r>
      <w:r w:rsidRPr="000C1905">
        <w:rPr>
          <w:rFonts w:hint="eastAsia"/>
          <w:szCs w:val="21"/>
        </w:rPr>
        <w:t>李立容</w:t>
      </w:r>
      <w:r w:rsidRPr="000C1905">
        <w:rPr>
          <w:szCs w:val="21"/>
        </w:rPr>
        <w:t>（</w:t>
      </w:r>
      <w:r w:rsidRPr="000C1905">
        <w:rPr>
          <w:szCs w:val="21"/>
        </w:rPr>
        <w:t>199</w:t>
      </w:r>
      <w:r w:rsidRPr="000C1905">
        <w:rPr>
          <w:rFonts w:hint="eastAsia"/>
          <w:szCs w:val="21"/>
        </w:rPr>
        <w:t>9</w:t>
      </w:r>
      <w:r w:rsidRPr="000C1905">
        <w:rPr>
          <w:szCs w:val="21"/>
        </w:rPr>
        <w:t>—</w:t>
      </w:r>
      <w:r w:rsidRPr="000C1905">
        <w:rPr>
          <w:szCs w:val="21"/>
        </w:rPr>
        <w:t>），女，硕士</w:t>
      </w:r>
      <w:r w:rsidRPr="000C1905">
        <w:rPr>
          <w:rFonts w:hint="eastAsia"/>
          <w:szCs w:val="21"/>
        </w:rPr>
        <w:t>研究</w:t>
      </w:r>
      <w:r w:rsidRPr="000C1905">
        <w:rPr>
          <w:szCs w:val="21"/>
        </w:rPr>
        <w:t>生，现就读于</w:t>
      </w:r>
      <w:r w:rsidRPr="000C1905">
        <w:rPr>
          <w:rFonts w:hint="eastAsia"/>
          <w:szCs w:val="21"/>
        </w:rPr>
        <w:t>昆明理工</w:t>
      </w:r>
      <w:r w:rsidRPr="000C1905">
        <w:rPr>
          <w:szCs w:val="21"/>
        </w:rPr>
        <w:t>大学信息工程</w:t>
      </w:r>
      <w:r w:rsidRPr="000C1905">
        <w:rPr>
          <w:rFonts w:hint="eastAsia"/>
          <w:szCs w:val="21"/>
        </w:rPr>
        <w:t>与自动化</w:t>
      </w:r>
      <w:r w:rsidRPr="000C1905">
        <w:rPr>
          <w:szCs w:val="21"/>
        </w:rPr>
        <w:t>学院</w:t>
      </w:r>
      <w:r w:rsidRPr="000C1905">
        <w:rPr>
          <w:rFonts w:hint="eastAsia"/>
          <w:szCs w:val="21"/>
        </w:rPr>
        <w:t>控制理论与控制工程</w:t>
      </w:r>
      <w:r w:rsidRPr="000C1905">
        <w:rPr>
          <w:szCs w:val="21"/>
        </w:rPr>
        <w:t>专业</w:t>
      </w:r>
      <w:r w:rsidRPr="000C1905">
        <w:rPr>
          <w:rFonts w:hint="eastAsia"/>
          <w:szCs w:val="21"/>
        </w:rPr>
        <w:t>，</w:t>
      </w:r>
      <w:r w:rsidRPr="000C1905">
        <w:rPr>
          <w:szCs w:val="21"/>
        </w:rPr>
        <w:t>主要从事</w:t>
      </w:r>
      <w:r w:rsidRPr="000C1905">
        <w:rPr>
          <w:rFonts w:hint="eastAsia"/>
          <w:szCs w:val="21"/>
        </w:rPr>
        <w:t>液态太赫兹辐射源</w:t>
      </w:r>
      <w:r w:rsidRPr="000C1905">
        <w:rPr>
          <w:szCs w:val="21"/>
        </w:rPr>
        <w:t>的研究</w:t>
      </w:r>
      <w:r w:rsidRPr="000C1905">
        <w:rPr>
          <w:rFonts w:hint="eastAsia"/>
          <w:szCs w:val="21"/>
        </w:rPr>
        <w:t>，致力于研发高效宽谱太赫兹源，分析辐射机理，优化辐射性能，</w:t>
      </w:r>
      <w:r w:rsidR="00A43E84" w:rsidRPr="000C1905">
        <w:rPr>
          <w:rFonts w:hint="eastAsia"/>
          <w:szCs w:val="21"/>
        </w:rPr>
        <w:t>参与国家自然科学基金项目一项</w:t>
      </w:r>
      <w:r w:rsidRPr="000C1905">
        <w:rPr>
          <w:rFonts w:hint="eastAsia"/>
          <w:szCs w:val="21"/>
        </w:rPr>
        <w:t>。</w:t>
      </w:r>
    </w:p>
    <w:p w14:paraId="3AC3FB51" w14:textId="35421856" w:rsidR="00615152" w:rsidRPr="000C1905" w:rsidRDefault="000F4528" w:rsidP="00641F95">
      <w:pPr>
        <w:pStyle w:val="aa"/>
        <w:ind w:left="360" w:firstLineChars="0" w:firstLine="0"/>
        <w:rPr>
          <w:szCs w:val="21"/>
        </w:rPr>
      </w:pPr>
      <w:r w:rsidRPr="000C1905">
        <w:rPr>
          <w:rFonts w:hint="eastAsia"/>
          <w:noProof/>
          <w:szCs w:val="21"/>
        </w:rPr>
        <w:drawing>
          <wp:inline distT="0" distB="0" distL="0" distR="0" wp14:anchorId="43AC6FFC" wp14:editId="237CE4F9">
            <wp:extent cx="627092" cy="877824"/>
            <wp:effectExtent l="0" t="0" r="1905" b="0"/>
            <wp:docPr id="12005240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24012" name="图片 1200524012"/>
                    <pic:cNvPicPr/>
                  </pic:nvPicPr>
                  <pic:blipFill>
                    <a:blip r:embed="rId30"/>
                    <a:stretch>
                      <a:fillRect/>
                    </a:stretch>
                  </pic:blipFill>
                  <pic:spPr>
                    <a:xfrm>
                      <a:off x="0" y="0"/>
                      <a:ext cx="635579" cy="889704"/>
                    </a:xfrm>
                    <a:prstGeom prst="rect">
                      <a:avLst/>
                    </a:prstGeom>
                  </pic:spPr>
                </pic:pic>
              </a:graphicData>
            </a:graphic>
          </wp:inline>
        </w:drawing>
      </w:r>
    </w:p>
    <w:sectPr w:rsidR="00615152" w:rsidRPr="000C1905">
      <w:headerReference w:type="default" r:id="rId31"/>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admin" w:date="2026-03-09T15:32:00Z" w:initials="a">
    <w:p w14:paraId="017AF888" w14:textId="403D7CA9" w:rsidR="00537EBA" w:rsidRDefault="00537EBA">
      <w:pPr>
        <w:pStyle w:val="ae"/>
      </w:pPr>
      <w:r>
        <w:rPr>
          <w:rStyle w:val="ad"/>
        </w:rPr>
        <w:annotationRef/>
      </w:r>
      <w:r>
        <w:rPr>
          <w:rFonts w:ascii="Segoe UI" w:hAnsi="Segoe UI" w:cs="Segoe UI"/>
          <w:color w:val="0F1115"/>
          <w:shd w:val="clear" w:color="auto" w:fill="FFFFFF"/>
        </w:rPr>
        <w:t>当前第</w:t>
      </w:r>
      <w:r>
        <w:rPr>
          <w:rFonts w:ascii="Segoe UI" w:hAnsi="Segoe UI" w:cs="Segoe UI"/>
          <w:color w:val="0F1115"/>
          <w:shd w:val="clear" w:color="auto" w:fill="FFFFFF"/>
        </w:rPr>
        <w:t>4</w:t>
      </w:r>
      <w:r>
        <w:rPr>
          <w:rFonts w:ascii="Segoe UI" w:hAnsi="Segoe UI" w:cs="Segoe UI"/>
          <w:color w:val="0F1115"/>
          <w:shd w:val="clear" w:color="auto" w:fill="FFFFFF"/>
        </w:rPr>
        <w:t>节模拟结果后直接进入第</w:t>
      </w:r>
      <w:r>
        <w:rPr>
          <w:rFonts w:ascii="Segoe UI" w:hAnsi="Segoe UI" w:cs="Segoe UI"/>
          <w:color w:val="0F1115"/>
          <w:shd w:val="clear" w:color="auto" w:fill="FFFFFF"/>
        </w:rPr>
        <w:t>5</w:t>
      </w:r>
      <w:r>
        <w:rPr>
          <w:rFonts w:ascii="Segoe UI" w:hAnsi="Segoe UI" w:cs="Segoe UI"/>
          <w:color w:val="0F1115"/>
          <w:shd w:val="clear" w:color="auto" w:fill="FFFFFF"/>
        </w:rPr>
        <w:t>节结论，</w:t>
      </w:r>
      <w:r w:rsidRPr="00842CF8">
        <w:rPr>
          <w:rStyle w:val="af2"/>
          <w:rFonts w:ascii="Segoe UI" w:hAnsi="Segoe UI" w:cs="Segoe UI"/>
          <w:b w:val="0"/>
          <w:color w:val="0F1115"/>
          <w:shd w:val="clear" w:color="auto" w:fill="FFFFFF"/>
        </w:rPr>
        <w:t>缺少对模拟与实验结果的整合讨论</w:t>
      </w:r>
      <w:r w:rsidRPr="00842CF8">
        <w:rPr>
          <w:rFonts w:ascii="Segoe UI" w:hAnsi="Segoe UI" w:cs="Segoe UI"/>
          <w:b/>
          <w:color w:val="0F1115"/>
          <w:shd w:val="clear" w:color="auto" w:fill="FFFFFF"/>
        </w:rPr>
        <w:t>。</w:t>
      </w:r>
      <w:r>
        <w:rPr>
          <w:rFonts w:ascii="Segoe UI" w:hAnsi="Segoe UI" w:cs="Segoe UI"/>
          <w:color w:val="0F1115"/>
          <w:shd w:val="clear" w:color="auto" w:fill="FFFFFF"/>
        </w:rPr>
        <w:t>建议将原第</w:t>
      </w:r>
      <w:r>
        <w:rPr>
          <w:rFonts w:ascii="Segoe UI" w:hAnsi="Segoe UI" w:cs="Segoe UI"/>
          <w:color w:val="0F1115"/>
          <w:shd w:val="clear" w:color="auto" w:fill="FFFFFF"/>
        </w:rPr>
        <w:t>3</w:t>
      </w:r>
      <w:r>
        <w:rPr>
          <w:rFonts w:ascii="Segoe UI" w:hAnsi="Segoe UI" w:cs="Segoe UI"/>
          <w:color w:val="0F1115"/>
          <w:shd w:val="clear" w:color="auto" w:fill="FFFFFF"/>
        </w:rPr>
        <w:t>节</w:t>
      </w:r>
      <w:r>
        <w:rPr>
          <w:rFonts w:ascii="Segoe UI" w:hAnsi="Segoe UI" w:cs="Segoe UI"/>
          <w:color w:val="0F1115"/>
          <w:shd w:val="clear" w:color="auto" w:fill="FFFFFF"/>
        </w:rPr>
        <w:t>“</w:t>
      </w:r>
      <w:r>
        <w:rPr>
          <w:rFonts w:ascii="Segoe UI" w:hAnsi="Segoe UI" w:cs="Segoe UI"/>
          <w:color w:val="0F1115"/>
          <w:shd w:val="clear" w:color="auto" w:fill="FFFFFF"/>
        </w:rPr>
        <w:t>分析与讨论</w:t>
      </w:r>
      <w:r>
        <w:rPr>
          <w:rFonts w:ascii="Segoe UI" w:hAnsi="Segoe UI" w:cs="Segoe UI"/>
          <w:color w:val="0F1115"/>
          <w:shd w:val="clear" w:color="auto" w:fill="FFFFFF"/>
        </w:rPr>
        <w:t>”</w:t>
      </w:r>
      <w:r w:rsidRPr="00842CF8">
        <w:rPr>
          <w:rStyle w:val="af2"/>
          <w:rFonts w:ascii="Segoe UI" w:hAnsi="Segoe UI" w:cs="Segoe UI"/>
          <w:b w:val="0"/>
          <w:color w:val="0F1115"/>
          <w:shd w:val="clear" w:color="auto" w:fill="FFFFFF"/>
        </w:rPr>
        <w:t>移至模拟之后</w:t>
      </w:r>
      <w:r>
        <w:rPr>
          <w:rFonts w:ascii="Segoe UI" w:hAnsi="Segoe UI" w:cs="Segoe UI"/>
          <w:color w:val="0F1115"/>
          <w:shd w:val="clear" w:color="auto" w:fill="FFFFFF"/>
        </w:rPr>
        <w:t>，作为独立的</w:t>
      </w:r>
      <w:r>
        <w:rPr>
          <w:rFonts w:ascii="Segoe UI" w:hAnsi="Segoe UI" w:cs="Segoe UI"/>
          <w:color w:val="0F1115"/>
          <w:shd w:val="clear" w:color="auto" w:fill="FFFFFF"/>
        </w:rPr>
        <w:t>“</w:t>
      </w:r>
      <w:r>
        <w:rPr>
          <w:rFonts w:ascii="Segoe UI" w:hAnsi="Segoe UI" w:cs="Segoe UI"/>
          <w:color w:val="0F1115"/>
          <w:shd w:val="clear" w:color="auto" w:fill="FFFFFF"/>
        </w:rPr>
        <w:t>讨论</w:t>
      </w:r>
      <w:r>
        <w:rPr>
          <w:rFonts w:ascii="Segoe UI" w:hAnsi="Segoe UI" w:cs="Segoe UI"/>
          <w:color w:val="0F1115"/>
          <w:shd w:val="clear" w:color="auto" w:fill="FFFFFF"/>
        </w:rPr>
        <w:t>”</w:t>
      </w:r>
      <w:r>
        <w:rPr>
          <w:rFonts w:ascii="Segoe UI" w:hAnsi="Segoe UI" w:cs="Segoe UI"/>
          <w:color w:val="0F1115"/>
          <w:shd w:val="clear" w:color="auto" w:fill="FFFFFF"/>
        </w:rPr>
        <w:t>章节，整合实验与模拟结果。</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17AF888"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757E9" w14:textId="77777777" w:rsidR="00E97054" w:rsidRDefault="00E97054">
      <w:r>
        <w:separator/>
      </w:r>
    </w:p>
  </w:endnote>
  <w:endnote w:type="continuationSeparator" w:id="0">
    <w:p w14:paraId="52CD7792" w14:textId="77777777" w:rsidR="00E97054" w:rsidRDefault="00E9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微软雅黑">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Cambria Math">
    <w:panose1 w:val="00000000000000000000"/>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F032B" w14:textId="77777777" w:rsidR="00E97054" w:rsidRDefault="00E97054">
      <w:r>
        <w:separator/>
      </w:r>
    </w:p>
  </w:footnote>
  <w:footnote w:type="continuationSeparator" w:id="0">
    <w:p w14:paraId="6EB6C367" w14:textId="77777777" w:rsidR="00E97054" w:rsidRDefault="00E970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7F172" w14:textId="77777777" w:rsidR="008F6340" w:rsidRDefault="008F6340">
    <w:pPr>
      <w:pStyle w:val="a7"/>
      <w:jc w:val="right"/>
      <w:rPr>
        <w:b/>
      </w:rPr>
    </w:pPr>
    <w:r>
      <w:rPr>
        <w:b/>
      </w:rPr>
      <w:t>太赫兹通信</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04B5"/>
    <w:multiLevelType w:val="hybridMultilevel"/>
    <w:tmpl w:val="6AB643B8"/>
    <w:lvl w:ilvl="0" w:tplc="C214116C">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7CDA055"/>
    <w:multiLevelType w:val="singleLevel"/>
    <w:tmpl w:val="07CDA055"/>
    <w:lvl w:ilvl="0">
      <w:start w:val="4"/>
      <w:numFmt w:val="decimal"/>
      <w:suff w:val="nothing"/>
      <w:lvlText w:val="%1、"/>
      <w:lvlJc w:val="left"/>
    </w:lvl>
  </w:abstractNum>
  <w:abstractNum w:abstractNumId="2" w15:restartNumberingAfterBreak="0">
    <w:nsid w:val="2B1C0316"/>
    <w:multiLevelType w:val="hybridMultilevel"/>
    <w:tmpl w:val="0674F8A0"/>
    <w:lvl w:ilvl="0" w:tplc="2C0E727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NkMGQ4MjY2MzI2OGY2ZGUzYjdiNmFiOGE0ZWE3ZjIifQ=="/>
  </w:docVars>
  <w:rsids>
    <w:rsidRoot w:val="00DD2D43"/>
    <w:rsid w:val="0000180F"/>
    <w:rsid w:val="00005730"/>
    <w:rsid w:val="00005F1E"/>
    <w:rsid w:val="00026323"/>
    <w:rsid w:val="00031EFC"/>
    <w:rsid w:val="0003269A"/>
    <w:rsid w:val="00037F88"/>
    <w:rsid w:val="00040089"/>
    <w:rsid w:val="000417B3"/>
    <w:rsid w:val="00045C87"/>
    <w:rsid w:val="00047361"/>
    <w:rsid w:val="00056531"/>
    <w:rsid w:val="000620E3"/>
    <w:rsid w:val="0006498E"/>
    <w:rsid w:val="000710A5"/>
    <w:rsid w:val="0007342F"/>
    <w:rsid w:val="00073C3B"/>
    <w:rsid w:val="00074170"/>
    <w:rsid w:val="00080D7A"/>
    <w:rsid w:val="00083F22"/>
    <w:rsid w:val="00087444"/>
    <w:rsid w:val="00087F80"/>
    <w:rsid w:val="000A09D6"/>
    <w:rsid w:val="000A1F85"/>
    <w:rsid w:val="000B11A7"/>
    <w:rsid w:val="000B47E3"/>
    <w:rsid w:val="000B4D80"/>
    <w:rsid w:val="000B7A93"/>
    <w:rsid w:val="000C1905"/>
    <w:rsid w:val="000C4557"/>
    <w:rsid w:val="000D1AF5"/>
    <w:rsid w:val="000D2CE0"/>
    <w:rsid w:val="000D6DD7"/>
    <w:rsid w:val="000D7F45"/>
    <w:rsid w:val="000E66BF"/>
    <w:rsid w:val="000F358E"/>
    <w:rsid w:val="000F4528"/>
    <w:rsid w:val="00103BE2"/>
    <w:rsid w:val="00104C24"/>
    <w:rsid w:val="0010531A"/>
    <w:rsid w:val="001054C8"/>
    <w:rsid w:val="001060EF"/>
    <w:rsid w:val="00106BDF"/>
    <w:rsid w:val="00115244"/>
    <w:rsid w:val="001153D1"/>
    <w:rsid w:val="001154A3"/>
    <w:rsid w:val="001161B3"/>
    <w:rsid w:val="00117743"/>
    <w:rsid w:val="00121C3F"/>
    <w:rsid w:val="001220D5"/>
    <w:rsid w:val="00123674"/>
    <w:rsid w:val="00123C96"/>
    <w:rsid w:val="00127946"/>
    <w:rsid w:val="0013528D"/>
    <w:rsid w:val="00140095"/>
    <w:rsid w:val="001414FB"/>
    <w:rsid w:val="00142324"/>
    <w:rsid w:val="00143903"/>
    <w:rsid w:val="001448FF"/>
    <w:rsid w:val="001453F8"/>
    <w:rsid w:val="001454E4"/>
    <w:rsid w:val="00152038"/>
    <w:rsid w:val="00152BF0"/>
    <w:rsid w:val="001544B9"/>
    <w:rsid w:val="0015736D"/>
    <w:rsid w:val="00160230"/>
    <w:rsid w:val="00164A64"/>
    <w:rsid w:val="0016582D"/>
    <w:rsid w:val="00165A8F"/>
    <w:rsid w:val="00167C61"/>
    <w:rsid w:val="001700AD"/>
    <w:rsid w:val="00173E11"/>
    <w:rsid w:val="00180EF4"/>
    <w:rsid w:val="0018176B"/>
    <w:rsid w:val="0018220A"/>
    <w:rsid w:val="001934C4"/>
    <w:rsid w:val="001A668D"/>
    <w:rsid w:val="001A6CA7"/>
    <w:rsid w:val="001B1B2C"/>
    <w:rsid w:val="001B439A"/>
    <w:rsid w:val="001C2666"/>
    <w:rsid w:val="001C509E"/>
    <w:rsid w:val="001C7401"/>
    <w:rsid w:val="001C74EE"/>
    <w:rsid w:val="001D0163"/>
    <w:rsid w:val="001D1842"/>
    <w:rsid w:val="001D5F9B"/>
    <w:rsid w:val="001E4312"/>
    <w:rsid w:val="001E4BAA"/>
    <w:rsid w:val="001F558F"/>
    <w:rsid w:val="001F5EED"/>
    <w:rsid w:val="00201E53"/>
    <w:rsid w:val="00210ACF"/>
    <w:rsid w:val="00212C6F"/>
    <w:rsid w:val="00215D1D"/>
    <w:rsid w:val="00223EE1"/>
    <w:rsid w:val="0023732E"/>
    <w:rsid w:val="0024436E"/>
    <w:rsid w:val="00245DFC"/>
    <w:rsid w:val="00250334"/>
    <w:rsid w:val="00252FBA"/>
    <w:rsid w:val="00271F3F"/>
    <w:rsid w:val="002737E1"/>
    <w:rsid w:val="00276678"/>
    <w:rsid w:val="00276DF6"/>
    <w:rsid w:val="002802A8"/>
    <w:rsid w:val="002804F8"/>
    <w:rsid w:val="00280CAE"/>
    <w:rsid w:val="00285BAB"/>
    <w:rsid w:val="00290C54"/>
    <w:rsid w:val="00295073"/>
    <w:rsid w:val="00295B21"/>
    <w:rsid w:val="002A6713"/>
    <w:rsid w:val="002B2B16"/>
    <w:rsid w:val="002C005D"/>
    <w:rsid w:val="002C0F69"/>
    <w:rsid w:val="002C1CD9"/>
    <w:rsid w:val="002C1D0A"/>
    <w:rsid w:val="002C2CCB"/>
    <w:rsid w:val="002C6DF4"/>
    <w:rsid w:val="002E1058"/>
    <w:rsid w:val="002E21EE"/>
    <w:rsid w:val="002E309E"/>
    <w:rsid w:val="002E576F"/>
    <w:rsid w:val="002F5886"/>
    <w:rsid w:val="0030337D"/>
    <w:rsid w:val="0030402A"/>
    <w:rsid w:val="003163E4"/>
    <w:rsid w:val="00320527"/>
    <w:rsid w:val="003208E6"/>
    <w:rsid w:val="00320C10"/>
    <w:rsid w:val="00325E35"/>
    <w:rsid w:val="0033062B"/>
    <w:rsid w:val="00330770"/>
    <w:rsid w:val="003324B3"/>
    <w:rsid w:val="00334B9A"/>
    <w:rsid w:val="00335DE7"/>
    <w:rsid w:val="00340CFA"/>
    <w:rsid w:val="003433CA"/>
    <w:rsid w:val="0034359A"/>
    <w:rsid w:val="003449F9"/>
    <w:rsid w:val="00347650"/>
    <w:rsid w:val="003560E7"/>
    <w:rsid w:val="00371569"/>
    <w:rsid w:val="00373D5C"/>
    <w:rsid w:val="0037430F"/>
    <w:rsid w:val="00374421"/>
    <w:rsid w:val="00382526"/>
    <w:rsid w:val="0038436B"/>
    <w:rsid w:val="003866F7"/>
    <w:rsid w:val="00387232"/>
    <w:rsid w:val="00392CE6"/>
    <w:rsid w:val="00394CFC"/>
    <w:rsid w:val="00397752"/>
    <w:rsid w:val="003A6B67"/>
    <w:rsid w:val="003A6ECE"/>
    <w:rsid w:val="003B2657"/>
    <w:rsid w:val="003B7610"/>
    <w:rsid w:val="003C36CF"/>
    <w:rsid w:val="003C3FCA"/>
    <w:rsid w:val="003D4793"/>
    <w:rsid w:val="003D5907"/>
    <w:rsid w:val="003E5523"/>
    <w:rsid w:val="003E58CB"/>
    <w:rsid w:val="003F082A"/>
    <w:rsid w:val="003F16AB"/>
    <w:rsid w:val="003F31E3"/>
    <w:rsid w:val="003F3A21"/>
    <w:rsid w:val="003F497F"/>
    <w:rsid w:val="004015CB"/>
    <w:rsid w:val="00404AB6"/>
    <w:rsid w:val="0040530E"/>
    <w:rsid w:val="00407980"/>
    <w:rsid w:val="00407B86"/>
    <w:rsid w:val="00420FCA"/>
    <w:rsid w:val="00430249"/>
    <w:rsid w:val="0044068C"/>
    <w:rsid w:val="004429F1"/>
    <w:rsid w:val="0045090A"/>
    <w:rsid w:val="00454269"/>
    <w:rsid w:val="00456CF5"/>
    <w:rsid w:val="004602DD"/>
    <w:rsid w:val="004647E8"/>
    <w:rsid w:val="004670D8"/>
    <w:rsid w:val="004710BB"/>
    <w:rsid w:val="00475A11"/>
    <w:rsid w:val="00475A81"/>
    <w:rsid w:val="00480049"/>
    <w:rsid w:val="004843F2"/>
    <w:rsid w:val="004952F6"/>
    <w:rsid w:val="004A010E"/>
    <w:rsid w:val="004A0BD2"/>
    <w:rsid w:val="004A66F7"/>
    <w:rsid w:val="004C5AEA"/>
    <w:rsid w:val="004C5C3D"/>
    <w:rsid w:val="004C7CC0"/>
    <w:rsid w:val="004D1375"/>
    <w:rsid w:val="004D246E"/>
    <w:rsid w:val="004F4C82"/>
    <w:rsid w:val="005068D8"/>
    <w:rsid w:val="00506E07"/>
    <w:rsid w:val="005109FE"/>
    <w:rsid w:val="00511916"/>
    <w:rsid w:val="0051430E"/>
    <w:rsid w:val="00514B8B"/>
    <w:rsid w:val="0051557E"/>
    <w:rsid w:val="005237F2"/>
    <w:rsid w:val="00530CEB"/>
    <w:rsid w:val="00533847"/>
    <w:rsid w:val="00534736"/>
    <w:rsid w:val="00537EBA"/>
    <w:rsid w:val="00541CCC"/>
    <w:rsid w:val="005469AF"/>
    <w:rsid w:val="00551912"/>
    <w:rsid w:val="005523CC"/>
    <w:rsid w:val="00552896"/>
    <w:rsid w:val="00554CAE"/>
    <w:rsid w:val="005567C5"/>
    <w:rsid w:val="00556CCC"/>
    <w:rsid w:val="00557CA0"/>
    <w:rsid w:val="00565325"/>
    <w:rsid w:val="005718ED"/>
    <w:rsid w:val="00572991"/>
    <w:rsid w:val="00577339"/>
    <w:rsid w:val="00582DBE"/>
    <w:rsid w:val="00585477"/>
    <w:rsid w:val="00586B93"/>
    <w:rsid w:val="00587572"/>
    <w:rsid w:val="00596347"/>
    <w:rsid w:val="00597588"/>
    <w:rsid w:val="005A0098"/>
    <w:rsid w:val="005A0F78"/>
    <w:rsid w:val="005A1178"/>
    <w:rsid w:val="005A46D9"/>
    <w:rsid w:val="005A614E"/>
    <w:rsid w:val="005B20DA"/>
    <w:rsid w:val="005B5E7D"/>
    <w:rsid w:val="005C7DA0"/>
    <w:rsid w:val="005D7A5C"/>
    <w:rsid w:val="005E0BD7"/>
    <w:rsid w:val="005E70A2"/>
    <w:rsid w:val="005F5D88"/>
    <w:rsid w:val="005F60EE"/>
    <w:rsid w:val="005F72A0"/>
    <w:rsid w:val="005F73AE"/>
    <w:rsid w:val="00607582"/>
    <w:rsid w:val="006110CA"/>
    <w:rsid w:val="00611198"/>
    <w:rsid w:val="00615152"/>
    <w:rsid w:val="00622714"/>
    <w:rsid w:val="0062408B"/>
    <w:rsid w:val="0062778B"/>
    <w:rsid w:val="00633420"/>
    <w:rsid w:val="00641F95"/>
    <w:rsid w:val="00647293"/>
    <w:rsid w:val="0065502A"/>
    <w:rsid w:val="00661EBD"/>
    <w:rsid w:val="00664983"/>
    <w:rsid w:val="00675AC5"/>
    <w:rsid w:val="00686E0A"/>
    <w:rsid w:val="00691D8E"/>
    <w:rsid w:val="006976E7"/>
    <w:rsid w:val="006A1512"/>
    <w:rsid w:val="006A2537"/>
    <w:rsid w:val="006A4F2B"/>
    <w:rsid w:val="006A7A64"/>
    <w:rsid w:val="006B17B6"/>
    <w:rsid w:val="006D6DAA"/>
    <w:rsid w:val="006E1530"/>
    <w:rsid w:val="006E1954"/>
    <w:rsid w:val="006F14F4"/>
    <w:rsid w:val="006F1D8E"/>
    <w:rsid w:val="006F49BD"/>
    <w:rsid w:val="006F5C5F"/>
    <w:rsid w:val="006F5EB2"/>
    <w:rsid w:val="00703A59"/>
    <w:rsid w:val="00705C75"/>
    <w:rsid w:val="007117C4"/>
    <w:rsid w:val="00712DE3"/>
    <w:rsid w:val="00713347"/>
    <w:rsid w:val="007218C3"/>
    <w:rsid w:val="00722F29"/>
    <w:rsid w:val="00723E16"/>
    <w:rsid w:val="00730116"/>
    <w:rsid w:val="007303B8"/>
    <w:rsid w:val="0073193E"/>
    <w:rsid w:val="0073767B"/>
    <w:rsid w:val="00744536"/>
    <w:rsid w:val="00744872"/>
    <w:rsid w:val="00746A5F"/>
    <w:rsid w:val="00750B73"/>
    <w:rsid w:val="00760856"/>
    <w:rsid w:val="007610A6"/>
    <w:rsid w:val="00761DBB"/>
    <w:rsid w:val="00761F43"/>
    <w:rsid w:val="007655EF"/>
    <w:rsid w:val="0077285B"/>
    <w:rsid w:val="00773E12"/>
    <w:rsid w:val="007770F2"/>
    <w:rsid w:val="0077768C"/>
    <w:rsid w:val="00781D6D"/>
    <w:rsid w:val="007917F1"/>
    <w:rsid w:val="00793CEA"/>
    <w:rsid w:val="007A1FE1"/>
    <w:rsid w:val="007A2BCD"/>
    <w:rsid w:val="007B196E"/>
    <w:rsid w:val="007B202D"/>
    <w:rsid w:val="007B3498"/>
    <w:rsid w:val="007B4A5D"/>
    <w:rsid w:val="007B7D16"/>
    <w:rsid w:val="007C0324"/>
    <w:rsid w:val="007C5467"/>
    <w:rsid w:val="007C5DD8"/>
    <w:rsid w:val="007C703C"/>
    <w:rsid w:val="007C729B"/>
    <w:rsid w:val="007C7F6F"/>
    <w:rsid w:val="007D09A6"/>
    <w:rsid w:val="007D2BDB"/>
    <w:rsid w:val="007D51C5"/>
    <w:rsid w:val="007E2771"/>
    <w:rsid w:val="007E2AE1"/>
    <w:rsid w:val="007E2DD0"/>
    <w:rsid w:val="007E616A"/>
    <w:rsid w:val="007F3524"/>
    <w:rsid w:val="007F47E5"/>
    <w:rsid w:val="00801F61"/>
    <w:rsid w:val="008046B6"/>
    <w:rsid w:val="00806A81"/>
    <w:rsid w:val="00806DC9"/>
    <w:rsid w:val="008078D4"/>
    <w:rsid w:val="00813C63"/>
    <w:rsid w:val="00817339"/>
    <w:rsid w:val="00817D03"/>
    <w:rsid w:val="00825EDF"/>
    <w:rsid w:val="00835BC3"/>
    <w:rsid w:val="00842CF8"/>
    <w:rsid w:val="00843E06"/>
    <w:rsid w:val="00845F71"/>
    <w:rsid w:val="00850B4E"/>
    <w:rsid w:val="00852477"/>
    <w:rsid w:val="008536A9"/>
    <w:rsid w:val="0086466D"/>
    <w:rsid w:val="00872B3B"/>
    <w:rsid w:val="00880D38"/>
    <w:rsid w:val="00892C60"/>
    <w:rsid w:val="00897976"/>
    <w:rsid w:val="008A315C"/>
    <w:rsid w:val="008A75C7"/>
    <w:rsid w:val="008B07A2"/>
    <w:rsid w:val="008B0DF9"/>
    <w:rsid w:val="008C2C05"/>
    <w:rsid w:val="008C37E2"/>
    <w:rsid w:val="008C3FDE"/>
    <w:rsid w:val="008C6E49"/>
    <w:rsid w:val="008C714A"/>
    <w:rsid w:val="008D0F64"/>
    <w:rsid w:val="008D116A"/>
    <w:rsid w:val="008D379F"/>
    <w:rsid w:val="008D38B8"/>
    <w:rsid w:val="008D55DB"/>
    <w:rsid w:val="008D7529"/>
    <w:rsid w:val="008E6BFD"/>
    <w:rsid w:val="008F0EC9"/>
    <w:rsid w:val="008F2ECE"/>
    <w:rsid w:val="008F33B0"/>
    <w:rsid w:val="008F46B3"/>
    <w:rsid w:val="008F6340"/>
    <w:rsid w:val="008F7278"/>
    <w:rsid w:val="009021BB"/>
    <w:rsid w:val="00905307"/>
    <w:rsid w:val="009062E6"/>
    <w:rsid w:val="00907908"/>
    <w:rsid w:val="00911FF3"/>
    <w:rsid w:val="00912117"/>
    <w:rsid w:val="0091635E"/>
    <w:rsid w:val="009219DD"/>
    <w:rsid w:val="00923125"/>
    <w:rsid w:val="00930875"/>
    <w:rsid w:val="0093539C"/>
    <w:rsid w:val="00943DBC"/>
    <w:rsid w:val="009440D8"/>
    <w:rsid w:val="00947CA8"/>
    <w:rsid w:val="009513BD"/>
    <w:rsid w:val="00953317"/>
    <w:rsid w:val="00956B4B"/>
    <w:rsid w:val="00956DE3"/>
    <w:rsid w:val="00961D49"/>
    <w:rsid w:val="00962EDB"/>
    <w:rsid w:val="00967351"/>
    <w:rsid w:val="0097104C"/>
    <w:rsid w:val="00971662"/>
    <w:rsid w:val="00975BAD"/>
    <w:rsid w:val="0097699C"/>
    <w:rsid w:val="00982249"/>
    <w:rsid w:val="009872DF"/>
    <w:rsid w:val="00993DA5"/>
    <w:rsid w:val="00995C68"/>
    <w:rsid w:val="009A05B5"/>
    <w:rsid w:val="009A5CB4"/>
    <w:rsid w:val="009A7B09"/>
    <w:rsid w:val="009B3388"/>
    <w:rsid w:val="009B61F7"/>
    <w:rsid w:val="009C2A38"/>
    <w:rsid w:val="009C3BEE"/>
    <w:rsid w:val="009C6896"/>
    <w:rsid w:val="009D05DA"/>
    <w:rsid w:val="009D12C1"/>
    <w:rsid w:val="009D2D92"/>
    <w:rsid w:val="009E72BA"/>
    <w:rsid w:val="009E74F5"/>
    <w:rsid w:val="00A0291D"/>
    <w:rsid w:val="00A10C06"/>
    <w:rsid w:val="00A12130"/>
    <w:rsid w:val="00A1342C"/>
    <w:rsid w:val="00A13F85"/>
    <w:rsid w:val="00A22FBA"/>
    <w:rsid w:val="00A23BF3"/>
    <w:rsid w:val="00A2538E"/>
    <w:rsid w:val="00A27253"/>
    <w:rsid w:val="00A31977"/>
    <w:rsid w:val="00A3479B"/>
    <w:rsid w:val="00A3583E"/>
    <w:rsid w:val="00A43E84"/>
    <w:rsid w:val="00A458B7"/>
    <w:rsid w:val="00A46F18"/>
    <w:rsid w:val="00A55FB9"/>
    <w:rsid w:val="00A57BD6"/>
    <w:rsid w:val="00A6184F"/>
    <w:rsid w:val="00A62FDB"/>
    <w:rsid w:val="00A64003"/>
    <w:rsid w:val="00A67919"/>
    <w:rsid w:val="00A76509"/>
    <w:rsid w:val="00A76A39"/>
    <w:rsid w:val="00A77C0A"/>
    <w:rsid w:val="00A8237D"/>
    <w:rsid w:val="00A82B51"/>
    <w:rsid w:val="00A82E5B"/>
    <w:rsid w:val="00A836AD"/>
    <w:rsid w:val="00A85864"/>
    <w:rsid w:val="00A92D3B"/>
    <w:rsid w:val="00A96911"/>
    <w:rsid w:val="00A96A43"/>
    <w:rsid w:val="00A97976"/>
    <w:rsid w:val="00AA02FF"/>
    <w:rsid w:val="00AA19C3"/>
    <w:rsid w:val="00AA5137"/>
    <w:rsid w:val="00AA55EB"/>
    <w:rsid w:val="00AC15FB"/>
    <w:rsid w:val="00AC50B0"/>
    <w:rsid w:val="00AD045A"/>
    <w:rsid w:val="00AE2E77"/>
    <w:rsid w:val="00AE6EB6"/>
    <w:rsid w:val="00AF18BB"/>
    <w:rsid w:val="00AF19F0"/>
    <w:rsid w:val="00B00678"/>
    <w:rsid w:val="00B0763D"/>
    <w:rsid w:val="00B07BF4"/>
    <w:rsid w:val="00B10522"/>
    <w:rsid w:val="00B23A30"/>
    <w:rsid w:val="00B36D96"/>
    <w:rsid w:val="00B443AF"/>
    <w:rsid w:val="00B536C1"/>
    <w:rsid w:val="00B54254"/>
    <w:rsid w:val="00B57DE6"/>
    <w:rsid w:val="00B62439"/>
    <w:rsid w:val="00B6393E"/>
    <w:rsid w:val="00B64ABF"/>
    <w:rsid w:val="00B64CB9"/>
    <w:rsid w:val="00B6546C"/>
    <w:rsid w:val="00B678AD"/>
    <w:rsid w:val="00B718A4"/>
    <w:rsid w:val="00B732B1"/>
    <w:rsid w:val="00B73456"/>
    <w:rsid w:val="00B86157"/>
    <w:rsid w:val="00B86E20"/>
    <w:rsid w:val="00B90183"/>
    <w:rsid w:val="00B91E2D"/>
    <w:rsid w:val="00B94081"/>
    <w:rsid w:val="00B956FA"/>
    <w:rsid w:val="00BA6CA7"/>
    <w:rsid w:val="00BB2908"/>
    <w:rsid w:val="00BB2CCB"/>
    <w:rsid w:val="00BB45E5"/>
    <w:rsid w:val="00BB56DE"/>
    <w:rsid w:val="00BB7B17"/>
    <w:rsid w:val="00BC1120"/>
    <w:rsid w:val="00BC2CA9"/>
    <w:rsid w:val="00BC3E4A"/>
    <w:rsid w:val="00BC747F"/>
    <w:rsid w:val="00BD20F0"/>
    <w:rsid w:val="00BD6A7C"/>
    <w:rsid w:val="00BE3526"/>
    <w:rsid w:val="00BE36B9"/>
    <w:rsid w:val="00BE3D47"/>
    <w:rsid w:val="00BE5303"/>
    <w:rsid w:val="00BE59C6"/>
    <w:rsid w:val="00BE6195"/>
    <w:rsid w:val="00BE762C"/>
    <w:rsid w:val="00BE7647"/>
    <w:rsid w:val="00BF04EB"/>
    <w:rsid w:val="00BF0D59"/>
    <w:rsid w:val="00BF139A"/>
    <w:rsid w:val="00BF3E0C"/>
    <w:rsid w:val="00C055F3"/>
    <w:rsid w:val="00C075C6"/>
    <w:rsid w:val="00C1036A"/>
    <w:rsid w:val="00C13877"/>
    <w:rsid w:val="00C17548"/>
    <w:rsid w:val="00C21215"/>
    <w:rsid w:val="00C23FC6"/>
    <w:rsid w:val="00C240DA"/>
    <w:rsid w:val="00C245A4"/>
    <w:rsid w:val="00C24B33"/>
    <w:rsid w:val="00C25310"/>
    <w:rsid w:val="00C35A6D"/>
    <w:rsid w:val="00C36E70"/>
    <w:rsid w:val="00C41E4B"/>
    <w:rsid w:val="00C42FA4"/>
    <w:rsid w:val="00C43C02"/>
    <w:rsid w:val="00C44C1E"/>
    <w:rsid w:val="00C45BD2"/>
    <w:rsid w:val="00C4799F"/>
    <w:rsid w:val="00C50BDD"/>
    <w:rsid w:val="00C50F97"/>
    <w:rsid w:val="00C522E7"/>
    <w:rsid w:val="00C52417"/>
    <w:rsid w:val="00C53537"/>
    <w:rsid w:val="00C5654A"/>
    <w:rsid w:val="00C576EE"/>
    <w:rsid w:val="00C61449"/>
    <w:rsid w:val="00C61B63"/>
    <w:rsid w:val="00C66576"/>
    <w:rsid w:val="00C673F0"/>
    <w:rsid w:val="00C677A8"/>
    <w:rsid w:val="00C7104F"/>
    <w:rsid w:val="00C737CD"/>
    <w:rsid w:val="00C73DB0"/>
    <w:rsid w:val="00C75FB5"/>
    <w:rsid w:val="00C850B5"/>
    <w:rsid w:val="00C875CD"/>
    <w:rsid w:val="00CA5B33"/>
    <w:rsid w:val="00CA6A54"/>
    <w:rsid w:val="00CB3526"/>
    <w:rsid w:val="00CC0628"/>
    <w:rsid w:val="00CC44BB"/>
    <w:rsid w:val="00CC6925"/>
    <w:rsid w:val="00CD3228"/>
    <w:rsid w:val="00CD402E"/>
    <w:rsid w:val="00CF13F1"/>
    <w:rsid w:val="00CF1CCF"/>
    <w:rsid w:val="00CF20DF"/>
    <w:rsid w:val="00D02348"/>
    <w:rsid w:val="00D0473B"/>
    <w:rsid w:val="00D05E69"/>
    <w:rsid w:val="00D10895"/>
    <w:rsid w:val="00D15FBC"/>
    <w:rsid w:val="00D2221C"/>
    <w:rsid w:val="00D2388A"/>
    <w:rsid w:val="00D25A6E"/>
    <w:rsid w:val="00D31CDB"/>
    <w:rsid w:val="00D32A94"/>
    <w:rsid w:val="00D354AF"/>
    <w:rsid w:val="00D36D2D"/>
    <w:rsid w:val="00D43827"/>
    <w:rsid w:val="00D44C75"/>
    <w:rsid w:val="00D4536D"/>
    <w:rsid w:val="00D45713"/>
    <w:rsid w:val="00D47DCD"/>
    <w:rsid w:val="00D51B77"/>
    <w:rsid w:val="00D55688"/>
    <w:rsid w:val="00D60403"/>
    <w:rsid w:val="00D60A07"/>
    <w:rsid w:val="00D649E3"/>
    <w:rsid w:val="00D65C10"/>
    <w:rsid w:val="00D666BB"/>
    <w:rsid w:val="00D701F7"/>
    <w:rsid w:val="00D7027A"/>
    <w:rsid w:val="00D73FC2"/>
    <w:rsid w:val="00D74AB1"/>
    <w:rsid w:val="00D75906"/>
    <w:rsid w:val="00D767A6"/>
    <w:rsid w:val="00D81079"/>
    <w:rsid w:val="00D81F9E"/>
    <w:rsid w:val="00D9708F"/>
    <w:rsid w:val="00DA3841"/>
    <w:rsid w:val="00DA4D26"/>
    <w:rsid w:val="00DA78D2"/>
    <w:rsid w:val="00DB46C2"/>
    <w:rsid w:val="00DB5A2F"/>
    <w:rsid w:val="00DC24C6"/>
    <w:rsid w:val="00DC2AA6"/>
    <w:rsid w:val="00DC69D4"/>
    <w:rsid w:val="00DD28EA"/>
    <w:rsid w:val="00DD2D43"/>
    <w:rsid w:val="00DD7E5E"/>
    <w:rsid w:val="00DE0E98"/>
    <w:rsid w:val="00DE3F0F"/>
    <w:rsid w:val="00DF2FEC"/>
    <w:rsid w:val="00DF4DF3"/>
    <w:rsid w:val="00DF5E2E"/>
    <w:rsid w:val="00DF7042"/>
    <w:rsid w:val="00DF7B5C"/>
    <w:rsid w:val="00E03A7F"/>
    <w:rsid w:val="00E03DB3"/>
    <w:rsid w:val="00E072A9"/>
    <w:rsid w:val="00E074A1"/>
    <w:rsid w:val="00E07F7D"/>
    <w:rsid w:val="00E13729"/>
    <w:rsid w:val="00E15209"/>
    <w:rsid w:val="00E230EB"/>
    <w:rsid w:val="00E2548C"/>
    <w:rsid w:val="00E37FE7"/>
    <w:rsid w:val="00E405D7"/>
    <w:rsid w:val="00E43767"/>
    <w:rsid w:val="00E46FB6"/>
    <w:rsid w:val="00E509C6"/>
    <w:rsid w:val="00E520AC"/>
    <w:rsid w:val="00E532BC"/>
    <w:rsid w:val="00E56F56"/>
    <w:rsid w:val="00E572BD"/>
    <w:rsid w:val="00E57520"/>
    <w:rsid w:val="00E57F48"/>
    <w:rsid w:val="00E605A7"/>
    <w:rsid w:val="00E62F36"/>
    <w:rsid w:val="00E70FCD"/>
    <w:rsid w:val="00E7279A"/>
    <w:rsid w:val="00E7352C"/>
    <w:rsid w:val="00E73F6D"/>
    <w:rsid w:val="00E87B38"/>
    <w:rsid w:val="00E940FC"/>
    <w:rsid w:val="00E945D4"/>
    <w:rsid w:val="00E97054"/>
    <w:rsid w:val="00E974FE"/>
    <w:rsid w:val="00EA0271"/>
    <w:rsid w:val="00EA0ADF"/>
    <w:rsid w:val="00EA43EB"/>
    <w:rsid w:val="00EA4F91"/>
    <w:rsid w:val="00EB59E1"/>
    <w:rsid w:val="00EC4DDC"/>
    <w:rsid w:val="00ED1B36"/>
    <w:rsid w:val="00ED50C6"/>
    <w:rsid w:val="00EE2C52"/>
    <w:rsid w:val="00EE417B"/>
    <w:rsid w:val="00EE420F"/>
    <w:rsid w:val="00EE4EB9"/>
    <w:rsid w:val="00EE6707"/>
    <w:rsid w:val="00EE7F14"/>
    <w:rsid w:val="00EF7738"/>
    <w:rsid w:val="00F01F2F"/>
    <w:rsid w:val="00F06A32"/>
    <w:rsid w:val="00F07EB9"/>
    <w:rsid w:val="00F15549"/>
    <w:rsid w:val="00F15854"/>
    <w:rsid w:val="00F22446"/>
    <w:rsid w:val="00F23352"/>
    <w:rsid w:val="00F238CF"/>
    <w:rsid w:val="00F24E58"/>
    <w:rsid w:val="00F2730A"/>
    <w:rsid w:val="00F30E3A"/>
    <w:rsid w:val="00F31768"/>
    <w:rsid w:val="00F341C8"/>
    <w:rsid w:val="00F35DA7"/>
    <w:rsid w:val="00F3670F"/>
    <w:rsid w:val="00F4181A"/>
    <w:rsid w:val="00F42012"/>
    <w:rsid w:val="00F44084"/>
    <w:rsid w:val="00F44624"/>
    <w:rsid w:val="00F524BA"/>
    <w:rsid w:val="00F61D57"/>
    <w:rsid w:val="00F63B89"/>
    <w:rsid w:val="00F64BDD"/>
    <w:rsid w:val="00F6760C"/>
    <w:rsid w:val="00F702D3"/>
    <w:rsid w:val="00F76C0D"/>
    <w:rsid w:val="00F80680"/>
    <w:rsid w:val="00F906CC"/>
    <w:rsid w:val="00F909DD"/>
    <w:rsid w:val="00F95F62"/>
    <w:rsid w:val="00FA0FD7"/>
    <w:rsid w:val="00FA1528"/>
    <w:rsid w:val="00FA2064"/>
    <w:rsid w:val="00FA38E1"/>
    <w:rsid w:val="00FA66F3"/>
    <w:rsid w:val="00FB0E99"/>
    <w:rsid w:val="00FB1657"/>
    <w:rsid w:val="00FB1BCF"/>
    <w:rsid w:val="00FB25DF"/>
    <w:rsid w:val="00FB492F"/>
    <w:rsid w:val="00FB4C02"/>
    <w:rsid w:val="00FB5D68"/>
    <w:rsid w:val="00FB5EDD"/>
    <w:rsid w:val="00FC3491"/>
    <w:rsid w:val="00FD1F40"/>
    <w:rsid w:val="00FE405D"/>
    <w:rsid w:val="00FF0E76"/>
    <w:rsid w:val="00FF4163"/>
    <w:rsid w:val="00FF5071"/>
    <w:rsid w:val="00FF6FF7"/>
    <w:rsid w:val="00FF72FC"/>
    <w:rsid w:val="00FF75CE"/>
    <w:rsid w:val="01B23EB8"/>
    <w:rsid w:val="0532605E"/>
    <w:rsid w:val="05504736"/>
    <w:rsid w:val="13166FBF"/>
    <w:rsid w:val="178233C5"/>
    <w:rsid w:val="17CC40F0"/>
    <w:rsid w:val="1F040613"/>
    <w:rsid w:val="1FAD2A59"/>
    <w:rsid w:val="236553F8"/>
    <w:rsid w:val="2426102C"/>
    <w:rsid w:val="26013161"/>
    <w:rsid w:val="27320C1D"/>
    <w:rsid w:val="274F43F6"/>
    <w:rsid w:val="2AA1140C"/>
    <w:rsid w:val="2D047A30"/>
    <w:rsid w:val="31E3230A"/>
    <w:rsid w:val="32222E32"/>
    <w:rsid w:val="32917FB8"/>
    <w:rsid w:val="3D791D75"/>
    <w:rsid w:val="42CE4911"/>
    <w:rsid w:val="4E8923F8"/>
    <w:rsid w:val="4EBE2DFF"/>
    <w:rsid w:val="52075749"/>
    <w:rsid w:val="54640C31"/>
    <w:rsid w:val="54F226E1"/>
    <w:rsid w:val="5A19426B"/>
    <w:rsid w:val="5B9A3007"/>
    <w:rsid w:val="65037FF2"/>
    <w:rsid w:val="66316617"/>
    <w:rsid w:val="6C3B2E45"/>
    <w:rsid w:val="6E854322"/>
    <w:rsid w:val="6EBA7973"/>
    <w:rsid w:val="70CA3E8B"/>
    <w:rsid w:val="744E4FAA"/>
    <w:rsid w:val="75E4177A"/>
    <w:rsid w:val="76C43A85"/>
    <w:rsid w:val="799420C1"/>
    <w:rsid w:val="7DE625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B08B6F"/>
  <w15:docId w15:val="{AAE98C44-3AD6-41AE-8F88-6D24B69BA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Pr>
      <w:kern w:val="2"/>
      <w:sz w:val="18"/>
      <w:szCs w:val="18"/>
    </w:rPr>
  </w:style>
  <w:style w:type="character" w:customStyle="1" w:styleId="a6">
    <w:name w:val="页脚 字符"/>
    <w:basedOn w:val="a0"/>
    <w:link w:val="a5"/>
    <w:uiPriority w:val="99"/>
    <w:qFormat/>
    <w:rPr>
      <w:kern w:val="2"/>
      <w:sz w:val="18"/>
      <w:szCs w:val="18"/>
    </w:rPr>
  </w:style>
  <w:style w:type="character" w:customStyle="1" w:styleId="a4">
    <w:name w:val="批注框文本 字符"/>
    <w:basedOn w:val="a0"/>
    <w:link w:val="a3"/>
    <w:uiPriority w:val="99"/>
    <w:semiHidden/>
    <w:rPr>
      <w:kern w:val="2"/>
      <w:sz w:val="18"/>
      <w:szCs w:val="18"/>
    </w:rPr>
  </w:style>
  <w:style w:type="character" w:customStyle="1" w:styleId="MTEquationSection">
    <w:name w:val="MTEquationSection"/>
    <w:basedOn w:val="a0"/>
    <w:rsid w:val="007E2771"/>
    <w:rPr>
      <w:rFonts w:ascii="黑体" w:eastAsia="黑体" w:hAnsi="黑体"/>
      <w:b/>
      <w:vanish/>
      <w:color w:val="FF0000"/>
      <w:sz w:val="32"/>
      <w:szCs w:val="32"/>
    </w:rPr>
  </w:style>
  <w:style w:type="paragraph" w:customStyle="1" w:styleId="MTDisplayEquation">
    <w:name w:val="MTDisplayEquation"/>
    <w:basedOn w:val="a"/>
    <w:next w:val="a"/>
    <w:link w:val="MTDisplayEquation0"/>
    <w:rsid w:val="007E2771"/>
    <w:pPr>
      <w:tabs>
        <w:tab w:val="center" w:pos="4160"/>
        <w:tab w:val="right" w:pos="8300"/>
      </w:tabs>
      <w:ind w:firstLineChars="200" w:firstLine="420"/>
    </w:pPr>
    <w:rPr>
      <w:szCs w:val="21"/>
    </w:rPr>
  </w:style>
  <w:style w:type="character" w:customStyle="1" w:styleId="MTDisplayEquation0">
    <w:name w:val="MTDisplayEquation 字符"/>
    <w:basedOn w:val="a0"/>
    <w:link w:val="MTDisplayEquation"/>
    <w:rsid w:val="007E2771"/>
    <w:rPr>
      <w:kern w:val="2"/>
      <w:sz w:val="21"/>
      <w:szCs w:val="21"/>
    </w:rPr>
  </w:style>
  <w:style w:type="table" w:styleId="a9">
    <w:name w:val="Table Grid"/>
    <w:basedOn w:val="a1"/>
    <w:uiPriority w:val="59"/>
    <w:rsid w:val="005109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99"/>
    <w:unhideWhenUsed/>
    <w:rsid w:val="00FB4C02"/>
    <w:pPr>
      <w:ind w:firstLineChars="200" w:firstLine="420"/>
    </w:pPr>
  </w:style>
  <w:style w:type="character" w:styleId="ab">
    <w:name w:val="Hyperlink"/>
    <w:basedOn w:val="a0"/>
    <w:uiPriority w:val="99"/>
    <w:unhideWhenUsed/>
    <w:rsid w:val="00615152"/>
    <w:rPr>
      <w:color w:val="0000FF" w:themeColor="hyperlink"/>
      <w:u w:val="single"/>
    </w:rPr>
  </w:style>
  <w:style w:type="character" w:customStyle="1" w:styleId="UnresolvedMention">
    <w:name w:val="Unresolved Mention"/>
    <w:basedOn w:val="a0"/>
    <w:uiPriority w:val="99"/>
    <w:semiHidden/>
    <w:unhideWhenUsed/>
    <w:rsid w:val="00615152"/>
    <w:rPr>
      <w:color w:val="605E5C"/>
      <w:shd w:val="clear" w:color="auto" w:fill="E1DFDD"/>
    </w:rPr>
  </w:style>
  <w:style w:type="character" w:styleId="ac">
    <w:name w:val="Placeholder Text"/>
    <w:basedOn w:val="a0"/>
    <w:uiPriority w:val="99"/>
    <w:unhideWhenUsed/>
    <w:rsid w:val="008F6340"/>
    <w:rPr>
      <w:color w:val="808080"/>
    </w:rPr>
  </w:style>
  <w:style w:type="character" w:customStyle="1" w:styleId="MTConvertedEquation">
    <w:name w:val="MTConvertedEquation"/>
    <w:basedOn w:val="a0"/>
    <w:rsid w:val="00DD28EA"/>
    <w:rPr>
      <w:color w:val="4F81BD" w:themeColor="accent1"/>
      <w:szCs w:val="21"/>
    </w:rPr>
  </w:style>
  <w:style w:type="character" w:styleId="ad">
    <w:name w:val="annotation reference"/>
    <w:basedOn w:val="a0"/>
    <w:uiPriority w:val="99"/>
    <w:semiHidden/>
    <w:unhideWhenUsed/>
    <w:rsid w:val="00537EBA"/>
    <w:rPr>
      <w:sz w:val="21"/>
      <w:szCs w:val="21"/>
    </w:rPr>
  </w:style>
  <w:style w:type="paragraph" w:styleId="ae">
    <w:name w:val="annotation text"/>
    <w:basedOn w:val="a"/>
    <w:link w:val="af"/>
    <w:uiPriority w:val="99"/>
    <w:semiHidden/>
    <w:unhideWhenUsed/>
    <w:rsid w:val="00537EBA"/>
    <w:pPr>
      <w:jc w:val="left"/>
    </w:pPr>
  </w:style>
  <w:style w:type="character" w:customStyle="1" w:styleId="af">
    <w:name w:val="批注文字 字符"/>
    <w:basedOn w:val="a0"/>
    <w:link w:val="ae"/>
    <w:uiPriority w:val="99"/>
    <w:semiHidden/>
    <w:rsid w:val="00537EBA"/>
    <w:rPr>
      <w:kern w:val="2"/>
      <w:sz w:val="21"/>
      <w:szCs w:val="24"/>
    </w:rPr>
  </w:style>
  <w:style w:type="paragraph" w:styleId="af0">
    <w:name w:val="annotation subject"/>
    <w:basedOn w:val="ae"/>
    <w:next w:val="ae"/>
    <w:link w:val="af1"/>
    <w:uiPriority w:val="99"/>
    <w:semiHidden/>
    <w:unhideWhenUsed/>
    <w:rsid w:val="00537EBA"/>
    <w:rPr>
      <w:b/>
      <w:bCs/>
    </w:rPr>
  </w:style>
  <w:style w:type="character" w:customStyle="1" w:styleId="af1">
    <w:name w:val="批注主题 字符"/>
    <w:basedOn w:val="af"/>
    <w:link w:val="af0"/>
    <w:uiPriority w:val="99"/>
    <w:semiHidden/>
    <w:rsid w:val="00537EBA"/>
    <w:rPr>
      <w:b/>
      <w:bCs/>
      <w:kern w:val="2"/>
      <w:sz w:val="21"/>
      <w:szCs w:val="24"/>
    </w:rPr>
  </w:style>
  <w:style w:type="character" w:styleId="af2">
    <w:name w:val="Strong"/>
    <w:basedOn w:val="a0"/>
    <w:uiPriority w:val="22"/>
    <w:qFormat/>
    <w:rsid w:val="00537E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430495">
      <w:bodyDiv w:val="1"/>
      <w:marLeft w:val="0"/>
      <w:marRight w:val="0"/>
      <w:marTop w:val="0"/>
      <w:marBottom w:val="0"/>
      <w:divBdr>
        <w:top w:val="none" w:sz="0" w:space="0" w:color="auto"/>
        <w:left w:val="none" w:sz="0" w:space="0" w:color="auto"/>
        <w:bottom w:val="none" w:sz="0" w:space="0" w:color="auto"/>
        <w:right w:val="none" w:sz="0" w:space="0" w:color="auto"/>
      </w:divBdr>
    </w:div>
    <w:div w:id="739136842">
      <w:bodyDiv w:val="1"/>
      <w:marLeft w:val="0"/>
      <w:marRight w:val="0"/>
      <w:marTop w:val="0"/>
      <w:marBottom w:val="0"/>
      <w:divBdr>
        <w:top w:val="none" w:sz="0" w:space="0" w:color="auto"/>
        <w:left w:val="none" w:sz="0" w:space="0" w:color="auto"/>
        <w:bottom w:val="none" w:sz="0" w:space="0" w:color="auto"/>
        <w:right w:val="none" w:sz="0" w:space="0" w:color="auto"/>
      </w:divBdr>
    </w:div>
    <w:div w:id="796683692">
      <w:bodyDiv w:val="1"/>
      <w:marLeft w:val="0"/>
      <w:marRight w:val="0"/>
      <w:marTop w:val="0"/>
      <w:marBottom w:val="0"/>
      <w:divBdr>
        <w:top w:val="none" w:sz="0" w:space="0" w:color="auto"/>
        <w:left w:val="none" w:sz="0" w:space="0" w:color="auto"/>
        <w:bottom w:val="none" w:sz="0" w:space="0" w:color="auto"/>
        <w:right w:val="none" w:sz="0" w:space="0" w:color="auto"/>
      </w:divBdr>
    </w:div>
    <w:div w:id="1176071949">
      <w:bodyDiv w:val="1"/>
      <w:marLeft w:val="0"/>
      <w:marRight w:val="0"/>
      <w:marTop w:val="0"/>
      <w:marBottom w:val="0"/>
      <w:divBdr>
        <w:top w:val="none" w:sz="0" w:space="0" w:color="auto"/>
        <w:left w:val="none" w:sz="0" w:space="0" w:color="auto"/>
        <w:bottom w:val="none" w:sz="0" w:space="0" w:color="auto"/>
        <w:right w:val="none" w:sz="0" w:space="0" w:color="auto"/>
      </w:divBdr>
    </w:div>
    <w:div w:id="1851797300">
      <w:bodyDiv w:val="1"/>
      <w:marLeft w:val="0"/>
      <w:marRight w:val="0"/>
      <w:marTop w:val="0"/>
      <w:marBottom w:val="0"/>
      <w:divBdr>
        <w:top w:val="none" w:sz="0" w:space="0" w:color="auto"/>
        <w:left w:val="none" w:sz="0" w:space="0" w:color="auto"/>
        <w:bottom w:val="none" w:sz="0" w:space="0" w:color="auto"/>
        <w:right w:val="none" w:sz="0" w:space="0" w:color="auto"/>
      </w:divBdr>
    </w:div>
    <w:div w:id="2039773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__2.vsdx"/><Relationship Id="rId18" Type="http://schemas.openxmlformats.org/officeDocument/2006/relationships/image" Target="media/image6.emf"/><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package" Target="embeddings/Microsoft_Visio___6.vsdx"/><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5" Type="http://schemas.openxmlformats.org/officeDocument/2006/relationships/package" Target="embeddings/Microsoft_Visio___7.vsdx"/><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Visio___9.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image" Target="media/image8.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microsoft.com/office/2011/relationships/commentsExtended" Target="commentsExtended.xml"/><Relationship Id="rId28" Type="http://schemas.openxmlformats.org/officeDocument/2006/relationships/image" Target="media/image10.emf"/><Relationship Id="rId10" Type="http://schemas.openxmlformats.org/officeDocument/2006/relationships/image" Target="media/image2.emf"/><Relationship Id="rId19" Type="http://schemas.openxmlformats.org/officeDocument/2006/relationships/package" Target="embeddings/Microsoft_Visio___5.vsdx"/><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comments" Target="comments.xml"/><Relationship Id="rId27" Type="http://schemas.openxmlformats.org/officeDocument/2006/relationships/package" Target="embeddings/Microsoft_Visio___8.vsdx"/><Relationship Id="rId30" Type="http://schemas.openxmlformats.org/officeDocument/2006/relationships/image" Target="media/image11.jpg"/><Relationship Id="rId8"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55EB8-F740-45BD-9B1A-480DB35AD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2658</Words>
  <Characters>15157</Characters>
  <Application>Microsoft Office Word</Application>
  <DocSecurity>0</DocSecurity>
  <Lines>126</Lines>
  <Paragraphs>35</Paragraphs>
  <ScaleCrop>false</ScaleCrop>
  <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kmyh</dc:creator>
  <cp:lastModifiedBy>admin</cp:lastModifiedBy>
  <cp:revision>2</cp:revision>
  <cp:lastPrinted>2025-05-11T13:44:00Z</cp:lastPrinted>
  <dcterms:created xsi:type="dcterms:W3CDTF">2026-04-28T02:09:00Z</dcterms:created>
  <dcterms:modified xsi:type="dcterms:W3CDTF">2026-04-28T02:09:00Z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D10FDA15D2A04685BA507F77B22CEE50_12</vt:lpwstr>
  </property>
  <property fmtid="{D5CDD505-2E9C-101B-9397-08002B2CF9AE}" pid="4" name="MTEquationSection">
    <vt:lpwstr>1</vt:lpwstr>
  </property>
  <property fmtid="{D5CDD505-2E9C-101B-9397-08002B2CF9AE}" pid="5" name="MTEquationNumber2">
    <vt:lpwstr>(#E1)</vt:lpwstr>
  </property>
  <property fmtid="{D5CDD505-2E9C-101B-9397-08002B2CF9AE}" pid="6" name="MTWinEqns">
    <vt:bool>true</vt:bool>
  </property>
</Properties>
</file>