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55BB" w:rsidRPr="002D03EA" w:rsidRDefault="008F55BB" w:rsidP="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222106" w:rsidRPr="00222106">
        <w:rPr>
          <w:rFonts w:ascii="宋体" w:eastAsia="宋体" w:hAnsi="宋体" w:hint="eastAsia"/>
          <w:sz w:val="18"/>
          <w:szCs w:val="18"/>
        </w:rPr>
        <w:t>王峰，李兴华，李晓龙，等</w:t>
      </w:r>
      <w:r w:rsidR="00222106" w:rsidRPr="00222106">
        <w:rPr>
          <w:rFonts w:ascii="宋体" w:eastAsia="宋体" w:hAnsi="宋体"/>
          <w:sz w:val="18"/>
          <w:szCs w:val="18"/>
        </w:rPr>
        <w:t>. 基于健康画像的光通信设备故障预测算法[J]. 光通信技术，2021，45（9）：31-35.</w:t>
      </w:r>
    </w:p>
    <w:p w:rsidR="002D03EA" w:rsidRDefault="002D03EA" w:rsidP="00F142B0">
      <w:pPr>
        <w:rPr>
          <w:rFonts w:ascii="宋体" w:eastAsia="宋体" w:hAnsi="宋体"/>
        </w:rPr>
      </w:pPr>
    </w:p>
    <w:p w:rsidR="00222106" w:rsidRDefault="00222106" w:rsidP="00222106">
      <w:pPr>
        <w:jc w:val="center"/>
        <w:rPr>
          <w:rFonts w:ascii="方正黑体_GBK" w:eastAsia="方正黑体_GBK"/>
          <w:sz w:val="36"/>
          <w:szCs w:val="36"/>
        </w:rPr>
      </w:pPr>
      <w:r w:rsidRPr="00222106">
        <w:rPr>
          <w:rFonts w:ascii="方正黑体_GBK" w:eastAsia="方正黑体_GBK" w:hint="eastAsia"/>
          <w:sz w:val="36"/>
          <w:szCs w:val="36"/>
        </w:rPr>
        <w:t>基于健康画像的光通信设备故障预测算法</w:t>
      </w:r>
    </w:p>
    <w:p w:rsidR="00222106" w:rsidRPr="00A86C53" w:rsidRDefault="00222106" w:rsidP="00222106">
      <w:pPr>
        <w:jc w:val="center"/>
        <w:rPr>
          <w:rFonts w:ascii="楷体_GB2312" w:eastAsia="楷体_GB2312"/>
          <w:sz w:val="24"/>
          <w:szCs w:val="24"/>
          <w:vertAlign w:val="superscript"/>
        </w:rPr>
      </w:pPr>
      <w:r w:rsidRPr="00222106">
        <w:rPr>
          <w:rFonts w:ascii="楷体_GB2312" w:eastAsia="楷体_GB2312" w:hint="eastAsia"/>
          <w:sz w:val="24"/>
          <w:szCs w:val="24"/>
        </w:rPr>
        <w:t>王</w:t>
      </w:r>
      <w:r w:rsidRPr="00222106">
        <w:rPr>
          <w:rFonts w:ascii="楷体_GB2312" w:eastAsia="楷体_GB2312"/>
          <w:sz w:val="24"/>
          <w:szCs w:val="24"/>
        </w:rPr>
        <w:t xml:space="preserve"> 峰</w:t>
      </w:r>
      <w:r w:rsidRPr="00A86C53">
        <w:rPr>
          <w:rFonts w:ascii="楷体_GB2312" w:eastAsia="楷体_GB2312"/>
          <w:sz w:val="24"/>
          <w:szCs w:val="24"/>
          <w:vertAlign w:val="superscript"/>
        </w:rPr>
        <w:t>1</w:t>
      </w:r>
      <w:r w:rsidRPr="00222106">
        <w:rPr>
          <w:rFonts w:ascii="楷体_GB2312" w:eastAsia="楷体_GB2312"/>
          <w:sz w:val="24"/>
          <w:szCs w:val="24"/>
        </w:rPr>
        <w:t>，李兴华</w:t>
      </w:r>
      <w:r w:rsidRPr="00A86C53">
        <w:rPr>
          <w:rFonts w:ascii="楷体_GB2312" w:eastAsia="楷体_GB2312"/>
          <w:sz w:val="24"/>
          <w:szCs w:val="24"/>
          <w:vertAlign w:val="superscript"/>
        </w:rPr>
        <w:t>1</w:t>
      </w:r>
      <w:r w:rsidRPr="00222106">
        <w:rPr>
          <w:rFonts w:ascii="楷体_GB2312" w:eastAsia="楷体_GB2312"/>
          <w:sz w:val="24"/>
          <w:szCs w:val="24"/>
        </w:rPr>
        <w:t>，李晓龙</w:t>
      </w:r>
      <w:r w:rsidRPr="00A86C53">
        <w:rPr>
          <w:rFonts w:ascii="楷体_GB2312" w:eastAsia="楷体_GB2312"/>
          <w:sz w:val="24"/>
          <w:szCs w:val="24"/>
          <w:vertAlign w:val="superscript"/>
        </w:rPr>
        <w:t>1</w:t>
      </w:r>
      <w:r w:rsidRPr="00222106">
        <w:rPr>
          <w:rFonts w:ascii="楷体_GB2312" w:eastAsia="楷体_GB2312"/>
          <w:sz w:val="24"/>
          <w:szCs w:val="24"/>
        </w:rPr>
        <w:t>，刘瑞增</w:t>
      </w:r>
      <w:r w:rsidRPr="00A86C53">
        <w:rPr>
          <w:rFonts w:ascii="楷体_GB2312" w:eastAsia="楷体_GB2312"/>
          <w:sz w:val="24"/>
          <w:szCs w:val="24"/>
          <w:vertAlign w:val="superscript"/>
        </w:rPr>
        <w:t>2</w:t>
      </w:r>
      <w:r w:rsidRPr="00222106">
        <w:rPr>
          <w:rFonts w:ascii="楷体_GB2312" w:eastAsia="楷体_GB2312"/>
          <w:sz w:val="24"/>
          <w:szCs w:val="24"/>
        </w:rPr>
        <w:t>，庄浩涛</w:t>
      </w:r>
      <w:r w:rsidRPr="00A86C53">
        <w:rPr>
          <w:rFonts w:ascii="楷体_GB2312" w:eastAsia="楷体_GB2312"/>
          <w:sz w:val="24"/>
          <w:szCs w:val="24"/>
          <w:vertAlign w:val="superscript"/>
        </w:rPr>
        <w:t>3*</w:t>
      </w:r>
      <w:r w:rsidRPr="00222106">
        <w:rPr>
          <w:rFonts w:ascii="楷体_GB2312" w:eastAsia="楷体_GB2312"/>
          <w:sz w:val="24"/>
          <w:szCs w:val="24"/>
        </w:rPr>
        <w:t>，赵永利</w:t>
      </w:r>
      <w:r w:rsidRPr="00A86C53">
        <w:rPr>
          <w:rFonts w:ascii="楷体_GB2312" w:eastAsia="楷体_GB2312"/>
          <w:sz w:val="24"/>
          <w:szCs w:val="24"/>
          <w:vertAlign w:val="superscript"/>
        </w:rPr>
        <w:t>3</w:t>
      </w:r>
    </w:p>
    <w:p w:rsidR="00222106" w:rsidRPr="00794CEC" w:rsidRDefault="00222106" w:rsidP="00222106">
      <w:pPr>
        <w:jc w:val="center"/>
        <w:rPr>
          <w:rFonts w:ascii="宋体" w:eastAsia="宋体" w:hAnsi="宋体"/>
          <w:sz w:val="18"/>
          <w:szCs w:val="18"/>
        </w:rPr>
      </w:pPr>
      <w:r w:rsidRPr="00794CEC">
        <w:rPr>
          <w:rFonts w:ascii="宋体" w:eastAsia="宋体" w:hAnsi="宋体" w:hint="eastAsia"/>
          <w:sz w:val="18"/>
          <w:szCs w:val="18"/>
        </w:rPr>
        <w:t>（</w:t>
      </w:r>
      <w:r w:rsidRPr="00794CEC">
        <w:rPr>
          <w:rFonts w:ascii="宋体" w:eastAsia="宋体" w:hAnsi="宋体"/>
          <w:sz w:val="18"/>
          <w:szCs w:val="18"/>
        </w:rPr>
        <w:t>1.国网宁夏电力有限公司 电力科学研究院，银川 750001；</w:t>
      </w:r>
    </w:p>
    <w:p w:rsidR="00222106" w:rsidRPr="00222106" w:rsidRDefault="00222106" w:rsidP="00794CEC">
      <w:pPr>
        <w:jc w:val="center"/>
        <w:rPr>
          <w:rFonts w:ascii="楷体_GB2312" w:eastAsia="楷体_GB2312" w:hAnsi="宋体"/>
          <w:sz w:val="18"/>
          <w:szCs w:val="18"/>
        </w:rPr>
      </w:pPr>
      <w:r w:rsidRPr="00794CEC">
        <w:rPr>
          <w:rFonts w:ascii="宋体" w:eastAsia="宋体" w:hAnsi="宋体"/>
          <w:sz w:val="18"/>
          <w:szCs w:val="18"/>
        </w:rPr>
        <w:t>2.国网宁夏电力公司 石嘴山供电公司，宁夏 石嘴山 753099；3.北京邮电大学，北京 100876）</w:t>
      </w:r>
      <w:r w:rsidRPr="00424FF6">
        <w:rPr>
          <w:rFonts w:ascii="方正黑体_GBK" w:eastAsia="方正黑体_GBK" w:hint="eastAsia"/>
          <w:sz w:val="18"/>
          <w:szCs w:val="18"/>
        </w:rPr>
        <w:t>摘要</w:t>
      </w:r>
      <w:r w:rsidRPr="005F670D">
        <w:rPr>
          <w:rFonts w:hint="eastAsia"/>
          <w:sz w:val="18"/>
          <w:szCs w:val="18"/>
        </w:rPr>
        <w:t>：</w:t>
      </w:r>
      <w:r w:rsidRPr="00222106">
        <w:rPr>
          <w:rFonts w:ascii="楷体_GB2312" w:eastAsia="楷体_GB2312" w:hAnsi="宋体" w:hint="eastAsia"/>
          <w:sz w:val="18"/>
          <w:szCs w:val="18"/>
        </w:rPr>
        <w:t>针对光通信网设备风险预警无法进行人工分析的问题，提出基于用户画像技术与深度学习算法的设备故障预测算法。基于数据采集与数据增强构建设备健康画像，从含有脏数据且格式不统一的原始数据中抽取与设备故障相关联的标签序列，将序列数据“喂”入深度学习模型，获得高准确度的故障预测结果。仿真结果表明：该算法能够基于设备原始数据构建设备健康画像并实时训练深度学习模型，获得接近</w:t>
      </w:r>
      <w:r w:rsidRPr="00222106">
        <w:rPr>
          <w:rFonts w:ascii="楷体_GB2312" w:eastAsia="楷体_GB2312" w:hAnsi="宋体"/>
          <w:sz w:val="18"/>
          <w:szCs w:val="18"/>
        </w:rPr>
        <w:t>100%的设备故障预测准确率；与全标签序列的算法和未进行数据增强的算法相比，所提算法将故障预测准确率分别提升了7.8%和3.3%。</w:t>
      </w:r>
    </w:p>
    <w:p w:rsidR="00222106" w:rsidRPr="00222106" w:rsidRDefault="001B2A4A" w:rsidP="00222106">
      <w:pPr>
        <w:jc w:val="left"/>
        <w:rPr>
          <w:rFonts w:ascii="楷体_GB2312" w:eastAsia="楷体_GB2312" w:hAnsi="宋体"/>
          <w:sz w:val="18"/>
          <w:szCs w:val="18"/>
        </w:rPr>
      </w:pPr>
      <w:r>
        <w:rPr>
          <w:rFonts w:ascii="楷体_GB2312" w:eastAsia="楷体_GB2312" w:hAnsi="宋体" w:hint="eastAsia"/>
          <w:noProof/>
          <w:sz w:val="18"/>
          <w:szCs w:val="18"/>
        </w:rPr>
        <w:drawing>
          <wp:anchor distT="0" distB="0" distL="114300" distR="114300" simplePos="0" relativeHeight="251658240" behindDoc="0" locked="0" layoutInCell="1" allowOverlap="1">
            <wp:simplePos x="0" y="0"/>
            <wp:positionH relativeFrom="column">
              <wp:posOffset>5331460</wp:posOffset>
            </wp:positionH>
            <wp:positionV relativeFrom="paragraph">
              <wp:posOffset>13335</wp:posOffset>
            </wp:positionV>
            <wp:extent cx="536575" cy="541020"/>
            <wp:effectExtent l="19050" t="0" r="0" b="0"/>
            <wp:wrapThrough wrapText="bothSides">
              <wp:wrapPolygon edited="0">
                <wp:start x="-767" y="0"/>
                <wp:lineTo x="-767" y="20535"/>
                <wp:lineTo x="21472" y="20535"/>
                <wp:lineTo x="21472" y="0"/>
                <wp:lineTo x="-767" y="0"/>
              </wp:wrapPolygon>
            </wp:wrapThrough>
            <wp:docPr id="1" name="图片 0" descr="王峰OS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王峰OSID.jpg"/>
                    <pic:cNvPicPr/>
                  </pic:nvPicPr>
                  <pic:blipFill>
                    <a:blip r:embed="rId6" cstate="print"/>
                    <a:stretch>
                      <a:fillRect/>
                    </a:stretch>
                  </pic:blipFill>
                  <pic:spPr>
                    <a:xfrm>
                      <a:off x="0" y="0"/>
                      <a:ext cx="536575" cy="541020"/>
                    </a:xfrm>
                    <a:prstGeom prst="rect">
                      <a:avLst/>
                    </a:prstGeom>
                  </pic:spPr>
                </pic:pic>
              </a:graphicData>
            </a:graphic>
          </wp:anchor>
        </w:drawing>
      </w:r>
      <w:r w:rsidR="00222106" w:rsidRPr="00222106">
        <w:rPr>
          <w:rFonts w:ascii="楷体_GB2312" w:eastAsia="楷体_GB2312" w:hAnsi="宋体" w:hint="eastAsia"/>
          <w:sz w:val="18"/>
          <w:szCs w:val="18"/>
        </w:rPr>
        <w:t>关键词：故障预测；健康画像；光通信设备；深度学习</w:t>
      </w:r>
    </w:p>
    <w:p w:rsidR="00222106" w:rsidRPr="00222106" w:rsidRDefault="00222106" w:rsidP="00222106">
      <w:pPr>
        <w:jc w:val="left"/>
        <w:rPr>
          <w:rFonts w:ascii="楷体_GB2312" w:eastAsia="楷体_GB2312" w:hAnsi="宋体"/>
          <w:sz w:val="18"/>
          <w:szCs w:val="18"/>
        </w:rPr>
      </w:pPr>
      <w:r w:rsidRPr="00222106">
        <w:rPr>
          <w:rFonts w:ascii="楷体_GB2312" w:eastAsia="楷体_GB2312" w:hAnsi="宋体" w:hint="eastAsia"/>
          <w:sz w:val="18"/>
          <w:szCs w:val="18"/>
        </w:rPr>
        <w:t>中图分类号：</w:t>
      </w:r>
      <w:r w:rsidRPr="00222106">
        <w:rPr>
          <w:rFonts w:ascii="楷体_GB2312" w:eastAsia="楷体_GB2312" w:hAnsi="宋体"/>
          <w:sz w:val="18"/>
          <w:szCs w:val="18"/>
        </w:rPr>
        <w:t>TP181; TN830   文献标志码：A     文章编号：1002-5561（2021）09-0031-05</w:t>
      </w:r>
    </w:p>
    <w:p w:rsidR="00222106" w:rsidRDefault="00222106" w:rsidP="00222106">
      <w:pPr>
        <w:jc w:val="left"/>
        <w:rPr>
          <w:rFonts w:ascii="楷体_GB2312" w:eastAsia="楷体_GB2312" w:hAnsi="宋体"/>
          <w:sz w:val="18"/>
          <w:szCs w:val="18"/>
        </w:rPr>
      </w:pPr>
      <w:r w:rsidRPr="00222106">
        <w:rPr>
          <w:rFonts w:ascii="楷体_GB2312" w:eastAsia="楷体_GB2312" w:hAnsi="宋体"/>
          <w:sz w:val="18"/>
          <w:szCs w:val="18"/>
        </w:rPr>
        <w:t xml:space="preserve">DOI：10.13921/j.cnki.issn1002-5561.2021.09.008      </w:t>
      </w:r>
      <w:r w:rsidRPr="00B441E0">
        <w:rPr>
          <w:rFonts w:ascii="楷体_GB2312" w:eastAsia="楷体_GB2312" w:hAnsi="宋体"/>
          <w:sz w:val="18"/>
          <w:szCs w:val="18"/>
        </w:rPr>
        <w:t xml:space="preserve"> </w:t>
      </w:r>
      <w:r w:rsidRPr="00642309">
        <w:rPr>
          <w:rFonts w:ascii="楷体_GB2312" w:eastAsia="楷体_GB2312" w:hAnsi="宋体"/>
          <w:sz w:val="18"/>
          <w:szCs w:val="18"/>
        </w:rPr>
        <w:t xml:space="preserve">     </w:t>
      </w:r>
      <w:r w:rsidRPr="00B7141C">
        <w:rPr>
          <w:rFonts w:ascii="方正黑体_GBK" w:eastAsia="方正黑体_GBK"/>
          <w:sz w:val="18"/>
          <w:szCs w:val="18"/>
        </w:rPr>
        <w:t>开放科学（资源服务）标识码（OSID）：</w:t>
      </w:r>
    </w:p>
    <w:p w:rsidR="00222106" w:rsidRPr="00222106" w:rsidRDefault="00222106" w:rsidP="00222106">
      <w:pPr>
        <w:jc w:val="center"/>
        <w:rPr>
          <w:rFonts w:ascii="Times New Roman" w:eastAsia="方正黑体_GBK" w:hAnsi="Times New Roman" w:cs="Times New Roman"/>
          <w:sz w:val="32"/>
          <w:szCs w:val="32"/>
        </w:rPr>
      </w:pPr>
      <w:r w:rsidRPr="00222106">
        <w:rPr>
          <w:rFonts w:ascii="Times New Roman" w:eastAsia="方正黑体_GBK" w:hAnsi="Times New Roman" w:cs="Times New Roman"/>
          <w:sz w:val="32"/>
          <w:szCs w:val="32"/>
        </w:rPr>
        <w:t>Fault prediction algorithm of</w:t>
      </w:r>
    </w:p>
    <w:p w:rsidR="00222106" w:rsidRDefault="00222106" w:rsidP="00222106">
      <w:pPr>
        <w:jc w:val="center"/>
        <w:rPr>
          <w:rFonts w:ascii="Times New Roman" w:eastAsia="方正黑体_GBK" w:hAnsi="Times New Roman" w:cs="Times New Roman"/>
          <w:sz w:val="32"/>
          <w:szCs w:val="32"/>
        </w:rPr>
      </w:pPr>
      <w:r w:rsidRPr="00222106">
        <w:rPr>
          <w:rFonts w:ascii="Times New Roman" w:eastAsia="方正黑体_GBK" w:hAnsi="Times New Roman" w:cs="Times New Roman"/>
          <w:sz w:val="32"/>
          <w:szCs w:val="32"/>
        </w:rPr>
        <w:t>optical communication equipment based on health profiles</w:t>
      </w:r>
    </w:p>
    <w:p w:rsidR="00222106" w:rsidRPr="00222106" w:rsidRDefault="00222106" w:rsidP="00222106">
      <w:pPr>
        <w:jc w:val="center"/>
        <w:rPr>
          <w:rFonts w:ascii="Times New Roman" w:hAnsi="Times New Roman" w:cs="Times New Roman"/>
          <w:szCs w:val="21"/>
        </w:rPr>
      </w:pPr>
      <w:r w:rsidRPr="00222106">
        <w:rPr>
          <w:rFonts w:ascii="Times New Roman" w:hAnsi="Times New Roman" w:cs="Times New Roman"/>
          <w:szCs w:val="21"/>
        </w:rPr>
        <w:t>WANG Feng</w:t>
      </w:r>
      <w:r w:rsidRPr="00A86C53">
        <w:rPr>
          <w:rFonts w:ascii="楷体_GB2312" w:eastAsia="楷体_GB2312"/>
          <w:sz w:val="24"/>
          <w:szCs w:val="24"/>
          <w:vertAlign w:val="superscript"/>
        </w:rPr>
        <w:t>1</w:t>
      </w:r>
      <w:r w:rsidRPr="00222106">
        <w:rPr>
          <w:rFonts w:ascii="Times New Roman" w:hAnsi="Times New Roman" w:cs="Times New Roman"/>
          <w:szCs w:val="21"/>
        </w:rPr>
        <w:t>, LI Xinghua</w:t>
      </w:r>
      <w:r w:rsidRPr="00A86C53">
        <w:rPr>
          <w:rFonts w:ascii="楷体_GB2312" w:eastAsia="楷体_GB2312"/>
          <w:sz w:val="24"/>
          <w:szCs w:val="24"/>
          <w:vertAlign w:val="superscript"/>
        </w:rPr>
        <w:t>1</w:t>
      </w:r>
      <w:r w:rsidRPr="00222106">
        <w:rPr>
          <w:rFonts w:ascii="Times New Roman" w:hAnsi="Times New Roman" w:cs="Times New Roman"/>
          <w:szCs w:val="21"/>
        </w:rPr>
        <w:t>, LI Xiaolong</w:t>
      </w:r>
      <w:r w:rsidRPr="00A86C53">
        <w:rPr>
          <w:rFonts w:ascii="楷体_GB2312" w:eastAsia="楷体_GB2312"/>
          <w:sz w:val="24"/>
          <w:szCs w:val="24"/>
          <w:vertAlign w:val="superscript"/>
        </w:rPr>
        <w:t>1</w:t>
      </w:r>
      <w:r w:rsidRPr="00222106">
        <w:rPr>
          <w:rFonts w:ascii="Times New Roman" w:hAnsi="Times New Roman" w:cs="Times New Roman"/>
          <w:szCs w:val="21"/>
        </w:rPr>
        <w:t>, LIU Ruizeng</w:t>
      </w:r>
      <w:r w:rsidRPr="00A86C53">
        <w:rPr>
          <w:rFonts w:ascii="楷体_GB2312" w:eastAsia="楷体_GB2312"/>
          <w:sz w:val="24"/>
          <w:szCs w:val="24"/>
          <w:vertAlign w:val="superscript"/>
        </w:rPr>
        <w:t>2</w:t>
      </w:r>
      <w:r w:rsidRPr="00222106">
        <w:rPr>
          <w:rFonts w:ascii="Times New Roman" w:hAnsi="Times New Roman" w:cs="Times New Roman"/>
          <w:szCs w:val="21"/>
        </w:rPr>
        <w:t>, ZHUANG Haotao</w:t>
      </w:r>
      <w:r w:rsidRPr="00A86C53">
        <w:rPr>
          <w:rFonts w:ascii="楷体_GB2312" w:eastAsia="楷体_GB2312"/>
          <w:sz w:val="24"/>
          <w:szCs w:val="24"/>
          <w:vertAlign w:val="superscript"/>
        </w:rPr>
        <w:t>3*</w:t>
      </w:r>
      <w:r w:rsidRPr="00222106">
        <w:rPr>
          <w:rFonts w:ascii="Times New Roman" w:hAnsi="Times New Roman" w:cs="Times New Roman"/>
          <w:szCs w:val="21"/>
        </w:rPr>
        <w:t>, ZHAO Yongli</w:t>
      </w:r>
      <w:r w:rsidRPr="00A86C53">
        <w:rPr>
          <w:rFonts w:ascii="楷体_GB2312" w:eastAsia="楷体_GB2312"/>
          <w:sz w:val="24"/>
          <w:szCs w:val="24"/>
          <w:vertAlign w:val="superscript"/>
        </w:rPr>
        <w:t>3</w:t>
      </w:r>
    </w:p>
    <w:p w:rsidR="00222106" w:rsidRPr="00794CEC" w:rsidRDefault="00222106" w:rsidP="00A86C53">
      <w:pPr>
        <w:jc w:val="center"/>
        <w:rPr>
          <w:rFonts w:ascii="Times New Roman" w:hAnsi="Times New Roman" w:cs="Times New Roman"/>
          <w:sz w:val="15"/>
          <w:szCs w:val="15"/>
        </w:rPr>
      </w:pPr>
      <w:r w:rsidRPr="00794CEC">
        <w:rPr>
          <w:rFonts w:ascii="Times New Roman" w:hAnsi="Times New Roman" w:cs="Times New Roman" w:hint="eastAsia"/>
          <w:sz w:val="15"/>
          <w:szCs w:val="15"/>
        </w:rPr>
        <w:t>（</w:t>
      </w:r>
      <w:r w:rsidRPr="00794CEC">
        <w:rPr>
          <w:rFonts w:ascii="Times New Roman" w:hAnsi="Times New Roman" w:cs="Times New Roman"/>
          <w:sz w:val="15"/>
          <w:szCs w:val="15"/>
        </w:rPr>
        <w:t>1. Electric Power Research Institute, State Grid Ningxia Electric Power Co., Ltd., Yinchuan 750001, China;2. Shizuishan Power Supply Company, State Grid Ningxia Electric Power Co., Ltd., Shizuishan Ningxia 753099, China;3. Beijing University of Posts and Telecommunications, Beijing 100876, China</w:t>
      </w:r>
      <w:r w:rsidRPr="00794CEC">
        <w:rPr>
          <w:rFonts w:ascii="Times New Roman" w:hAnsi="Times New Roman" w:cs="Times New Roman"/>
          <w:sz w:val="15"/>
          <w:szCs w:val="15"/>
        </w:rPr>
        <w:t>）</w:t>
      </w:r>
    </w:p>
    <w:p w:rsidR="00222106" w:rsidRPr="00794CEC" w:rsidRDefault="00222106" w:rsidP="00222106">
      <w:pPr>
        <w:rPr>
          <w:rFonts w:ascii="Times New Roman" w:hAnsi="Times New Roman" w:cs="Times New Roman"/>
          <w:sz w:val="18"/>
          <w:szCs w:val="18"/>
        </w:rPr>
      </w:pPr>
      <w:r w:rsidRPr="00A86C53">
        <w:rPr>
          <w:rFonts w:ascii="Times New Roman" w:hAnsi="Times New Roman" w:cs="Times New Roman" w:hint="eastAsia"/>
          <w:b/>
          <w:sz w:val="18"/>
          <w:szCs w:val="18"/>
        </w:rPr>
        <w:t>Abstract</w:t>
      </w:r>
      <w:r w:rsidRPr="00A86C53">
        <w:rPr>
          <w:rFonts w:ascii="Times New Roman" w:hAnsi="Times New Roman" w:cs="Times New Roman"/>
          <w:b/>
          <w:sz w:val="18"/>
          <w:szCs w:val="18"/>
        </w:rPr>
        <w:t>:</w:t>
      </w:r>
      <w:r w:rsidRPr="00794CEC">
        <w:rPr>
          <w:rFonts w:ascii="Times New Roman" w:hAnsi="Times New Roman" w:cs="Times New Roman"/>
          <w:sz w:val="18"/>
          <w:szCs w:val="18"/>
        </w:rPr>
        <w:t xml:space="preserve"> Aiming at the problem that the risk warning of optical communication network equipment cannot be analyzed manually, a failure prediction algorithm of equipment based on user profile and deep learning algorithm is proposed. Based on data collection and data enhancement, the device health profile is constructed, and the label sequence associated with the equipment failure is extracted from the original data containing dirty data and inconsistent format, and the sequence data is fed into the deep learning model to obtain highly accurate failure prediction results. The simulation results show that this algorithm can construct the equipment health profile based on the original equipment data and train the deep learning model in real time, and obtain the accuracy rate of equipment failure prediction close to 100%. Compared with the algorithm of full label sequence and the algorithm without data enhancement, the proposed algorithm improves the accuracy rate of failure prediction by 7.8% and 3.3%.</w:t>
      </w:r>
    </w:p>
    <w:p w:rsidR="002D03EA" w:rsidRPr="00794CEC" w:rsidRDefault="00222106" w:rsidP="00222106">
      <w:pPr>
        <w:rPr>
          <w:rFonts w:ascii="Times New Roman" w:hAnsi="Times New Roman" w:cs="Times New Roman"/>
          <w:sz w:val="18"/>
          <w:szCs w:val="18"/>
        </w:rPr>
      </w:pPr>
      <w:r w:rsidRPr="00A86C53">
        <w:rPr>
          <w:rFonts w:ascii="Times New Roman" w:hAnsi="Times New Roman" w:cs="Times New Roman"/>
          <w:b/>
          <w:sz w:val="18"/>
          <w:szCs w:val="18"/>
        </w:rPr>
        <w:t>Key words:</w:t>
      </w:r>
      <w:r w:rsidRPr="00794CEC">
        <w:rPr>
          <w:rFonts w:ascii="Times New Roman" w:hAnsi="Times New Roman" w:cs="Times New Roman"/>
          <w:sz w:val="18"/>
          <w:szCs w:val="18"/>
        </w:rPr>
        <w:t xml:space="preserve"> failure prediction; health profiles; optical communication equipment; deep learning</w:t>
      </w:r>
    </w:p>
    <w:p w:rsidR="00222106" w:rsidRDefault="00222106" w:rsidP="00222106">
      <w:pPr>
        <w:rPr>
          <w:rFonts w:ascii="Times New Roman" w:hAnsi="Times New Roman" w:cs="Times New Roman"/>
          <w:szCs w:val="21"/>
        </w:rPr>
      </w:pPr>
    </w:p>
    <w:p w:rsidR="00AB329D" w:rsidRPr="001B2A4A" w:rsidRDefault="00AB329D" w:rsidP="00AB329D">
      <w:pPr>
        <w:rPr>
          <w:rFonts w:ascii="宋体" w:eastAsia="宋体" w:hAnsi="宋体" w:cs="Times New Roman"/>
          <w:b/>
          <w:sz w:val="25"/>
          <w:szCs w:val="21"/>
        </w:rPr>
      </w:pPr>
      <w:r w:rsidRPr="001B2A4A">
        <w:rPr>
          <w:rFonts w:ascii="宋体" w:eastAsia="宋体" w:hAnsi="宋体" w:cs="Times New Roman"/>
          <w:b/>
          <w:sz w:val="25"/>
          <w:szCs w:val="21"/>
        </w:rPr>
        <w:t>0 引言</w:t>
      </w:r>
    </w:p>
    <w:p w:rsidR="00AB329D" w:rsidRPr="00A86C53" w:rsidRDefault="00AB329D" w:rsidP="00AB329D">
      <w:pPr>
        <w:rPr>
          <w:rFonts w:ascii="宋体" w:eastAsia="宋体" w:hAnsi="宋体" w:cs="Times New Roman"/>
          <w:szCs w:val="21"/>
        </w:rPr>
      </w:pPr>
      <w:r w:rsidRPr="00A86C53">
        <w:rPr>
          <w:rFonts w:ascii="宋体" w:eastAsia="宋体" w:hAnsi="宋体" w:cs="Times New Roman" w:hint="eastAsia"/>
          <w:szCs w:val="21"/>
        </w:rPr>
        <w:t xml:space="preserve">　　随着光传输网规模的扩大，传输设备数量快速增长且设备间依赖关系越发错综复杂。设备一旦发生故障，其影响范围将大规模蔓延。为规避风险，基于机器学习的预测算法在网络预警案例中得到了广泛应用。机器学习算法可发现复杂问题的潜在模式并构建较高准确率的事件预测模型</w:t>
      </w:r>
      <w:r w:rsidRPr="001B2A4A">
        <w:rPr>
          <w:rFonts w:ascii="宋体" w:eastAsia="宋体" w:hAnsi="宋体" w:cs="Times New Roman"/>
          <w:szCs w:val="21"/>
          <w:vertAlign w:val="superscript"/>
        </w:rPr>
        <w:t>[1]</w:t>
      </w:r>
      <w:r w:rsidRPr="00A86C53">
        <w:rPr>
          <w:rFonts w:ascii="宋体" w:eastAsia="宋体" w:hAnsi="宋体" w:cs="Times New Roman"/>
          <w:szCs w:val="21"/>
        </w:rPr>
        <w:t>。例如：文献[2]提出基于双指数平滑和支持向量机的波分复用（WDM）故障预测方法；文献[3]提出具备模型预测控制的体系结构以避免光传输系统中的激光故障；文献[4]通过训练高斯过程分类器预测每条光链路的告警概率。由于机器学习模型基于数据构建，数据集质量的好</w:t>
      </w:r>
      <w:r w:rsidRPr="00A86C53">
        <w:rPr>
          <w:rFonts w:ascii="宋体" w:eastAsia="宋体" w:hAnsi="宋体" w:cs="Times New Roman" w:hint="eastAsia"/>
          <w:szCs w:val="21"/>
        </w:rPr>
        <w:t>坏直接影响模型性能（稳定性、准确性等）高低。现在网络所产生的海量数据种类繁多，格式不一，无法进行人工分析</w:t>
      </w:r>
      <w:r w:rsidRPr="001B2A4A">
        <w:rPr>
          <w:rFonts w:ascii="宋体" w:eastAsia="宋体" w:hAnsi="宋体" w:cs="Times New Roman"/>
          <w:szCs w:val="21"/>
          <w:vertAlign w:val="superscript"/>
        </w:rPr>
        <w:t>[5]</w:t>
      </w:r>
      <w:r w:rsidRPr="00A86C53">
        <w:rPr>
          <w:rFonts w:ascii="宋体" w:eastAsia="宋体" w:hAnsi="宋体" w:cs="Times New Roman"/>
          <w:szCs w:val="21"/>
        </w:rPr>
        <w:t>。近年来，用户画像（UP）技术在大数据领域得到了广泛应用</w:t>
      </w:r>
      <w:r w:rsidRPr="001B2A4A">
        <w:rPr>
          <w:rFonts w:ascii="宋体" w:eastAsia="宋体" w:hAnsi="宋体" w:cs="Times New Roman"/>
          <w:szCs w:val="21"/>
          <w:vertAlign w:val="superscript"/>
        </w:rPr>
        <w:t>[6-7]</w:t>
      </w:r>
      <w:r w:rsidRPr="00A86C53">
        <w:rPr>
          <w:rFonts w:ascii="宋体" w:eastAsia="宋体" w:hAnsi="宋体" w:cs="Times New Roman"/>
          <w:szCs w:val="21"/>
        </w:rPr>
        <w:t>，其核心为特征标签集合，即在具体应用场景下根据对象多个特征定义相应标签，并通过特征标</w:t>
      </w:r>
      <w:r w:rsidRPr="00A86C53">
        <w:rPr>
          <w:rFonts w:ascii="宋体" w:eastAsia="宋体" w:hAnsi="宋体" w:cs="Times New Roman"/>
          <w:szCs w:val="21"/>
        </w:rPr>
        <w:lastRenderedPageBreak/>
        <w:t>签制定适用于该场景的策略或方案</w:t>
      </w:r>
      <w:r w:rsidRPr="001B2A4A">
        <w:rPr>
          <w:rFonts w:ascii="宋体" w:eastAsia="宋体" w:hAnsi="宋体" w:cs="Times New Roman"/>
          <w:szCs w:val="21"/>
          <w:vertAlign w:val="superscript"/>
        </w:rPr>
        <w:t>[8-9]</w:t>
      </w:r>
      <w:r w:rsidRPr="00A86C53">
        <w:rPr>
          <w:rFonts w:ascii="宋体" w:eastAsia="宋体" w:hAnsi="宋体" w:cs="Times New Roman"/>
          <w:szCs w:val="21"/>
        </w:rPr>
        <w:t>。</w:t>
      </w:r>
    </w:p>
    <w:p w:rsidR="00AB329D" w:rsidRPr="00A86C53" w:rsidRDefault="00AB329D" w:rsidP="00AB329D">
      <w:pPr>
        <w:rPr>
          <w:rFonts w:ascii="宋体" w:eastAsia="宋体" w:hAnsi="宋体" w:cs="Times New Roman"/>
          <w:szCs w:val="21"/>
        </w:rPr>
      </w:pPr>
      <w:r w:rsidRPr="00A86C53">
        <w:rPr>
          <w:rFonts w:ascii="宋体" w:eastAsia="宋体" w:hAnsi="宋体" w:cs="Times New Roman" w:hint="eastAsia"/>
          <w:szCs w:val="21"/>
        </w:rPr>
        <w:t xml:space="preserve">　　本文提出一种基于光通信设备健康画像的故障预测方法，对设备数据进行处理并生成设备健康画像，用标签序列训练基于深度学习（</w:t>
      </w:r>
      <w:r w:rsidRPr="00A86C53">
        <w:rPr>
          <w:rFonts w:ascii="宋体" w:eastAsia="宋体" w:hAnsi="宋体" w:cs="Times New Roman"/>
          <w:szCs w:val="21"/>
        </w:rPr>
        <w:t>DL）的故障预测模型，获得高准确率模型对现在网络故障进行实时预测。</w:t>
      </w:r>
    </w:p>
    <w:p w:rsidR="00AB329D" w:rsidRPr="00A86C53" w:rsidRDefault="00AB329D" w:rsidP="00AB329D">
      <w:pPr>
        <w:rPr>
          <w:rFonts w:ascii="宋体" w:eastAsia="宋体" w:hAnsi="宋体" w:cs="Times New Roman"/>
          <w:szCs w:val="21"/>
        </w:rPr>
      </w:pPr>
      <w:r w:rsidRPr="00A86C53">
        <w:rPr>
          <w:rFonts w:ascii="宋体" w:eastAsia="宋体" w:hAnsi="宋体" w:cs="Times New Roman" w:hint="eastAsia"/>
          <w:szCs w:val="21"/>
        </w:rPr>
        <w:t xml:space="preserve">　　</w:t>
      </w:r>
    </w:p>
    <w:p w:rsidR="00AB329D" w:rsidRPr="001B2A4A" w:rsidRDefault="00AB329D" w:rsidP="00AB329D">
      <w:pPr>
        <w:rPr>
          <w:rFonts w:ascii="宋体" w:eastAsia="宋体" w:hAnsi="宋体" w:cs="Times New Roman"/>
          <w:b/>
          <w:sz w:val="25"/>
          <w:szCs w:val="21"/>
        </w:rPr>
      </w:pPr>
      <w:r w:rsidRPr="001B2A4A">
        <w:rPr>
          <w:rFonts w:ascii="宋体" w:eastAsia="宋体" w:hAnsi="宋体" w:cs="Times New Roman"/>
          <w:b/>
          <w:sz w:val="25"/>
          <w:szCs w:val="21"/>
        </w:rPr>
        <w:t>1 健康画像构建与故障预测</w:t>
      </w:r>
    </w:p>
    <w:p w:rsidR="00AB329D" w:rsidRPr="001B2A4A" w:rsidRDefault="00AB329D" w:rsidP="00AB329D">
      <w:pPr>
        <w:rPr>
          <w:rFonts w:ascii="宋体" w:eastAsia="宋体" w:hAnsi="宋体" w:cs="Times New Roman"/>
          <w:b/>
          <w:szCs w:val="21"/>
        </w:rPr>
      </w:pPr>
      <w:r w:rsidRPr="001B2A4A">
        <w:rPr>
          <w:rFonts w:ascii="宋体" w:eastAsia="宋体" w:hAnsi="宋体" w:cs="Times New Roman"/>
          <w:b/>
          <w:szCs w:val="21"/>
        </w:rPr>
        <w:t>1.1 DL算法与整体流程</w:t>
      </w:r>
    </w:p>
    <w:p w:rsidR="00AB329D" w:rsidRPr="00A86C53" w:rsidRDefault="00AB329D" w:rsidP="00AB329D">
      <w:pPr>
        <w:rPr>
          <w:rFonts w:ascii="宋体" w:eastAsia="宋体" w:hAnsi="宋体" w:cs="Times New Roman"/>
          <w:szCs w:val="21"/>
        </w:rPr>
      </w:pPr>
      <w:r w:rsidRPr="00A86C53">
        <w:rPr>
          <w:rFonts w:ascii="宋体" w:eastAsia="宋体" w:hAnsi="宋体" w:cs="Times New Roman" w:hint="eastAsia"/>
          <w:szCs w:val="21"/>
        </w:rPr>
        <w:t xml:space="preserve">　　广泛应用于预测方案的模型主要为时间序列分析模型，例如差分整合移动平均自回归（</w:t>
      </w:r>
      <w:r w:rsidRPr="00A86C53">
        <w:rPr>
          <w:rFonts w:ascii="宋体" w:eastAsia="宋体" w:hAnsi="宋体" w:cs="Times New Roman"/>
          <w:szCs w:val="21"/>
        </w:rPr>
        <w:t>ARIMA）模型和深度神经网络（DNN）模型</w:t>
      </w:r>
      <w:r w:rsidRPr="001B2A4A">
        <w:rPr>
          <w:rFonts w:ascii="宋体" w:eastAsia="宋体" w:hAnsi="宋体" w:cs="Times New Roman"/>
          <w:szCs w:val="21"/>
          <w:vertAlign w:val="superscript"/>
        </w:rPr>
        <w:t>[10]</w:t>
      </w:r>
      <w:r w:rsidRPr="00A86C53">
        <w:rPr>
          <w:rFonts w:ascii="宋体" w:eastAsia="宋体" w:hAnsi="宋体" w:cs="Times New Roman"/>
          <w:szCs w:val="21"/>
        </w:rPr>
        <w:t>。这些模型在适当调整参数的情况下所有算法都能实现几乎相同的预测准确率。由于DNN易于部署且性能稳定，因此本文选择DNN对故障做出预测。作为一种经典DL算法，DNN对人脑功能进行简单建模，具有高度的适应性、强大的非线性复杂映射能力以及对大规模并行计算的高性能</w:t>
      </w:r>
      <w:r w:rsidRPr="001B2A4A">
        <w:rPr>
          <w:rFonts w:ascii="宋体" w:eastAsia="宋体" w:hAnsi="宋体" w:cs="Times New Roman"/>
          <w:szCs w:val="21"/>
          <w:vertAlign w:val="superscript"/>
        </w:rPr>
        <w:t>[11]</w:t>
      </w:r>
      <w:r w:rsidRPr="00A86C53">
        <w:rPr>
          <w:rFonts w:ascii="宋体" w:eastAsia="宋体" w:hAnsi="宋体" w:cs="Times New Roman"/>
          <w:szCs w:val="21"/>
        </w:rPr>
        <w:t>。本文采用DNN中最为常用的全连接反向传播神经网络（FCNN）构建预警模型。</w:t>
      </w:r>
    </w:p>
    <w:p w:rsidR="00AB329D" w:rsidRPr="00A86C53" w:rsidRDefault="00AB329D" w:rsidP="00AB329D">
      <w:pPr>
        <w:rPr>
          <w:rFonts w:ascii="宋体" w:eastAsia="宋体" w:hAnsi="宋体" w:cs="Times New Roman"/>
          <w:szCs w:val="21"/>
        </w:rPr>
      </w:pPr>
      <w:r w:rsidRPr="00A86C53">
        <w:rPr>
          <w:rFonts w:ascii="宋体" w:eastAsia="宋体" w:hAnsi="宋体" w:cs="Times New Roman" w:hint="eastAsia"/>
          <w:szCs w:val="21"/>
        </w:rPr>
        <w:t xml:space="preserve">　　</w:t>
      </w:r>
      <w:r w:rsidRPr="00A86C53">
        <w:rPr>
          <w:rFonts w:ascii="宋体" w:eastAsia="宋体" w:hAnsi="宋体" w:cs="Times New Roman"/>
          <w:szCs w:val="21"/>
        </w:rPr>
        <w:t>FCNN具有输入层、隐藏层和输出层。隐藏层越多的FCNN性能越不稳定，容易发生过拟合现象</w:t>
      </w:r>
      <w:r w:rsidRPr="001B2A4A">
        <w:rPr>
          <w:rFonts w:ascii="宋体" w:eastAsia="宋体" w:hAnsi="宋体" w:cs="Times New Roman"/>
          <w:szCs w:val="21"/>
          <w:vertAlign w:val="superscript"/>
        </w:rPr>
        <w:t>[12]</w:t>
      </w:r>
      <w:r w:rsidRPr="00A86C53">
        <w:rPr>
          <w:rFonts w:ascii="宋体" w:eastAsia="宋体" w:hAnsi="宋体" w:cs="Times New Roman"/>
          <w:szCs w:val="21"/>
        </w:rPr>
        <w:t>。每一层神经元包含可调参数的激活函数，用于整合输入值并输出到下一层。全连接指相邻层的所有神经元通过权重值完全连接，以使下一层每个神经元可收集上一层所有神经元输出的全部信息，进而提取出更高等级的信息。因此，FCNN具有强大的能力来查找输入和输出之间的非线性复杂映射。每个神经元中的参数根据损失值以反向传播的方式进行调整，即所有参数的梯度更新是从后层到前层。损失值表示训练集的输出与FCNN模型的输出之间的差异。通过</w:t>
      </w:r>
      <w:r w:rsidRPr="00A86C53">
        <w:rPr>
          <w:rFonts w:ascii="宋体" w:eastAsia="宋体" w:hAnsi="宋体" w:cs="Times New Roman" w:hint="eastAsia"/>
          <w:szCs w:val="21"/>
        </w:rPr>
        <w:t>迭代，</w:t>
      </w:r>
      <w:r w:rsidRPr="00A86C53">
        <w:rPr>
          <w:rFonts w:ascii="宋体" w:eastAsia="宋体" w:hAnsi="宋体" w:cs="Times New Roman"/>
          <w:szCs w:val="21"/>
        </w:rPr>
        <w:t>FCNN可获得稳定而强大的性能，并使预测模型具有较高的准确率和低损失值。</w:t>
      </w:r>
    </w:p>
    <w:p w:rsidR="00AB329D" w:rsidRDefault="00AB329D" w:rsidP="00AB329D">
      <w:pPr>
        <w:rPr>
          <w:rFonts w:ascii="宋体" w:eastAsia="宋体" w:hAnsi="宋体" w:cs="Times New Roman"/>
          <w:szCs w:val="21"/>
        </w:rPr>
      </w:pPr>
      <w:r w:rsidRPr="00A86C53">
        <w:rPr>
          <w:rFonts w:ascii="宋体" w:eastAsia="宋体" w:hAnsi="宋体" w:cs="Times New Roman" w:hint="eastAsia"/>
          <w:szCs w:val="21"/>
        </w:rPr>
        <w:t xml:space="preserve">　　光通信设备故障预测模型整体构建流程如图</w:t>
      </w:r>
      <w:r w:rsidRPr="00A86C53">
        <w:rPr>
          <w:rFonts w:ascii="宋体" w:eastAsia="宋体" w:hAnsi="宋体" w:cs="Times New Roman"/>
          <w:szCs w:val="21"/>
        </w:rPr>
        <w:t>1所示。整个流程主要分为三部分：数据处理、画像构建和故障预测。其中，数据处理包括数据预处理和数据增强；画像构建包括特征标签抽取和健康画像封装；故障预测由FCNN构成。</w:t>
      </w:r>
    </w:p>
    <w:p w:rsidR="0057789D" w:rsidRDefault="0057789D" w:rsidP="0057789D">
      <w:pPr>
        <w:jc w:val="center"/>
        <w:rPr>
          <w:rFonts w:ascii="宋体" w:eastAsia="宋体" w:hAnsi="宋体" w:cs="Times New Roman"/>
          <w:szCs w:val="21"/>
        </w:rPr>
      </w:pPr>
      <w:r>
        <w:rPr>
          <w:rFonts w:ascii="宋体" w:eastAsia="宋体" w:hAnsi="宋体" w:cs="Times New Roman"/>
          <w:noProof/>
          <w:szCs w:val="21"/>
        </w:rPr>
        <w:drawing>
          <wp:inline distT="0" distB="0" distL="0" distR="0">
            <wp:extent cx="4363212" cy="1411224"/>
            <wp:effectExtent l="19050" t="0" r="0" b="0"/>
            <wp:docPr id="2" name="图片 1" descr="王峰绘图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王峰绘图1.jpg"/>
                    <pic:cNvPicPr/>
                  </pic:nvPicPr>
                  <pic:blipFill>
                    <a:blip r:embed="rId7" cstate="print"/>
                    <a:stretch>
                      <a:fillRect/>
                    </a:stretch>
                  </pic:blipFill>
                  <pic:spPr>
                    <a:xfrm>
                      <a:off x="0" y="0"/>
                      <a:ext cx="4363212" cy="1411224"/>
                    </a:xfrm>
                    <a:prstGeom prst="rect">
                      <a:avLst/>
                    </a:prstGeom>
                  </pic:spPr>
                </pic:pic>
              </a:graphicData>
            </a:graphic>
          </wp:inline>
        </w:drawing>
      </w:r>
    </w:p>
    <w:p w:rsidR="0057789D" w:rsidRPr="0057789D" w:rsidRDefault="0057789D" w:rsidP="0057789D">
      <w:pPr>
        <w:jc w:val="center"/>
        <w:rPr>
          <w:rFonts w:ascii="宋体" w:eastAsia="宋体" w:hAnsi="宋体" w:cs="Times New Roman"/>
          <w:b/>
          <w:sz w:val="17"/>
          <w:szCs w:val="21"/>
        </w:rPr>
      </w:pPr>
      <w:r w:rsidRPr="0057789D">
        <w:rPr>
          <w:rFonts w:ascii="宋体" w:eastAsia="宋体" w:hAnsi="宋体" w:cs="Times New Roman" w:hint="eastAsia"/>
          <w:b/>
          <w:sz w:val="17"/>
          <w:szCs w:val="21"/>
        </w:rPr>
        <w:t>图</w:t>
      </w:r>
      <w:r w:rsidRPr="0057789D">
        <w:rPr>
          <w:rFonts w:ascii="宋体" w:eastAsia="宋体" w:hAnsi="宋体" w:cs="Times New Roman"/>
          <w:b/>
          <w:sz w:val="17"/>
          <w:szCs w:val="21"/>
        </w:rPr>
        <w:t>1  基于健康画像的光通信设备故障预测流程</w:t>
      </w:r>
    </w:p>
    <w:p w:rsidR="00AB329D" w:rsidRPr="001B2A4A" w:rsidRDefault="00AB329D" w:rsidP="00AB329D">
      <w:pPr>
        <w:rPr>
          <w:rFonts w:ascii="宋体" w:eastAsia="宋体" w:hAnsi="宋体" w:cs="Times New Roman"/>
          <w:b/>
          <w:szCs w:val="21"/>
        </w:rPr>
      </w:pPr>
      <w:r w:rsidRPr="001B2A4A">
        <w:rPr>
          <w:rFonts w:ascii="宋体" w:eastAsia="宋体" w:hAnsi="宋体" w:cs="Times New Roman"/>
          <w:b/>
          <w:szCs w:val="21"/>
        </w:rPr>
        <w:t>1.2 数据处理</w:t>
      </w:r>
    </w:p>
    <w:p w:rsidR="00AB329D" w:rsidRPr="001B2A4A" w:rsidRDefault="00AB329D" w:rsidP="00AB329D">
      <w:pPr>
        <w:rPr>
          <w:rFonts w:ascii="宋体" w:eastAsia="宋体" w:hAnsi="宋体" w:cs="Times New Roman"/>
          <w:b/>
          <w:szCs w:val="21"/>
        </w:rPr>
      </w:pPr>
      <w:r w:rsidRPr="001B2A4A">
        <w:rPr>
          <w:rFonts w:ascii="宋体" w:eastAsia="宋体" w:hAnsi="宋体" w:cs="Times New Roman"/>
          <w:b/>
          <w:szCs w:val="21"/>
        </w:rPr>
        <w:t>1.2.1 数据采集与预处理</w:t>
      </w:r>
    </w:p>
    <w:p w:rsidR="00AB329D" w:rsidRPr="00A86C53" w:rsidRDefault="00AB329D" w:rsidP="00AB329D">
      <w:pPr>
        <w:rPr>
          <w:rFonts w:ascii="宋体" w:eastAsia="宋体" w:hAnsi="宋体" w:cs="Times New Roman"/>
          <w:szCs w:val="21"/>
        </w:rPr>
      </w:pPr>
      <w:r w:rsidRPr="00A86C53">
        <w:rPr>
          <w:rFonts w:ascii="宋体" w:eastAsia="宋体" w:hAnsi="宋体" w:cs="Times New Roman" w:hint="eastAsia"/>
          <w:szCs w:val="21"/>
        </w:rPr>
        <w:t xml:space="preserve">　　数据采集基于套接字（</w:t>
      </w:r>
      <w:r w:rsidRPr="00A86C53">
        <w:rPr>
          <w:rFonts w:ascii="宋体" w:eastAsia="宋体" w:hAnsi="宋体" w:cs="Times New Roman"/>
          <w:szCs w:val="21"/>
        </w:rPr>
        <w:t>Socket）实现，采集到的数据依据端口映射投放到Kafka组件中对应的topic里。原始数据通常包含许多残缺数据、错误数据和重复数据。对脏数据直接分析将得到不可靠结果，因此数据预处理是必要的步骤。预处理进程直接从Kafka的topic中消费原始数据，数据预处理过程主要包括数据脱敏、数据清洗、数据规约和数据转换4个步骤。数据脱敏是对采集到的原始数据中的敏感信息（业务信息、站点位置和设备名称等保密信息）通过哈希算法进行数据的单向转换，实现敏感隐私数据的可靠保护。数据清理是对脏数据进行冗</w:t>
      </w:r>
      <w:r w:rsidRPr="00A86C53">
        <w:rPr>
          <w:rFonts w:ascii="宋体" w:eastAsia="宋体" w:hAnsi="宋体" w:cs="Times New Roman" w:hint="eastAsia"/>
          <w:szCs w:val="21"/>
        </w:rPr>
        <w:t>余清除、缺失填入和错误消除等处理。数据规约是为了获得一个相当小原始数据集，并保持相似的特征。数据转换包括平滑处理、属性构造、编码、规范化和离散化等。</w:t>
      </w:r>
    </w:p>
    <w:p w:rsidR="00AB329D" w:rsidRPr="001B2A4A" w:rsidRDefault="00AB329D" w:rsidP="00AB329D">
      <w:pPr>
        <w:rPr>
          <w:rFonts w:ascii="宋体" w:eastAsia="宋体" w:hAnsi="宋体" w:cs="Times New Roman"/>
          <w:b/>
          <w:szCs w:val="21"/>
        </w:rPr>
      </w:pPr>
      <w:r w:rsidRPr="001B2A4A">
        <w:rPr>
          <w:rFonts w:ascii="宋体" w:eastAsia="宋体" w:hAnsi="宋体" w:cs="Times New Roman"/>
          <w:b/>
          <w:szCs w:val="21"/>
        </w:rPr>
        <w:t>1.2.2 设备数据增强</w:t>
      </w:r>
    </w:p>
    <w:p w:rsidR="00AB329D" w:rsidRPr="00A86C53" w:rsidRDefault="00AB329D" w:rsidP="00AB329D">
      <w:pPr>
        <w:rPr>
          <w:rFonts w:ascii="宋体" w:eastAsia="宋体" w:hAnsi="宋体" w:cs="Times New Roman"/>
          <w:szCs w:val="21"/>
        </w:rPr>
      </w:pPr>
      <w:r w:rsidRPr="00A86C53">
        <w:rPr>
          <w:rFonts w:ascii="宋体" w:eastAsia="宋体" w:hAnsi="宋体" w:cs="Times New Roman" w:hint="eastAsia"/>
          <w:szCs w:val="21"/>
        </w:rPr>
        <w:t xml:space="preserve">　　数据预处理后，数据量急剧下降，无法支撑健康画像的构建。本文引入了数据增强算法用于扩增设备数据量，提高健康画像精度。针对设备相关数据，如日志数据、性能数据等，目前有</w:t>
      </w:r>
      <w:r w:rsidRPr="00A86C53">
        <w:rPr>
          <w:rFonts w:ascii="宋体" w:eastAsia="宋体" w:hAnsi="宋体" w:cs="Times New Roman"/>
          <w:szCs w:val="21"/>
        </w:rPr>
        <w:t>2种有效的增强算法：</w:t>
      </w:r>
    </w:p>
    <w:p w:rsidR="00AB329D" w:rsidRPr="00A86C53" w:rsidRDefault="00AB329D" w:rsidP="00AB329D">
      <w:pPr>
        <w:rPr>
          <w:rFonts w:ascii="宋体" w:eastAsia="宋体" w:hAnsi="宋体" w:cs="Times New Roman"/>
          <w:szCs w:val="21"/>
        </w:rPr>
      </w:pPr>
      <w:r w:rsidRPr="00A86C53">
        <w:rPr>
          <w:rFonts w:ascii="宋体" w:eastAsia="宋体" w:hAnsi="宋体" w:cs="Times New Roman" w:hint="eastAsia"/>
          <w:szCs w:val="21"/>
        </w:rPr>
        <w:t>①通过手动分析文本数据特性，对突变数据进行值抬升处理，对缓变数据进行噪声叠加处理</w:t>
      </w:r>
      <w:r w:rsidRPr="001B2A4A">
        <w:rPr>
          <w:rFonts w:ascii="宋体" w:eastAsia="宋体" w:hAnsi="宋体" w:cs="Times New Roman"/>
          <w:szCs w:val="21"/>
          <w:vertAlign w:val="superscript"/>
        </w:rPr>
        <w:t>[13]</w:t>
      </w:r>
      <w:r w:rsidRPr="00A86C53">
        <w:rPr>
          <w:rFonts w:ascii="宋体" w:eastAsia="宋体" w:hAnsi="宋体" w:cs="Times New Roman"/>
          <w:szCs w:val="21"/>
        </w:rPr>
        <w:t>；</w:t>
      </w:r>
      <w:r w:rsidRPr="00A86C53">
        <w:rPr>
          <w:rFonts w:ascii="宋体" w:eastAsia="宋体" w:hAnsi="宋体" w:cs="宋体" w:hint="eastAsia"/>
          <w:szCs w:val="21"/>
        </w:rPr>
        <w:t>②</w:t>
      </w:r>
      <w:r w:rsidRPr="00A86C53">
        <w:rPr>
          <w:rFonts w:ascii="宋体" w:eastAsia="宋体" w:hAnsi="宋体" w:cs="Times New Roman"/>
          <w:szCs w:val="21"/>
        </w:rPr>
        <w:t>基于生</w:t>
      </w:r>
      <w:r w:rsidRPr="00A86C53">
        <w:rPr>
          <w:rFonts w:ascii="宋体" w:eastAsia="宋体" w:hAnsi="宋体" w:cs="Times New Roman"/>
          <w:szCs w:val="21"/>
        </w:rPr>
        <w:lastRenderedPageBreak/>
        <w:t>成式对抗网络（GANS）的告警数据增强算法。鉴于第一种算法需要人为操作，无法自动化调控抬升值和噪声的量，极易引入人为干扰因素，因而不作为本文的选择。第二种算法由2个模型组成：判别模型，用于识别样本是否来自真实数据集；生成模型，用于生成与真实数据类似的数据</w:t>
      </w:r>
      <w:r w:rsidRPr="001B2A4A">
        <w:rPr>
          <w:rFonts w:ascii="宋体" w:eastAsia="宋体" w:hAnsi="宋体" w:cs="Times New Roman"/>
          <w:szCs w:val="21"/>
          <w:vertAlign w:val="superscript"/>
        </w:rPr>
        <w:t>[14]</w:t>
      </w:r>
      <w:r w:rsidRPr="00A86C53">
        <w:rPr>
          <w:rFonts w:ascii="宋体" w:eastAsia="宋体" w:hAnsi="宋体" w:cs="Times New Roman"/>
          <w:szCs w:val="21"/>
        </w:rPr>
        <w:t>。这2个模型不断进行博弈式学习，最终得到一个高性能、高可靠的生成模型，用于生成足够量的画像数据。由于第二种算法具有自监督特性，不会引入人为干扰因素，故本</w:t>
      </w:r>
      <w:r w:rsidRPr="00A86C53">
        <w:rPr>
          <w:rFonts w:ascii="宋体" w:eastAsia="宋体" w:hAnsi="宋体" w:cs="Times New Roman" w:hint="eastAsia"/>
          <w:szCs w:val="21"/>
        </w:rPr>
        <w:t>文采用第二种算法进行深度学习数据量的扩充，进而保证光通信设备健康画像的高精度。</w:t>
      </w:r>
    </w:p>
    <w:p w:rsidR="00AB329D" w:rsidRPr="001B2A4A" w:rsidRDefault="00AB329D" w:rsidP="00AB329D">
      <w:pPr>
        <w:rPr>
          <w:rFonts w:ascii="宋体" w:eastAsia="宋体" w:hAnsi="宋体" w:cs="Times New Roman"/>
          <w:b/>
          <w:szCs w:val="21"/>
        </w:rPr>
      </w:pPr>
      <w:r w:rsidRPr="001B2A4A">
        <w:rPr>
          <w:rFonts w:ascii="宋体" w:eastAsia="宋体" w:hAnsi="宋体" w:cs="Times New Roman"/>
          <w:b/>
          <w:szCs w:val="21"/>
        </w:rPr>
        <w:t>1.3 健康画像构建</w:t>
      </w:r>
    </w:p>
    <w:p w:rsidR="00AB329D" w:rsidRPr="00A86C53" w:rsidRDefault="00AB329D" w:rsidP="00AB329D">
      <w:pPr>
        <w:rPr>
          <w:rFonts w:ascii="宋体" w:eastAsia="宋体" w:hAnsi="宋体" w:cs="Times New Roman"/>
          <w:szCs w:val="21"/>
        </w:rPr>
      </w:pPr>
      <w:r w:rsidRPr="00A86C53">
        <w:rPr>
          <w:rFonts w:ascii="宋体" w:eastAsia="宋体" w:hAnsi="宋体" w:cs="Times New Roman" w:hint="eastAsia"/>
          <w:szCs w:val="21"/>
        </w:rPr>
        <w:t xml:space="preserve">　　基于画像技术，本文对反映设备健康状况的运维数据进行挖掘，确定光通信设备健康特征标签并形成健康画像。</w:t>
      </w:r>
    </w:p>
    <w:p w:rsidR="00AB329D" w:rsidRDefault="00AB329D" w:rsidP="00AB329D">
      <w:pPr>
        <w:rPr>
          <w:rFonts w:ascii="宋体" w:eastAsia="宋体" w:hAnsi="宋体" w:cs="Times New Roman"/>
          <w:szCs w:val="21"/>
        </w:rPr>
      </w:pPr>
      <w:r w:rsidRPr="00A86C53">
        <w:rPr>
          <w:rFonts w:ascii="宋体" w:eastAsia="宋体" w:hAnsi="宋体" w:cs="Times New Roman" w:hint="eastAsia"/>
          <w:szCs w:val="21"/>
        </w:rPr>
        <w:t xml:space="preserve">　　标签集合可分为属性集和行为集。属性集表征设备固有特性，如设备信息、功能和级别等。设备属性标签集如图</w:t>
      </w:r>
      <w:r w:rsidRPr="00A86C53">
        <w:rPr>
          <w:rFonts w:ascii="宋体" w:eastAsia="宋体" w:hAnsi="宋体" w:cs="Times New Roman"/>
          <w:szCs w:val="21"/>
        </w:rPr>
        <w:t>2所示，其中基本标签包括设备全局唯一标识码、类型、厂商信息和机房信息等；功能标签对应光通信设备各功能模块，如主控单元、交叉矩阵等功能标签；级别标签对应设备所在网络级别。行为集主要包含行为标签，用于表示设备运行状态，如性能抖动、告警触发等。行为标签是设备运行状态的时序描述，例如用于表征设备某一功能的性能劣化序列。行为标签主要采用关联分析算法进行挖掘。</w:t>
      </w:r>
    </w:p>
    <w:p w:rsidR="0057789D" w:rsidRDefault="0057789D" w:rsidP="0057789D">
      <w:pPr>
        <w:jc w:val="center"/>
        <w:rPr>
          <w:rFonts w:ascii="宋体" w:eastAsia="宋体" w:hAnsi="宋体" w:cs="Times New Roman"/>
          <w:szCs w:val="21"/>
        </w:rPr>
      </w:pPr>
      <w:r>
        <w:rPr>
          <w:rFonts w:ascii="宋体" w:eastAsia="宋体" w:hAnsi="宋体" w:cs="Times New Roman"/>
          <w:noProof/>
          <w:szCs w:val="21"/>
        </w:rPr>
        <w:drawing>
          <wp:inline distT="0" distB="0" distL="0" distR="0">
            <wp:extent cx="2667000" cy="858012"/>
            <wp:effectExtent l="19050" t="0" r="0" b="0"/>
            <wp:docPr id="3" name="图片 2" descr="王峰绘图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王峰绘图2.jpg"/>
                    <pic:cNvPicPr/>
                  </pic:nvPicPr>
                  <pic:blipFill>
                    <a:blip r:embed="rId8" cstate="print"/>
                    <a:stretch>
                      <a:fillRect/>
                    </a:stretch>
                  </pic:blipFill>
                  <pic:spPr>
                    <a:xfrm>
                      <a:off x="0" y="0"/>
                      <a:ext cx="2667000" cy="858012"/>
                    </a:xfrm>
                    <a:prstGeom prst="rect">
                      <a:avLst/>
                    </a:prstGeom>
                  </pic:spPr>
                </pic:pic>
              </a:graphicData>
            </a:graphic>
          </wp:inline>
        </w:drawing>
      </w:r>
    </w:p>
    <w:p w:rsidR="0057789D" w:rsidRPr="0057789D" w:rsidRDefault="0057789D" w:rsidP="0057789D">
      <w:pPr>
        <w:jc w:val="center"/>
        <w:rPr>
          <w:rFonts w:ascii="宋体" w:eastAsia="宋体" w:hAnsi="宋体" w:cs="Times New Roman"/>
          <w:b/>
          <w:sz w:val="17"/>
          <w:szCs w:val="21"/>
        </w:rPr>
      </w:pPr>
      <w:r w:rsidRPr="0057789D">
        <w:rPr>
          <w:rFonts w:ascii="宋体" w:eastAsia="宋体" w:hAnsi="宋体" w:cs="Times New Roman" w:hint="eastAsia"/>
          <w:b/>
          <w:sz w:val="17"/>
          <w:szCs w:val="21"/>
        </w:rPr>
        <w:t>图</w:t>
      </w:r>
      <w:r w:rsidRPr="0057789D">
        <w:rPr>
          <w:rFonts w:ascii="宋体" w:eastAsia="宋体" w:hAnsi="宋体" w:cs="Times New Roman"/>
          <w:b/>
          <w:sz w:val="17"/>
          <w:szCs w:val="21"/>
        </w:rPr>
        <w:t>2  光通信设备属性标签集</w:t>
      </w:r>
    </w:p>
    <w:p w:rsidR="00AB329D" w:rsidRDefault="00AB329D" w:rsidP="00AB329D">
      <w:pPr>
        <w:rPr>
          <w:rFonts w:ascii="宋体" w:eastAsia="宋体" w:hAnsi="宋体" w:cs="Times New Roman"/>
          <w:szCs w:val="21"/>
        </w:rPr>
      </w:pPr>
      <w:r w:rsidRPr="00A86C53">
        <w:rPr>
          <w:rFonts w:ascii="宋体" w:eastAsia="宋体" w:hAnsi="宋体" w:cs="Times New Roman"/>
          <w:szCs w:val="21"/>
        </w:rPr>
        <w:tab/>
        <w:t>设备健康画像构建流程如图3所示，本质上，健康画像的构建是对光通信设备诸多特征标签实施再组合与分类应用，具体构建流程主要包括序列标注、属性标签抽取与整合以及行为序列提取与挖掘。标注系统主要基于聚类算法，即把预处理后的数据进行聚类分析，获得每个标签集合中各标签所有数据，并由经验算法或者人工进行验证；设备属性标签主要以全局唯一标识码作为主要标签，同时通过设备文档资料获取设备详细功能标签信息，如告警信息（网元连接失败、ICMP/SNMP不可达和主备网元发生倒换等），故障信息（板卡故障、设备掉电和网元控制板卡故障等</w:t>
      </w:r>
      <w:r w:rsidRPr="00A86C53">
        <w:rPr>
          <w:rFonts w:ascii="宋体" w:eastAsia="宋体" w:hAnsi="宋体" w:cs="Times New Roman" w:hint="eastAsia"/>
          <w:szCs w:val="21"/>
        </w:rPr>
        <w:t>）和事件相关的设施（光纤、产品编号和用户</w:t>
      </w:r>
      <w:r w:rsidRPr="00A86C53">
        <w:rPr>
          <w:rFonts w:ascii="宋体" w:eastAsia="宋体" w:hAnsi="宋体" w:cs="Times New Roman"/>
          <w:szCs w:val="21"/>
        </w:rPr>
        <w:t>ID）等。设备运行过程中所涉及的各类行为都具有时序性，如一个“功率激增”的告警具有多个时间戳（发生时间、处置时间和恢复时间），因而设备行为标签的提取是在时间维度上进行的。该过程主要采用关联分析算法对性能、告警以及故障进行关联，形成设备行为序列。</w:t>
      </w:r>
    </w:p>
    <w:p w:rsidR="0011538C" w:rsidRDefault="0011538C" w:rsidP="0011538C">
      <w:pPr>
        <w:jc w:val="center"/>
        <w:rPr>
          <w:rFonts w:ascii="宋体" w:eastAsia="宋体" w:hAnsi="宋体" w:cs="Times New Roman"/>
          <w:szCs w:val="21"/>
        </w:rPr>
      </w:pPr>
      <w:r>
        <w:rPr>
          <w:rFonts w:ascii="宋体" w:eastAsia="宋体" w:hAnsi="宋体" w:cs="Times New Roman"/>
          <w:noProof/>
          <w:szCs w:val="21"/>
        </w:rPr>
        <w:drawing>
          <wp:inline distT="0" distB="0" distL="0" distR="0">
            <wp:extent cx="2686812" cy="2438400"/>
            <wp:effectExtent l="19050" t="0" r="0" b="0"/>
            <wp:docPr id="4" name="图片 3" descr="王峰绘图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王峰绘图3.jpg"/>
                    <pic:cNvPicPr/>
                  </pic:nvPicPr>
                  <pic:blipFill>
                    <a:blip r:embed="rId9" cstate="print"/>
                    <a:stretch>
                      <a:fillRect/>
                    </a:stretch>
                  </pic:blipFill>
                  <pic:spPr>
                    <a:xfrm>
                      <a:off x="0" y="0"/>
                      <a:ext cx="2686812" cy="2438400"/>
                    </a:xfrm>
                    <a:prstGeom prst="rect">
                      <a:avLst/>
                    </a:prstGeom>
                  </pic:spPr>
                </pic:pic>
              </a:graphicData>
            </a:graphic>
          </wp:inline>
        </w:drawing>
      </w:r>
    </w:p>
    <w:p w:rsidR="0011538C" w:rsidRPr="0011538C" w:rsidRDefault="0011538C" w:rsidP="0011538C">
      <w:pPr>
        <w:jc w:val="center"/>
        <w:rPr>
          <w:rFonts w:ascii="宋体" w:eastAsia="宋体" w:hAnsi="宋体" w:cs="Times New Roman"/>
          <w:b/>
          <w:sz w:val="17"/>
          <w:szCs w:val="21"/>
        </w:rPr>
      </w:pPr>
      <w:r w:rsidRPr="0011538C">
        <w:rPr>
          <w:rFonts w:ascii="宋体" w:eastAsia="宋体" w:hAnsi="宋体" w:cs="Times New Roman" w:hint="eastAsia"/>
          <w:b/>
          <w:sz w:val="17"/>
          <w:szCs w:val="21"/>
        </w:rPr>
        <w:t>图</w:t>
      </w:r>
      <w:r w:rsidRPr="0011538C">
        <w:rPr>
          <w:rFonts w:ascii="宋体" w:eastAsia="宋体" w:hAnsi="宋体" w:cs="Times New Roman"/>
          <w:b/>
          <w:sz w:val="17"/>
          <w:szCs w:val="21"/>
        </w:rPr>
        <w:t>3  光通信设备健康画像构建流程</w:t>
      </w:r>
    </w:p>
    <w:p w:rsidR="00AB329D" w:rsidRPr="001B2A4A" w:rsidRDefault="00AB329D" w:rsidP="00AB329D">
      <w:pPr>
        <w:rPr>
          <w:rFonts w:ascii="宋体" w:eastAsia="宋体" w:hAnsi="宋体" w:cs="Times New Roman"/>
          <w:b/>
          <w:szCs w:val="21"/>
        </w:rPr>
      </w:pPr>
      <w:r w:rsidRPr="001B2A4A">
        <w:rPr>
          <w:rFonts w:ascii="宋体" w:eastAsia="宋体" w:hAnsi="宋体" w:cs="Times New Roman"/>
          <w:b/>
          <w:szCs w:val="21"/>
        </w:rPr>
        <w:t>1.4 传输设备故障预测模型</w:t>
      </w:r>
    </w:p>
    <w:p w:rsidR="00AB329D" w:rsidRPr="00A86C53" w:rsidRDefault="00AB329D" w:rsidP="00AB329D">
      <w:pPr>
        <w:rPr>
          <w:rFonts w:ascii="宋体" w:eastAsia="宋体" w:hAnsi="宋体" w:cs="Times New Roman"/>
          <w:szCs w:val="21"/>
        </w:rPr>
      </w:pPr>
      <w:r w:rsidRPr="00A86C53">
        <w:rPr>
          <w:rFonts w:ascii="宋体" w:eastAsia="宋体" w:hAnsi="宋体" w:cs="Times New Roman" w:hint="eastAsia"/>
          <w:szCs w:val="21"/>
        </w:rPr>
        <w:lastRenderedPageBreak/>
        <w:t xml:space="preserve">　　采用</w:t>
      </w:r>
      <w:r w:rsidRPr="00A86C53">
        <w:rPr>
          <w:rFonts w:ascii="宋体" w:eastAsia="宋体" w:hAnsi="宋体" w:cs="Times New Roman"/>
          <w:szCs w:val="21"/>
        </w:rPr>
        <w:t>FCNN模型对健康画像中具备时序性的行为序列进行学习，获取设备行为特性。当FCNN模型获得较高准确率（模型预测正确的行为序列数与总行为序列的比值）后，即可高效预判设备的行为信息。经过多次调试，本文采用以下FCNN模型参数：</w:t>
      </w:r>
    </w:p>
    <w:p w:rsidR="00AB329D" w:rsidRPr="00A86C53" w:rsidRDefault="00AB329D" w:rsidP="00AB329D">
      <w:pPr>
        <w:rPr>
          <w:rFonts w:ascii="宋体" w:eastAsia="宋体" w:hAnsi="宋体" w:cs="Times New Roman"/>
          <w:szCs w:val="21"/>
        </w:rPr>
      </w:pPr>
      <w:r w:rsidRPr="00A86C53">
        <w:rPr>
          <w:rFonts w:ascii="宋体" w:eastAsia="宋体" w:hAnsi="宋体" w:cs="Times New Roman" w:hint="eastAsia"/>
          <w:szCs w:val="21"/>
        </w:rPr>
        <w:t xml:space="preserve">　　①层数与神经元个数。通过多次仿真测试，隐藏层过多的</w:t>
      </w:r>
      <w:r w:rsidRPr="00A86C53">
        <w:rPr>
          <w:rFonts w:ascii="宋体" w:eastAsia="宋体" w:hAnsi="宋体" w:cs="Times New Roman"/>
          <w:szCs w:val="21"/>
        </w:rPr>
        <w:t>FCNN训练过程不稳定，倾向于过度拟合。本文总共设置４层，第一层为33个神经元的输入层，中间2层分别是具有64、128个神经元的隐藏层，最后一层为输出层。其中，第一层输入层中第一个神经元接收故障类型数据，其它32个神经元接收故障发生15 min前的32个离散性能序列。</w:t>
      </w:r>
    </w:p>
    <w:p w:rsidR="00AB329D" w:rsidRPr="00A86C53" w:rsidRDefault="00AB329D" w:rsidP="00AB329D">
      <w:pPr>
        <w:rPr>
          <w:rFonts w:ascii="宋体" w:eastAsia="宋体" w:hAnsi="宋体" w:cs="Times New Roman"/>
          <w:szCs w:val="21"/>
        </w:rPr>
      </w:pPr>
      <w:r w:rsidRPr="00A86C53">
        <w:rPr>
          <w:rFonts w:ascii="宋体" w:eastAsia="宋体" w:hAnsi="宋体" w:cs="Times New Roman" w:hint="eastAsia"/>
          <w:szCs w:val="21"/>
        </w:rPr>
        <w:t xml:space="preserve">　　②激活函数和损失函数。采用整流线性单元（</w:t>
      </w:r>
      <w:r w:rsidRPr="00A86C53">
        <w:rPr>
          <w:rFonts w:ascii="宋体" w:eastAsia="宋体" w:hAnsi="宋体" w:cs="Times New Roman"/>
          <w:szCs w:val="21"/>
        </w:rPr>
        <w:t>RLU）作为激活函数，均方差函数（MSE）作为损失函数。</w:t>
      </w:r>
    </w:p>
    <w:p w:rsidR="00AB329D" w:rsidRPr="00A86C53" w:rsidRDefault="00AB329D" w:rsidP="00AB329D">
      <w:pPr>
        <w:rPr>
          <w:rFonts w:ascii="宋体" w:eastAsia="宋体" w:hAnsi="宋体" w:cs="Times New Roman"/>
          <w:szCs w:val="21"/>
        </w:rPr>
      </w:pPr>
      <w:r w:rsidRPr="00A86C53">
        <w:rPr>
          <w:rFonts w:ascii="宋体" w:eastAsia="宋体" w:hAnsi="宋体" w:cs="Times New Roman"/>
          <w:szCs w:val="21"/>
        </w:rPr>
        <w:t xml:space="preserve">      </w:t>
      </w:r>
      <w:r w:rsidRPr="00A86C53">
        <w:rPr>
          <w:rFonts w:ascii="宋体" w:eastAsia="宋体" w:hAnsi="宋体" w:cs="宋体" w:hint="eastAsia"/>
          <w:szCs w:val="21"/>
        </w:rPr>
        <w:t>③</w:t>
      </w:r>
      <w:r w:rsidRPr="00A86C53">
        <w:rPr>
          <w:rFonts w:ascii="宋体" w:eastAsia="宋体" w:hAnsi="宋体" w:cs="Times New Roman"/>
          <w:szCs w:val="21"/>
        </w:rPr>
        <w:t>优化器和学习率。采用Adam优化算法作为优化器，学习率设置为2×10</w:t>
      </w:r>
      <w:r w:rsidRPr="001B2A4A">
        <w:rPr>
          <w:rFonts w:ascii="宋体" w:eastAsia="宋体" w:hAnsi="宋体" w:cs="Times New Roman"/>
          <w:szCs w:val="21"/>
          <w:vertAlign w:val="superscript"/>
        </w:rPr>
        <w:t>-3</w:t>
      </w:r>
      <w:r w:rsidRPr="00A86C53">
        <w:rPr>
          <w:rFonts w:ascii="宋体" w:eastAsia="宋体" w:hAnsi="宋体" w:cs="Times New Roman"/>
          <w:szCs w:val="21"/>
        </w:rPr>
        <w:t>。</w:t>
      </w:r>
    </w:p>
    <w:p w:rsidR="00AB329D" w:rsidRPr="00A86C53" w:rsidRDefault="00AB329D" w:rsidP="00AB329D">
      <w:pPr>
        <w:rPr>
          <w:rFonts w:ascii="宋体" w:eastAsia="宋体" w:hAnsi="宋体" w:cs="Times New Roman"/>
          <w:szCs w:val="21"/>
        </w:rPr>
      </w:pPr>
      <w:r w:rsidRPr="00A86C53">
        <w:rPr>
          <w:rFonts w:ascii="宋体" w:eastAsia="宋体" w:hAnsi="宋体" w:cs="Times New Roman" w:hint="eastAsia"/>
          <w:szCs w:val="21"/>
        </w:rPr>
        <w:t xml:space="preserve">　　</w:t>
      </w:r>
    </w:p>
    <w:p w:rsidR="00AB329D" w:rsidRPr="00A86C53" w:rsidRDefault="00AB329D" w:rsidP="00AB329D">
      <w:pPr>
        <w:rPr>
          <w:rFonts w:ascii="宋体" w:eastAsia="宋体" w:hAnsi="宋体" w:cs="Times New Roman"/>
          <w:szCs w:val="21"/>
        </w:rPr>
      </w:pPr>
      <w:r w:rsidRPr="001B2A4A">
        <w:rPr>
          <w:rFonts w:ascii="宋体" w:eastAsia="宋体" w:hAnsi="宋体" w:cs="Times New Roman"/>
          <w:b/>
          <w:sz w:val="23"/>
          <w:szCs w:val="21"/>
        </w:rPr>
        <w:t>2 仿真与分析</w:t>
      </w:r>
    </w:p>
    <w:p w:rsidR="00AB329D" w:rsidRPr="00A86C53" w:rsidRDefault="00AB329D" w:rsidP="00AB329D">
      <w:pPr>
        <w:rPr>
          <w:rFonts w:ascii="宋体" w:eastAsia="宋体" w:hAnsi="宋体" w:cs="Times New Roman"/>
          <w:szCs w:val="21"/>
        </w:rPr>
      </w:pPr>
      <w:r w:rsidRPr="00A86C53">
        <w:rPr>
          <w:rFonts w:ascii="宋体" w:eastAsia="宋体" w:hAnsi="宋体" w:cs="Times New Roman" w:hint="eastAsia"/>
          <w:szCs w:val="21"/>
        </w:rPr>
        <w:t xml:space="preserve">　　本文所提故障预测方案的实现主要基于</w:t>
      </w:r>
      <w:r w:rsidRPr="00A86C53">
        <w:rPr>
          <w:rFonts w:ascii="宋体" w:eastAsia="宋体" w:hAnsi="宋体" w:cs="Times New Roman"/>
          <w:szCs w:val="21"/>
        </w:rPr>
        <w:t>Spring和TensorFlow，数据采集与处理模块、数据增强模块和画像构建模块由Spring集成管理，预测模块由TensorFlow算法库提供。本次仿真实验通过骨干网采集了覆盖全国20个省的海量设备数据，其中包括几千万组性能数据。</w:t>
      </w:r>
    </w:p>
    <w:p w:rsidR="00AB329D" w:rsidRDefault="00AB329D" w:rsidP="00AB329D">
      <w:pPr>
        <w:rPr>
          <w:rFonts w:ascii="宋体" w:eastAsia="宋体" w:hAnsi="宋体" w:cs="Times New Roman"/>
          <w:szCs w:val="21"/>
        </w:rPr>
      </w:pPr>
      <w:r w:rsidRPr="00A86C53">
        <w:rPr>
          <w:rFonts w:ascii="宋体" w:eastAsia="宋体" w:hAnsi="宋体" w:cs="Times New Roman" w:hint="eastAsia"/>
          <w:szCs w:val="21"/>
        </w:rPr>
        <w:t xml:space="preserve">　　数据经预处理和增强后，本文进行设备健康画像的构建。对其中</w:t>
      </w:r>
      <w:r w:rsidRPr="00A86C53">
        <w:rPr>
          <w:rFonts w:ascii="宋体" w:eastAsia="宋体" w:hAnsi="宋体" w:cs="Times New Roman"/>
          <w:szCs w:val="21"/>
        </w:rPr>
        <w:t>3类属性标签（节点、连接和板卡）和3类行为标签（历史告警、当前告警和性能标签）关系进行可视化，如图4所示。在设备行为标签抽取中，获得7类故障标签：板卡故障、光缆中断、时钟故障、网元控制板卡故障、设备掉电、线路衰耗过大和基础环境劣化。经过行为标签关联分析，获得性能、告警与故障之间的关联关系。一个设备行为的标签关联关系图如图5所示，其中IN_PWR_LOW告警表示输入功率过低。</w:t>
      </w:r>
    </w:p>
    <w:p w:rsidR="0011538C" w:rsidRDefault="0011538C" w:rsidP="0011538C">
      <w:pPr>
        <w:jc w:val="center"/>
        <w:rPr>
          <w:rFonts w:ascii="宋体" w:eastAsia="宋体" w:hAnsi="宋体" w:cs="Times New Roman"/>
          <w:szCs w:val="21"/>
        </w:rPr>
      </w:pPr>
      <w:r>
        <w:rPr>
          <w:rFonts w:ascii="宋体" w:eastAsia="宋体" w:hAnsi="宋体" w:cs="Times New Roman"/>
          <w:noProof/>
          <w:szCs w:val="21"/>
        </w:rPr>
        <w:drawing>
          <wp:inline distT="0" distB="0" distL="0" distR="0">
            <wp:extent cx="3048000" cy="2353056"/>
            <wp:effectExtent l="19050" t="0" r="0" b="0"/>
            <wp:docPr id="5" name="图片 4" descr="王峰绘图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王峰绘图4.jpg"/>
                    <pic:cNvPicPr/>
                  </pic:nvPicPr>
                  <pic:blipFill>
                    <a:blip r:embed="rId10" cstate="print"/>
                    <a:stretch>
                      <a:fillRect/>
                    </a:stretch>
                  </pic:blipFill>
                  <pic:spPr>
                    <a:xfrm>
                      <a:off x="0" y="0"/>
                      <a:ext cx="3048000" cy="2353056"/>
                    </a:xfrm>
                    <a:prstGeom prst="rect">
                      <a:avLst/>
                    </a:prstGeom>
                  </pic:spPr>
                </pic:pic>
              </a:graphicData>
            </a:graphic>
          </wp:inline>
        </w:drawing>
      </w:r>
    </w:p>
    <w:p w:rsidR="0011538C" w:rsidRDefault="0011538C" w:rsidP="0011538C">
      <w:pPr>
        <w:jc w:val="center"/>
        <w:rPr>
          <w:rFonts w:ascii="宋体" w:eastAsia="宋体" w:hAnsi="宋体" w:cs="Times New Roman"/>
          <w:b/>
          <w:sz w:val="17"/>
          <w:szCs w:val="21"/>
        </w:rPr>
      </w:pPr>
      <w:r w:rsidRPr="0011538C">
        <w:rPr>
          <w:rFonts w:ascii="宋体" w:eastAsia="宋体" w:hAnsi="宋体" w:cs="Times New Roman" w:hint="eastAsia"/>
          <w:b/>
          <w:sz w:val="17"/>
          <w:szCs w:val="21"/>
        </w:rPr>
        <w:t>图</w:t>
      </w:r>
      <w:r w:rsidRPr="0011538C">
        <w:rPr>
          <w:rFonts w:ascii="宋体" w:eastAsia="宋体" w:hAnsi="宋体" w:cs="Times New Roman"/>
          <w:b/>
          <w:sz w:val="17"/>
          <w:szCs w:val="21"/>
        </w:rPr>
        <w:t>4  部分设备属性标签与行为标签关系</w:t>
      </w:r>
    </w:p>
    <w:p w:rsidR="008B59AF" w:rsidRDefault="008B59AF" w:rsidP="0011538C">
      <w:pPr>
        <w:jc w:val="center"/>
        <w:rPr>
          <w:rFonts w:ascii="宋体" w:eastAsia="宋体" w:hAnsi="宋体" w:cs="Times New Roman"/>
          <w:b/>
          <w:sz w:val="17"/>
          <w:szCs w:val="21"/>
        </w:rPr>
      </w:pPr>
      <w:r>
        <w:rPr>
          <w:rFonts w:ascii="宋体" w:eastAsia="宋体" w:hAnsi="宋体" w:cs="Times New Roman"/>
          <w:b/>
          <w:noProof/>
          <w:sz w:val="17"/>
          <w:szCs w:val="21"/>
        </w:rPr>
        <w:drawing>
          <wp:inline distT="0" distB="0" distL="0" distR="0">
            <wp:extent cx="2705100" cy="1362456"/>
            <wp:effectExtent l="19050" t="0" r="0" b="0"/>
            <wp:docPr id="6" name="图片 5" descr="王峰绘图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王峰绘图5.jpg"/>
                    <pic:cNvPicPr/>
                  </pic:nvPicPr>
                  <pic:blipFill>
                    <a:blip r:embed="rId11" cstate="print"/>
                    <a:stretch>
                      <a:fillRect/>
                    </a:stretch>
                  </pic:blipFill>
                  <pic:spPr>
                    <a:xfrm>
                      <a:off x="0" y="0"/>
                      <a:ext cx="2705100" cy="1362456"/>
                    </a:xfrm>
                    <a:prstGeom prst="rect">
                      <a:avLst/>
                    </a:prstGeom>
                  </pic:spPr>
                </pic:pic>
              </a:graphicData>
            </a:graphic>
          </wp:inline>
        </w:drawing>
      </w:r>
    </w:p>
    <w:p w:rsidR="008B59AF" w:rsidRPr="008B59AF" w:rsidRDefault="008B59AF" w:rsidP="0011538C">
      <w:pPr>
        <w:jc w:val="center"/>
        <w:rPr>
          <w:rFonts w:ascii="宋体" w:eastAsia="宋体" w:hAnsi="宋体" w:cs="Times New Roman"/>
          <w:b/>
          <w:sz w:val="15"/>
          <w:szCs w:val="21"/>
        </w:rPr>
      </w:pPr>
      <w:r w:rsidRPr="008B59AF">
        <w:rPr>
          <w:rFonts w:ascii="宋体" w:eastAsia="宋体" w:hAnsi="宋体" w:cs="Times New Roman" w:hint="eastAsia"/>
          <w:b/>
          <w:sz w:val="15"/>
          <w:szCs w:val="21"/>
        </w:rPr>
        <w:t>图</w:t>
      </w:r>
      <w:r w:rsidRPr="008B59AF">
        <w:rPr>
          <w:rFonts w:ascii="宋体" w:eastAsia="宋体" w:hAnsi="宋体" w:cs="Times New Roman"/>
          <w:b/>
          <w:sz w:val="15"/>
          <w:szCs w:val="21"/>
        </w:rPr>
        <w:t>5  性能、告警与故障之间的关联图</w:t>
      </w:r>
    </w:p>
    <w:p w:rsidR="00AB329D" w:rsidRDefault="00AB329D" w:rsidP="00AB329D">
      <w:pPr>
        <w:rPr>
          <w:rFonts w:ascii="宋体" w:eastAsia="宋体" w:hAnsi="宋体" w:cs="Times New Roman"/>
          <w:szCs w:val="21"/>
        </w:rPr>
      </w:pPr>
      <w:r w:rsidRPr="00A86C53">
        <w:rPr>
          <w:rFonts w:ascii="宋体" w:eastAsia="宋体" w:hAnsi="宋体" w:cs="Times New Roman" w:hint="eastAsia"/>
          <w:szCs w:val="21"/>
        </w:rPr>
        <w:t xml:space="preserve">　　本文选择时钟故障和线路衰耗过大作为目标故障类型。根据设备健康画像行为标签的关联分析，选定最大光输入功率、泵浦激光工作电流和光输出功率</w:t>
      </w:r>
      <w:r w:rsidRPr="00A86C53">
        <w:rPr>
          <w:rFonts w:ascii="宋体" w:eastAsia="宋体" w:hAnsi="宋体" w:cs="Times New Roman"/>
          <w:szCs w:val="21"/>
        </w:rPr>
        <w:t>3类最大关联度的性能标签作为FCNN的输入。每15 min对采集到的数据进行一次存储，因此设定性能序列的第一个离散数据时间戳为故障发生前15 min。数据预处理后，筛选出58组性能标签序列集，记为原数据</w:t>
      </w:r>
      <w:r w:rsidRPr="00A86C53">
        <w:rPr>
          <w:rFonts w:ascii="宋体" w:eastAsia="宋体" w:hAnsi="宋体" w:cs="Times New Roman" w:hint="eastAsia"/>
          <w:szCs w:val="21"/>
        </w:rPr>
        <w:t>集（</w:t>
      </w:r>
      <w:r w:rsidRPr="00A86C53">
        <w:rPr>
          <w:rFonts w:ascii="宋体" w:eastAsia="宋体" w:hAnsi="宋体" w:cs="Times New Roman"/>
          <w:szCs w:val="21"/>
        </w:rPr>
        <w:t>OD-set）。OD-set中46组作为FCNN训练集，12组</w:t>
      </w:r>
      <w:r w:rsidRPr="00A86C53">
        <w:rPr>
          <w:rFonts w:ascii="宋体" w:eastAsia="宋体" w:hAnsi="宋体" w:cs="Times New Roman"/>
          <w:szCs w:val="21"/>
        </w:rPr>
        <w:lastRenderedPageBreak/>
        <w:t>作为FCNN的测试集。数据增强后数据量扩增至6000组，记为增强数据集（AD-set）。AD-set中设4500组为训练集，1500组为测试集。同时，再选定关联度较低的另外3类性能标签序列，构建具备6个性能特征的数据集，筛选出116组序列组成对比数据集，记为随机数据集（FD-set），如表1所示。为了评估故障预测准确率，本文采用未进行数据增强的故障预测（ODFP）算法和全标签序列的故障预测（FDFP）算法这2种算法为对比基准。本文所提方案基于AD-set，记为数据增强式故障预测（ADFP）算法。</w:t>
      </w:r>
    </w:p>
    <w:p w:rsidR="008B59AF" w:rsidRPr="008B59AF" w:rsidRDefault="008B59AF" w:rsidP="008B59AF">
      <w:pPr>
        <w:jc w:val="center"/>
        <w:rPr>
          <w:rFonts w:ascii="宋体" w:eastAsia="宋体" w:hAnsi="宋体" w:cs="Times New Roman"/>
          <w:b/>
          <w:sz w:val="17"/>
          <w:szCs w:val="21"/>
        </w:rPr>
      </w:pPr>
      <w:r w:rsidRPr="008B59AF">
        <w:rPr>
          <w:rFonts w:ascii="宋体" w:eastAsia="宋体" w:hAnsi="宋体" w:cs="Times New Roman" w:hint="eastAsia"/>
          <w:b/>
          <w:sz w:val="17"/>
          <w:szCs w:val="21"/>
        </w:rPr>
        <w:t>表</w:t>
      </w:r>
      <w:r w:rsidRPr="008B59AF">
        <w:rPr>
          <w:rFonts w:ascii="宋体" w:eastAsia="宋体" w:hAnsi="宋体" w:cs="Times New Roman"/>
          <w:b/>
          <w:sz w:val="17"/>
          <w:szCs w:val="21"/>
        </w:rPr>
        <w:t>1  AD-set、OD-set和FD-set数据量</w:t>
      </w:r>
    </w:p>
    <w:p w:rsidR="008B59AF" w:rsidRPr="008B59AF" w:rsidRDefault="008B59AF" w:rsidP="008B59AF">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251420" cy="1243878"/>
            <wp:effectExtent l="19050" t="0" r="6130" b="0"/>
            <wp:docPr id="7" name="图片 1" descr="C:\Documents and Settings\longyin\Application Data\Tencent\Users\65520456\QQ\WinTemp\RichOle\5N[0D@KH`3Z~96(9ZN9$XN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ongyin\Application Data\Tencent\Users\65520456\QQ\WinTemp\RichOle\5N[0D@KH`3Z~96(9ZN9$XNY.png"/>
                    <pic:cNvPicPr>
                      <a:picLocks noChangeAspect="1" noChangeArrowheads="1"/>
                    </pic:cNvPicPr>
                  </pic:nvPicPr>
                  <pic:blipFill>
                    <a:blip r:embed="rId12"/>
                    <a:srcRect/>
                    <a:stretch>
                      <a:fillRect/>
                    </a:stretch>
                  </pic:blipFill>
                  <pic:spPr bwMode="auto">
                    <a:xfrm>
                      <a:off x="0" y="0"/>
                      <a:ext cx="3251738" cy="1244000"/>
                    </a:xfrm>
                    <a:prstGeom prst="rect">
                      <a:avLst/>
                    </a:prstGeom>
                    <a:noFill/>
                    <a:ln w="9525">
                      <a:noFill/>
                      <a:miter lim="800000"/>
                      <a:headEnd/>
                      <a:tailEnd/>
                    </a:ln>
                  </pic:spPr>
                </pic:pic>
              </a:graphicData>
            </a:graphic>
          </wp:inline>
        </w:drawing>
      </w:r>
    </w:p>
    <w:p w:rsidR="00AB329D" w:rsidRDefault="00AB329D" w:rsidP="00AB329D">
      <w:pPr>
        <w:rPr>
          <w:rFonts w:ascii="宋体" w:eastAsia="宋体" w:hAnsi="宋体" w:cs="Times New Roman"/>
          <w:szCs w:val="21"/>
        </w:rPr>
      </w:pPr>
      <w:r w:rsidRPr="00A86C53">
        <w:rPr>
          <w:rFonts w:ascii="宋体" w:eastAsia="宋体" w:hAnsi="宋体" w:cs="Times New Roman" w:hint="eastAsia"/>
          <w:szCs w:val="21"/>
        </w:rPr>
        <w:t xml:space="preserve">　　根据</w:t>
      </w:r>
      <w:r w:rsidRPr="00A86C53">
        <w:rPr>
          <w:rFonts w:ascii="宋体" w:eastAsia="宋体" w:hAnsi="宋体" w:cs="Times New Roman"/>
          <w:szCs w:val="21"/>
        </w:rPr>
        <w:t>1.4节，配置参数相同的3个FCNN模型并进行模型训练和测试。ODFP、ADFP和FDFP 3种算法准确率对比情况如图6所示。可以看出，随着迭代次数的增加，3条准确率曲线都呈现上升趋势。FCNN模型能够从设备标签数据中学习到设备性能值与故障之间的关系。该模型所学到的规律体现为模型中不断调整的神经元参数，比如权值和偏置。当模型相关指标（例如准确率和损失值值）得到收敛，模型中所有神经元参数的变化趋于稳定，也即所学习到的性能与故障之间的关联关系得到明确。ADFP算法曲线呈现高斜率快收敛的特点，意味着FCNN模型具备最强的学习性能。ADFP算法准确率稳定保持在99.9%左右，ODFP算法准确率收敛于96.6%，而FDFP算法收敛于92.1%。ODFP算法准确率比FDFP算法低了4.5%，说明引入过多无关特征标签会影响模型对性能标签与故障标签之间关联信息的学习。ADFP算法准确率比ODFP算法高出3.3%，说明增强后的数据有助于模型学习到更多关联信息。虽然ADFP算法比FDFP算法仅高出约7.8%，但这部分提升对于大型光传输网及传输设备的稳定运行具有重要意义。ODFP、ADFP和FDFP 3种算法损失值对比如图7所示。3种算法损失值曲线均随着迭代次数的增加而逐渐下降，最终达到收敛，说明3种算法均能从3个训练集中挖掘到信息。FDFP算法的损失值曲线收敛值小于ODFP算法，但FDFP算法准确率却低于ODFP算法，这是因为FDFP算法数据集中引入了无关信息，对模型的学习性能造成影响，即导致过拟合结果。ADFP算法的损失值曲线较为平滑且下降速度最快，最后几乎收敛于0。相较于ODFP算法和FDFP算法，ADFP算法具有最快的收敛速度和学习稳定性。</w:t>
      </w:r>
    </w:p>
    <w:p w:rsidR="009E004E" w:rsidRDefault="00E95AE1" w:rsidP="00E95AE1">
      <w:pPr>
        <w:jc w:val="center"/>
        <w:rPr>
          <w:rFonts w:ascii="宋体" w:eastAsia="宋体" w:hAnsi="宋体" w:cs="Times New Roman"/>
          <w:szCs w:val="21"/>
        </w:rPr>
      </w:pPr>
      <w:r>
        <w:rPr>
          <w:rFonts w:ascii="宋体" w:eastAsia="宋体" w:hAnsi="宋体" w:cs="Times New Roman"/>
          <w:noProof/>
          <w:szCs w:val="21"/>
        </w:rPr>
        <w:drawing>
          <wp:inline distT="0" distB="0" distL="0" distR="0">
            <wp:extent cx="2734056" cy="1866900"/>
            <wp:effectExtent l="19050" t="0" r="9144" b="0"/>
            <wp:docPr id="8" name="图片 7" descr="王峰绘图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王峰绘图6.jpg"/>
                    <pic:cNvPicPr/>
                  </pic:nvPicPr>
                  <pic:blipFill>
                    <a:blip r:embed="rId13" cstate="print"/>
                    <a:stretch>
                      <a:fillRect/>
                    </a:stretch>
                  </pic:blipFill>
                  <pic:spPr>
                    <a:xfrm>
                      <a:off x="0" y="0"/>
                      <a:ext cx="2734056" cy="1866900"/>
                    </a:xfrm>
                    <a:prstGeom prst="rect">
                      <a:avLst/>
                    </a:prstGeom>
                  </pic:spPr>
                </pic:pic>
              </a:graphicData>
            </a:graphic>
          </wp:inline>
        </w:drawing>
      </w:r>
    </w:p>
    <w:p w:rsidR="00E95AE1" w:rsidRPr="00E95AE1" w:rsidRDefault="00E95AE1" w:rsidP="00E95AE1">
      <w:pPr>
        <w:jc w:val="center"/>
        <w:rPr>
          <w:rFonts w:ascii="宋体" w:eastAsia="宋体" w:hAnsi="宋体" w:cs="Times New Roman"/>
          <w:b/>
          <w:sz w:val="17"/>
          <w:szCs w:val="21"/>
        </w:rPr>
      </w:pPr>
      <w:r w:rsidRPr="00E95AE1">
        <w:rPr>
          <w:rFonts w:ascii="宋体" w:eastAsia="宋体" w:hAnsi="宋体" w:cs="Times New Roman" w:hint="eastAsia"/>
          <w:b/>
          <w:sz w:val="17"/>
          <w:szCs w:val="21"/>
        </w:rPr>
        <w:t>图</w:t>
      </w:r>
      <w:r w:rsidRPr="00E95AE1">
        <w:rPr>
          <w:rFonts w:ascii="宋体" w:eastAsia="宋体" w:hAnsi="宋体" w:cs="Times New Roman"/>
          <w:b/>
          <w:sz w:val="17"/>
          <w:szCs w:val="21"/>
        </w:rPr>
        <w:t>6  ODFP、ADFP和FDFP 3种算法准确率对比</w:t>
      </w:r>
    </w:p>
    <w:p w:rsidR="00AB329D" w:rsidRPr="00A86C53" w:rsidRDefault="00AB329D" w:rsidP="00AB329D">
      <w:pPr>
        <w:rPr>
          <w:rFonts w:ascii="宋体" w:eastAsia="宋体" w:hAnsi="宋体" w:cs="Times New Roman"/>
          <w:szCs w:val="21"/>
        </w:rPr>
      </w:pPr>
      <w:r w:rsidRPr="00A86C53">
        <w:rPr>
          <w:rFonts w:ascii="宋体" w:eastAsia="宋体" w:hAnsi="宋体" w:cs="Times New Roman" w:hint="eastAsia"/>
          <w:szCs w:val="21"/>
        </w:rPr>
        <w:t xml:space="preserve">　　从</w:t>
      </w:r>
      <w:r w:rsidRPr="00A86C53">
        <w:rPr>
          <w:rFonts w:ascii="宋体" w:eastAsia="宋体" w:hAnsi="宋体" w:cs="Times New Roman"/>
          <w:szCs w:val="21"/>
        </w:rPr>
        <w:t>ODFP算法和FDPF算法的仿真结果对比中可发现：在设备健康画像构建过程中，设备行为序列得到了有效关联，防止模型出现过拟合现象。相较于ODFP算法，ADFP算法具有高准确率和稳定性，表明数据增强算法改善了数据集的质量，防止模型出现欠拟合现象，这也侧面说明优质的数据在预测模型训练过程中的重要性。</w:t>
      </w:r>
    </w:p>
    <w:p w:rsidR="00AB329D" w:rsidRPr="00A86C53" w:rsidRDefault="00AB329D" w:rsidP="00AB329D">
      <w:pPr>
        <w:rPr>
          <w:rFonts w:ascii="宋体" w:eastAsia="宋体" w:hAnsi="宋体" w:cs="Times New Roman"/>
          <w:szCs w:val="21"/>
        </w:rPr>
      </w:pPr>
    </w:p>
    <w:p w:rsidR="00AB329D" w:rsidRPr="001B2A4A" w:rsidRDefault="00AB329D" w:rsidP="00AB329D">
      <w:pPr>
        <w:rPr>
          <w:rFonts w:ascii="宋体" w:eastAsia="宋体" w:hAnsi="宋体" w:cs="Times New Roman"/>
          <w:b/>
          <w:sz w:val="23"/>
          <w:szCs w:val="21"/>
        </w:rPr>
      </w:pPr>
      <w:r w:rsidRPr="001B2A4A">
        <w:rPr>
          <w:rFonts w:ascii="宋体" w:eastAsia="宋体" w:hAnsi="宋体" w:cs="Times New Roman"/>
          <w:b/>
          <w:sz w:val="23"/>
          <w:szCs w:val="21"/>
        </w:rPr>
        <w:lastRenderedPageBreak/>
        <w:t>3 结束语</w:t>
      </w:r>
    </w:p>
    <w:p w:rsidR="00AB329D" w:rsidRPr="00A86C53" w:rsidRDefault="00AB329D" w:rsidP="00AB329D">
      <w:pPr>
        <w:rPr>
          <w:rFonts w:ascii="宋体" w:eastAsia="宋体" w:hAnsi="宋体" w:cs="Times New Roman"/>
          <w:szCs w:val="21"/>
        </w:rPr>
      </w:pPr>
      <w:r w:rsidRPr="00A86C53">
        <w:rPr>
          <w:rFonts w:ascii="宋体" w:eastAsia="宋体" w:hAnsi="宋体" w:cs="Times New Roman" w:hint="eastAsia"/>
          <w:szCs w:val="21"/>
        </w:rPr>
        <w:t xml:space="preserve">　　本文针对光传输网中设备预警问题，提出了一种基于健康画像的光通信设备故障预测方法，同时采用数据增强算法增量了原始数据集。仿真实验结果表明：与传统</w:t>
      </w:r>
      <w:r w:rsidRPr="00A86C53">
        <w:rPr>
          <w:rFonts w:ascii="宋体" w:eastAsia="宋体" w:hAnsi="宋体" w:cs="Times New Roman"/>
          <w:szCs w:val="21"/>
        </w:rPr>
        <w:t>FCNN预测模型相比，基于健康画像的FCNN预测模型具有100%的故障解决准确率，这有助于获取高准确率的设备预警信息以规避光通信设备运行风险，从而提高光传输网的稳健性。</w:t>
      </w:r>
    </w:p>
    <w:p w:rsidR="00AB329D" w:rsidRPr="00AB329D" w:rsidRDefault="00AB329D" w:rsidP="00AB329D">
      <w:pPr>
        <w:rPr>
          <w:rFonts w:ascii="Times New Roman" w:hAnsi="Times New Roman" w:cs="Times New Roman"/>
          <w:szCs w:val="21"/>
        </w:rPr>
      </w:pPr>
    </w:p>
    <w:p w:rsidR="00AB329D" w:rsidRPr="00AB329D" w:rsidRDefault="00AB329D" w:rsidP="00AB329D">
      <w:pPr>
        <w:rPr>
          <w:rFonts w:ascii="Times New Roman" w:hAnsi="Times New Roman" w:cs="Times New Roman"/>
          <w:szCs w:val="21"/>
        </w:rPr>
      </w:pPr>
      <w:r w:rsidRPr="00AB329D">
        <w:rPr>
          <w:rFonts w:ascii="Times New Roman" w:hAnsi="Times New Roman" w:cs="Times New Roman" w:hint="eastAsia"/>
          <w:szCs w:val="21"/>
        </w:rPr>
        <w:t>参考文献：</w:t>
      </w:r>
    </w:p>
    <w:p w:rsidR="00AB329D" w:rsidRPr="005E223C" w:rsidRDefault="00AB329D" w:rsidP="00AB329D">
      <w:pPr>
        <w:rPr>
          <w:rFonts w:ascii="Times New Roman" w:eastAsia="宋体" w:hAnsi="Times New Roman" w:cs="Times New Roman"/>
          <w:sz w:val="17"/>
          <w:szCs w:val="21"/>
        </w:rPr>
      </w:pPr>
      <w:r w:rsidRPr="005E223C">
        <w:rPr>
          <w:rFonts w:ascii="Times New Roman" w:eastAsia="宋体" w:hAnsi="Times New Roman" w:cs="Times New Roman"/>
          <w:sz w:val="17"/>
          <w:szCs w:val="21"/>
        </w:rPr>
        <w:t>[1] ZHAO Y, YAN B, LI Z, et al. Coordination between control layer AI and on-board AI in optical transport networks[Invited][J]. Journal of Optical Communications and Networking, 2020, 12</w:t>
      </w:r>
      <w:r w:rsidRPr="005E223C">
        <w:rPr>
          <w:rFonts w:ascii="Times New Roman" w:eastAsia="宋体" w:hAnsi="宋体" w:cs="Times New Roman"/>
          <w:sz w:val="17"/>
          <w:szCs w:val="21"/>
        </w:rPr>
        <w:t>（</w:t>
      </w:r>
      <w:r w:rsidRPr="005E223C">
        <w:rPr>
          <w:rFonts w:ascii="Times New Roman" w:eastAsia="宋体" w:hAnsi="Times New Roman" w:cs="Times New Roman"/>
          <w:sz w:val="17"/>
          <w:szCs w:val="21"/>
        </w:rPr>
        <w:t>1</w:t>
      </w:r>
      <w:r w:rsidRPr="005E223C">
        <w:rPr>
          <w:rFonts w:ascii="Times New Roman" w:eastAsia="宋体" w:hAnsi="宋体" w:cs="Times New Roman"/>
          <w:sz w:val="17"/>
          <w:szCs w:val="21"/>
        </w:rPr>
        <w:t>）</w:t>
      </w:r>
      <w:r w:rsidRPr="005E223C">
        <w:rPr>
          <w:rFonts w:ascii="Times New Roman" w:eastAsia="宋体" w:hAnsi="Times New Roman" w:cs="Times New Roman"/>
          <w:sz w:val="17"/>
          <w:szCs w:val="21"/>
        </w:rPr>
        <w:t>: 49-57.</w:t>
      </w:r>
    </w:p>
    <w:p w:rsidR="00AB329D" w:rsidRPr="005E223C" w:rsidRDefault="00AB329D" w:rsidP="00AB329D">
      <w:pPr>
        <w:rPr>
          <w:rFonts w:ascii="Times New Roman" w:eastAsia="宋体" w:hAnsi="Times New Roman" w:cs="Times New Roman"/>
          <w:sz w:val="17"/>
          <w:szCs w:val="21"/>
        </w:rPr>
      </w:pPr>
      <w:r w:rsidRPr="005E223C">
        <w:rPr>
          <w:rFonts w:ascii="Times New Roman" w:eastAsia="宋体" w:hAnsi="Times New Roman" w:cs="Times New Roman"/>
          <w:sz w:val="17"/>
          <w:szCs w:val="21"/>
        </w:rPr>
        <w:t>[2] WANG Z, ZHANG M, WANG D, et al. Failure prediction using machine learning and time series in optical network[J]. Optics Express, 2017, 25</w:t>
      </w:r>
      <w:r w:rsidRPr="005E223C">
        <w:rPr>
          <w:rFonts w:ascii="Times New Roman" w:eastAsia="宋体" w:hAnsi="宋体" w:cs="Times New Roman"/>
          <w:sz w:val="17"/>
          <w:szCs w:val="21"/>
        </w:rPr>
        <w:t>（</w:t>
      </w:r>
      <w:r w:rsidRPr="005E223C">
        <w:rPr>
          <w:rFonts w:ascii="Times New Roman" w:eastAsia="宋体" w:hAnsi="Times New Roman" w:cs="Times New Roman"/>
          <w:sz w:val="17"/>
          <w:szCs w:val="21"/>
        </w:rPr>
        <w:t>16</w:t>
      </w:r>
      <w:r w:rsidRPr="005E223C">
        <w:rPr>
          <w:rFonts w:ascii="Times New Roman" w:eastAsia="宋体" w:hAnsi="宋体" w:cs="Times New Roman"/>
          <w:sz w:val="17"/>
          <w:szCs w:val="21"/>
        </w:rPr>
        <w:t>）</w:t>
      </w:r>
      <w:r w:rsidRPr="005E223C">
        <w:rPr>
          <w:rFonts w:ascii="Times New Roman" w:eastAsia="宋体" w:hAnsi="Times New Roman" w:cs="Times New Roman"/>
          <w:sz w:val="17"/>
          <w:szCs w:val="21"/>
        </w:rPr>
        <w:t>: 18553-18565.</w:t>
      </w:r>
    </w:p>
    <w:p w:rsidR="00AB329D" w:rsidRPr="005E223C" w:rsidRDefault="00AB329D" w:rsidP="00AB329D">
      <w:pPr>
        <w:rPr>
          <w:rFonts w:ascii="Times New Roman" w:eastAsia="宋体" w:hAnsi="Times New Roman" w:cs="Times New Roman"/>
          <w:sz w:val="17"/>
          <w:szCs w:val="21"/>
        </w:rPr>
      </w:pPr>
      <w:r w:rsidRPr="005E223C">
        <w:rPr>
          <w:rFonts w:ascii="Times New Roman" w:eastAsia="宋体" w:hAnsi="Times New Roman" w:cs="Times New Roman"/>
          <w:sz w:val="17"/>
          <w:szCs w:val="21"/>
        </w:rPr>
        <w:t>[3] BARLETTA L, GIUSTI A, ROTTONDI C, et al. QoT estimation for unestablished lighpaths using machine learning[C]// Optical Fiber Communications Conference&amp;Exhibition, March 19-23, 2017, Los Angeles, CA, USA. IEEE, 2017: 1-3.</w:t>
      </w:r>
    </w:p>
    <w:p w:rsidR="00AB329D" w:rsidRPr="005E223C" w:rsidRDefault="00AB329D" w:rsidP="00AB329D">
      <w:pPr>
        <w:rPr>
          <w:rFonts w:ascii="Times New Roman" w:eastAsia="宋体" w:hAnsi="Times New Roman" w:cs="Times New Roman"/>
          <w:sz w:val="17"/>
          <w:szCs w:val="21"/>
        </w:rPr>
      </w:pPr>
      <w:r w:rsidRPr="005E223C">
        <w:rPr>
          <w:rFonts w:ascii="Times New Roman" w:eastAsia="宋体" w:hAnsi="Times New Roman" w:cs="Times New Roman"/>
          <w:sz w:val="17"/>
          <w:szCs w:val="21"/>
        </w:rPr>
        <w:t>[4] PANAYIOTOU T, CHATZIS S P, ELLINAS G. Leveraging statistical machine learning to address failure localization in optical networks[J]. IEEE/</w:t>
      </w:r>
    </w:p>
    <w:p w:rsidR="00AB329D" w:rsidRPr="005E223C" w:rsidRDefault="00AB329D" w:rsidP="00AB329D">
      <w:pPr>
        <w:rPr>
          <w:rFonts w:ascii="Times New Roman" w:eastAsia="宋体" w:hAnsi="Times New Roman" w:cs="Times New Roman"/>
          <w:sz w:val="17"/>
          <w:szCs w:val="21"/>
        </w:rPr>
      </w:pPr>
      <w:r w:rsidRPr="005E223C">
        <w:rPr>
          <w:rFonts w:ascii="Times New Roman" w:eastAsia="宋体" w:hAnsi="Times New Roman" w:cs="Times New Roman"/>
          <w:sz w:val="17"/>
          <w:szCs w:val="21"/>
        </w:rPr>
        <w:t>OSA Journal of Optical Communications and Networking, 2018, 10</w:t>
      </w:r>
      <w:r w:rsidRPr="005E223C">
        <w:rPr>
          <w:rFonts w:ascii="Times New Roman" w:eastAsia="宋体" w:hAnsi="宋体" w:cs="Times New Roman"/>
          <w:sz w:val="17"/>
          <w:szCs w:val="21"/>
        </w:rPr>
        <w:t>（</w:t>
      </w:r>
      <w:r w:rsidRPr="005E223C">
        <w:rPr>
          <w:rFonts w:ascii="Times New Roman" w:eastAsia="宋体" w:hAnsi="Times New Roman" w:cs="Times New Roman"/>
          <w:sz w:val="17"/>
          <w:szCs w:val="21"/>
        </w:rPr>
        <w:t>3</w:t>
      </w:r>
      <w:r w:rsidRPr="005E223C">
        <w:rPr>
          <w:rFonts w:ascii="Times New Roman" w:eastAsia="宋体" w:hAnsi="宋体" w:cs="Times New Roman"/>
          <w:sz w:val="17"/>
          <w:szCs w:val="21"/>
        </w:rPr>
        <w:t>）</w:t>
      </w:r>
      <w:r w:rsidRPr="005E223C">
        <w:rPr>
          <w:rFonts w:ascii="Times New Roman" w:eastAsia="宋体" w:hAnsi="Times New Roman" w:cs="Times New Roman"/>
          <w:sz w:val="17"/>
          <w:szCs w:val="21"/>
        </w:rPr>
        <w:t>: 162-173.</w:t>
      </w:r>
    </w:p>
    <w:p w:rsidR="00AB329D" w:rsidRPr="005E223C" w:rsidRDefault="00AB329D" w:rsidP="00AB329D">
      <w:pPr>
        <w:rPr>
          <w:rFonts w:ascii="Times New Roman" w:eastAsia="宋体" w:hAnsi="Times New Roman" w:cs="Times New Roman"/>
          <w:sz w:val="17"/>
          <w:szCs w:val="21"/>
        </w:rPr>
      </w:pPr>
      <w:r w:rsidRPr="005E223C">
        <w:rPr>
          <w:rFonts w:ascii="Times New Roman" w:eastAsia="宋体" w:hAnsi="Times New Roman" w:cs="Times New Roman"/>
          <w:sz w:val="17"/>
          <w:szCs w:val="21"/>
        </w:rPr>
        <w:t>[5] WANG F, ZHAO Y L, WANG W, et al. Machine learning with service classification for detecting control plane intrusions in software defined optical networks[C]//23rd Opto-Electronics and Communications Conference, July 2-6, 2018, Jeju Island, Korea (South). Piscataway: IEEE, 2019: 1-2.</w:t>
      </w:r>
    </w:p>
    <w:p w:rsidR="00AB329D" w:rsidRPr="005E223C" w:rsidRDefault="00AB329D" w:rsidP="00AB329D">
      <w:pPr>
        <w:rPr>
          <w:rFonts w:ascii="Times New Roman" w:eastAsia="宋体" w:hAnsi="Times New Roman" w:cs="Times New Roman"/>
          <w:sz w:val="17"/>
          <w:szCs w:val="21"/>
        </w:rPr>
      </w:pPr>
      <w:r w:rsidRPr="005E223C">
        <w:rPr>
          <w:rFonts w:ascii="Times New Roman" w:eastAsia="宋体" w:hAnsi="Times New Roman" w:cs="Times New Roman"/>
          <w:sz w:val="17"/>
          <w:szCs w:val="21"/>
        </w:rPr>
        <w:t>[6] LEGG P A, BUCKLEY O, GOLDSMITH M, et al. Automated insider threat detection system using user and role-based profile assessment[J]. IEEE Systems Journal, 2017, 11</w:t>
      </w:r>
      <w:r w:rsidRPr="005E223C">
        <w:rPr>
          <w:rFonts w:ascii="Times New Roman" w:eastAsia="宋体" w:hAnsi="宋体" w:cs="Times New Roman"/>
          <w:sz w:val="17"/>
          <w:szCs w:val="21"/>
        </w:rPr>
        <w:t>（</w:t>
      </w:r>
      <w:r w:rsidRPr="005E223C">
        <w:rPr>
          <w:rFonts w:ascii="Times New Roman" w:eastAsia="宋体" w:hAnsi="Times New Roman" w:cs="Times New Roman"/>
          <w:sz w:val="17"/>
          <w:szCs w:val="21"/>
        </w:rPr>
        <w:t>2</w:t>
      </w:r>
      <w:r w:rsidRPr="005E223C">
        <w:rPr>
          <w:rFonts w:ascii="Times New Roman" w:eastAsia="宋体" w:hAnsi="宋体" w:cs="Times New Roman"/>
          <w:sz w:val="17"/>
          <w:szCs w:val="21"/>
        </w:rPr>
        <w:t>）</w:t>
      </w:r>
      <w:r w:rsidRPr="005E223C">
        <w:rPr>
          <w:rFonts w:ascii="Times New Roman" w:eastAsia="宋体" w:hAnsi="Times New Roman" w:cs="Times New Roman"/>
          <w:sz w:val="17"/>
          <w:szCs w:val="21"/>
        </w:rPr>
        <w:t>: 503-512.</w:t>
      </w:r>
    </w:p>
    <w:p w:rsidR="00AB329D" w:rsidRPr="005E223C" w:rsidRDefault="00AB329D" w:rsidP="00AB329D">
      <w:pPr>
        <w:rPr>
          <w:rFonts w:ascii="Times New Roman" w:eastAsia="宋体" w:hAnsi="Times New Roman" w:cs="Times New Roman"/>
          <w:sz w:val="17"/>
          <w:szCs w:val="21"/>
        </w:rPr>
      </w:pPr>
      <w:r w:rsidRPr="005E223C">
        <w:rPr>
          <w:rFonts w:ascii="Times New Roman" w:eastAsia="宋体" w:hAnsi="Times New Roman" w:cs="Times New Roman"/>
          <w:sz w:val="17"/>
          <w:szCs w:val="21"/>
        </w:rPr>
        <w:t>[7] BHARAT K, LAWRENCE S, SAHAMI M. Generating user information for use in targeted advertising: 9235849[P]. 2016-01-12.</w:t>
      </w:r>
    </w:p>
    <w:p w:rsidR="00AB329D" w:rsidRPr="005E223C" w:rsidRDefault="00AB329D" w:rsidP="00AB329D">
      <w:pPr>
        <w:rPr>
          <w:rFonts w:ascii="Times New Roman" w:eastAsia="宋体" w:hAnsi="Times New Roman" w:cs="Times New Roman"/>
          <w:sz w:val="17"/>
          <w:szCs w:val="21"/>
        </w:rPr>
      </w:pPr>
      <w:r w:rsidRPr="005E223C">
        <w:rPr>
          <w:rFonts w:ascii="Times New Roman" w:eastAsia="宋体" w:hAnsi="Times New Roman" w:cs="Times New Roman"/>
          <w:sz w:val="17"/>
          <w:szCs w:val="21"/>
        </w:rPr>
        <w:t>[8] ELALLIOUI Y, BEQQALI O E. User profile ontology for the personalization approach[J]. International Journal of Computer Applications, 2013, 41</w:t>
      </w:r>
      <w:r w:rsidRPr="005E223C">
        <w:rPr>
          <w:rFonts w:ascii="Times New Roman" w:eastAsia="宋体" w:hAnsi="宋体" w:cs="Times New Roman"/>
          <w:sz w:val="17"/>
          <w:szCs w:val="21"/>
        </w:rPr>
        <w:t>（</w:t>
      </w:r>
      <w:r w:rsidRPr="005E223C">
        <w:rPr>
          <w:rFonts w:ascii="Times New Roman" w:eastAsia="宋体" w:hAnsi="Times New Roman" w:cs="Times New Roman"/>
          <w:sz w:val="17"/>
          <w:szCs w:val="21"/>
        </w:rPr>
        <w:t>4</w:t>
      </w:r>
      <w:r w:rsidRPr="005E223C">
        <w:rPr>
          <w:rFonts w:ascii="Times New Roman" w:eastAsia="宋体" w:hAnsi="宋体" w:cs="Times New Roman"/>
          <w:sz w:val="17"/>
          <w:szCs w:val="21"/>
        </w:rPr>
        <w:t>）</w:t>
      </w:r>
      <w:r w:rsidRPr="005E223C">
        <w:rPr>
          <w:rFonts w:ascii="Times New Roman" w:eastAsia="宋体" w:hAnsi="Times New Roman" w:cs="Times New Roman"/>
          <w:sz w:val="17"/>
          <w:szCs w:val="21"/>
        </w:rPr>
        <w:t>: 31-40.</w:t>
      </w:r>
    </w:p>
    <w:p w:rsidR="00AB329D" w:rsidRPr="005E223C" w:rsidRDefault="00AB329D" w:rsidP="00AB329D">
      <w:pPr>
        <w:rPr>
          <w:rFonts w:ascii="Times New Roman" w:eastAsia="宋体" w:hAnsi="Times New Roman" w:cs="Times New Roman"/>
          <w:sz w:val="17"/>
          <w:szCs w:val="21"/>
        </w:rPr>
      </w:pPr>
      <w:r w:rsidRPr="005E223C">
        <w:rPr>
          <w:rFonts w:ascii="Times New Roman" w:eastAsia="宋体" w:hAnsi="Times New Roman" w:cs="Times New Roman"/>
          <w:sz w:val="17"/>
          <w:szCs w:val="21"/>
        </w:rPr>
        <w:t>[9] OUAFTOUH S, ZELLOU A, IDRI A. User profile model: A user dimension based classification[C]//International Conference on Intelligent Systems: Theories &amp; Applications, October 20-21, 2015, Rabat, Morocco. Piscataway: IEEE, 2015: 1-5.</w:t>
      </w:r>
    </w:p>
    <w:p w:rsidR="00AB329D" w:rsidRPr="005E223C" w:rsidRDefault="00AB329D" w:rsidP="00AB329D">
      <w:pPr>
        <w:rPr>
          <w:rFonts w:ascii="Times New Roman" w:eastAsia="宋体" w:hAnsi="Times New Roman" w:cs="Times New Roman"/>
          <w:sz w:val="17"/>
          <w:szCs w:val="21"/>
        </w:rPr>
      </w:pPr>
      <w:r w:rsidRPr="005E223C">
        <w:rPr>
          <w:rFonts w:ascii="Times New Roman" w:eastAsia="宋体" w:hAnsi="Times New Roman" w:cs="Times New Roman"/>
          <w:sz w:val="17"/>
          <w:szCs w:val="21"/>
        </w:rPr>
        <w:t>[10] WANG L, ZENG Y, CHEN T. Back propagation neural network with adaptive differential evolution algorithm for time series forecasting[J]. Expert Systems with Applications, 2015, 42</w:t>
      </w:r>
      <w:r w:rsidRPr="005E223C">
        <w:rPr>
          <w:rFonts w:ascii="Times New Roman" w:eastAsia="宋体" w:hAnsi="宋体" w:cs="Times New Roman"/>
          <w:sz w:val="17"/>
          <w:szCs w:val="21"/>
        </w:rPr>
        <w:t>（</w:t>
      </w:r>
      <w:r w:rsidRPr="005E223C">
        <w:rPr>
          <w:rFonts w:ascii="Times New Roman" w:eastAsia="宋体" w:hAnsi="Times New Roman" w:cs="Times New Roman"/>
          <w:sz w:val="17"/>
          <w:szCs w:val="21"/>
        </w:rPr>
        <w:t>2</w:t>
      </w:r>
      <w:r w:rsidRPr="005E223C">
        <w:rPr>
          <w:rFonts w:ascii="Times New Roman" w:eastAsia="宋体" w:hAnsi="宋体" w:cs="Times New Roman"/>
          <w:sz w:val="17"/>
          <w:szCs w:val="21"/>
        </w:rPr>
        <w:t>）</w:t>
      </w:r>
      <w:r w:rsidRPr="005E223C">
        <w:rPr>
          <w:rFonts w:ascii="Times New Roman" w:eastAsia="宋体" w:hAnsi="Times New Roman" w:cs="Times New Roman"/>
          <w:sz w:val="17"/>
          <w:szCs w:val="21"/>
        </w:rPr>
        <w:t>: 855-863.</w:t>
      </w:r>
    </w:p>
    <w:p w:rsidR="00AB329D" w:rsidRPr="005E223C" w:rsidRDefault="00AB329D" w:rsidP="00AB329D">
      <w:pPr>
        <w:rPr>
          <w:rFonts w:ascii="Times New Roman" w:eastAsia="宋体" w:hAnsi="Times New Roman" w:cs="Times New Roman"/>
          <w:sz w:val="17"/>
          <w:szCs w:val="21"/>
        </w:rPr>
      </w:pPr>
      <w:r w:rsidRPr="005E223C">
        <w:rPr>
          <w:rFonts w:ascii="Times New Roman" w:eastAsia="宋体" w:hAnsi="Times New Roman" w:cs="Times New Roman"/>
          <w:sz w:val="17"/>
          <w:szCs w:val="21"/>
        </w:rPr>
        <w:t>[11] TICKNOR J L. A bayesian regularized artificial neural network for stock market forecasting[J]. Expert Systems with Applications, 2013, 40</w:t>
      </w:r>
      <w:r w:rsidRPr="005E223C">
        <w:rPr>
          <w:rFonts w:ascii="Times New Roman" w:eastAsia="宋体" w:hAnsi="宋体" w:cs="Times New Roman"/>
          <w:sz w:val="17"/>
          <w:szCs w:val="21"/>
        </w:rPr>
        <w:t>（</w:t>
      </w:r>
      <w:r w:rsidRPr="005E223C">
        <w:rPr>
          <w:rFonts w:ascii="Times New Roman" w:eastAsia="宋体" w:hAnsi="Times New Roman" w:cs="Times New Roman"/>
          <w:sz w:val="17"/>
          <w:szCs w:val="21"/>
        </w:rPr>
        <w:t>14</w:t>
      </w:r>
      <w:r w:rsidRPr="005E223C">
        <w:rPr>
          <w:rFonts w:ascii="Times New Roman" w:eastAsia="宋体" w:hAnsi="宋体" w:cs="Times New Roman"/>
          <w:sz w:val="17"/>
          <w:szCs w:val="21"/>
        </w:rPr>
        <w:t>）</w:t>
      </w:r>
      <w:r w:rsidRPr="005E223C">
        <w:rPr>
          <w:rFonts w:ascii="Times New Roman" w:eastAsia="宋体" w:hAnsi="Times New Roman" w:cs="Times New Roman"/>
          <w:sz w:val="17"/>
          <w:szCs w:val="21"/>
        </w:rPr>
        <w:t>: 5501-5506.</w:t>
      </w:r>
    </w:p>
    <w:p w:rsidR="00AB329D" w:rsidRPr="005E223C" w:rsidRDefault="00AB329D" w:rsidP="00AB329D">
      <w:pPr>
        <w:rPr>
          <w:rFonts w:ascii="Times New Roman" w:eastAsia="宋体" w:hAnsi="Times New Roman" w:cs="Times New Roman"/>
          <w:sz w:val="17"/>
          <w:szCs w:val="21"/>
        </w:rPr>
      </w:pPr>
      <w:r w:rsidRPr="005E223C">
        <w:rPr>
          <w:rFonts w:ascii="Times New Roman" w:eastAsia="宋体" w:hAnsi="Times New Roman" w:cs="Times New Roman"/>
          <w:sz w:val="17"/>
          <w:szCs w:val="21"/>
        </w:rPr>
        <w:t>[12] YAN B, ZHAO Y, RAHMAN S, et al. Dirty-data-based alarm prediction in self-optimizing large-scale optical networks[J]. Optics express, 2019, 27</w:t>
      </w:r>
      <w:r w:rsidRPr="005E223C">
        <w:rPr>
          <w:rFonts w:ascii="Times New Roman" w:eastAsia="宋体" w:hAnsi="宋体" w:cs="Times New Roman"/>
          <w:sz w:val="17"/>
          <w:szCs w:val="21"/>
        </w:rPr>
        <w:t>（</w:t>
      </w:r>
      <w:r w:rsidRPr="005E223C">
        <w:rPr>
          <w:rFonts w:ascii="Times New Roman" w:eastAsia="宋体" w:hAnsi="Times New Roman" w:cs="Times New Roman"/>
          <w:sz w:val="17"/>
          <w:szCs w:val="21"/>
        </w:rPr>
        <w:t>8</w:t>
      </w:r>
      <w:r w:rsidRPr="005E223C">
        <w:rPr>
          <w:rFonts w:ascii="Times New Roman" w:eastAsia="宋体" w:hAnsi="宋体" w:cs="Times New Roman"/>
          <w:sz w:val="17"/>
          <w:szCs w:val="21"/>
        </w:rPr>
        <w:t>）</w:t>
      </w:r>
      <w:r w:rsidRPr="005E223C">
        <w:rPr>
          <w:rFonts w:ascii="Times New Roman" w:eastAsia="宋体" w:hAnsi="Times New Roman" w:cs="Times New Roman"/>
          <w:sz w:val="17"/>
          <w:szCs w:val="21"/>
        </w:rPr>
        <w:t>: 10631-10643.</w:t>
      </w:r>
    </w:p>
    <w:p w:rsidR="00AB329D" w:rsidRPr="005E223C" w:rsidRDefault="00AB329D" w:rsidP="00AB329D">
      <w:pPr>
        <w:rPr>
          <w:rFonts w:ascii="Times New Roman" w:eastAsia="宋体" w:hAnsi="Times New Roman" w:cs="Times New Roman"/>
          <w:sz w:val="17"/>
          <w:szCs w:val="21"/>
        </w:rPr>
      </w:pPr>
      <w:r w:rsidRPr="005E223C">
        <w:rPr>
          <w:rFonts w:ascii="Times New Roman" w:eastAsia="宋体" w:hAnsi="Times New Roman" w:cs="Times New Roman"/>
          <w:sz w:val="17"/>
          <w:szCs w:val="21"/>
        </w:rPr>
        <w:t xml:space="preserve">[13] CUI L, ZHAO Y, YAN B, et al. Deep-learning-based failure prediction with data augmentation in optical transport networks[C]//17th International Conference on Optical Communications and Networks </w:t>
      </w:r>
      <w:r w:rsidRPr="005E223C">
        <w:rPr>
          <w:rFonts w:ascii="Times New Roman" w:eastAsia="宋体" w:hAnsi="宋体" w:cs="Times New Roman"/>
          <w:sz w:val="17"/>
          <w:szCs w:val="21"/>
        </w:rPr>
        <w:t>（</w:t>
      </w:r>
      <w:r w:rsidRPr="005E223C">
        <w:rPr>
          <w:rFonts w:ascii="Times New Roman" w:eastAsia="宋体" w:hAnsi="Times New Roman" w:cs="Times New Roman"/>
          <w:sz w:val="17"/>
          <w:szCs w:val="21"/>
        </w:rPr>
        <w:t>ICOCN2018</w:t>
      </w:r>
      <w:r w:rsidRPr="005E223C">
        <w:rPr>
          <w:rFonts w:ascii="Times New Roman" w:eastAsia="宋体" w:hAnsi="宋体" w:cs="Times New Roman"/>
          <w:sz w:val="17"/>
          <w:szCs w:val="21"/>
        </w:rPr>
        <w:t>）</w:t>
      </w:r>
      <w:r w:rsidRPr="005E223C">
        <w:rPr>
          <w:rFonts w:ascii="Times New Roman" w:eastAsia="宋体" w:hAnsi="Times New Roman" w:cs="Times New Roman"/>
          <w:sz w:val="17"/>
          <w:szCs w:val="21"/>
        </w:rPr>
        <w:t>, November 16-19, 2018, Zhuhai, China. Zhuha: International Society for Optics and Photonics, 2019: 110482-110488.</w:t>
      </w:r>
    </w:p>
    <w:p w:rsidR="00AB329D" w:rsidRPr="005E223C" w:rsidRDefault="00AB329D" w:rsidP="00AB329D">
      <w:pPr>
        <w:rPr>
          <w:rFonts w:ascii="Times New Roman" w:eastAsia="宋体" w:hAnsi="Times New Roman" w:cs="Times New Roman"/>
          <w:sz w:val="17"/>
          <w:szCs w:val="21"/>
        </w:rPr>
      </w:pPr>
      <w:r w:rsidRPr="005E223C">
        <w:rPr>
          <w:rFonts w:ascii="Times New Roman" w:eastAsia="宋体" w:hAnsi="Times New Roman" w:cs="Times New Roman"/>
          <w:sz w:val="17"/>
          <w:szCs w:val="21"/>
        </w:rPr>
        <w:t xml:space="preserve">[14] ZHUANG H, ZHAO Y, YU X, et al. Machine-learning-based alarm prediction with GANs-based self-optimizing data augmentation in large-scale optical transport networks[C]//2020 International Conference on Computing, Networking and Communications </w:t>
      </w:r>
      <w:r w:rsidRPr="005E223C">
        <w:rPr>
          <w:rFonts w:ascii="Times New Roman" w:eastAsia="宋体" w:hAnsi="宋体" w:cs="Times New Roman"/>
          <w:sz w:val="17"/>
          <w:szCs w:val="21"/>
        </w:rPr>
        <w:t>（</w:t>
      </w:r>
      <w:r w:rsidRPr="005E223C">
        <w:rPr>
          <w:rFonts w:ascii="Times New Roman" w:eastAsia="宋体" w:hAnsi="Times New Roman" w:cs="Times New Roman"/>
          <w:sz w:val="17"/>
          <w:szCs w:val="21"/>
        </w:rPr>
        <w:t>ICNC</w:t>
      </w:r>
      <w:r w:rsidRPr="005E223C">
        <w:rPr>
          <w:rFonts w:ascii="Times New Roman" w:eastAsia="宋体" w:hAnsi="宋体" w:cs="Times New Roman"/>
          <w:sz w:val="17"/>
          <w:szCs w:val="21"/>
        </w:rPr>
        <w:t>）</w:t>
      </w:r>
      <w:r w:rsidRPr="005E223C">
        <w:rPr>
          <w:rFonts w:ascii="Times New Roman" w:eastAsia="宋体" w:hAnsi="Times New Roman" w:cs="Times New Roman"/>
          <w:sz w:val="17"/>
          <w:szCs w:val="21"/>
        </w:rPr>
        <w:t>, February 17-20, 2020, Big Island, USA. Piscataway: IEEE, 2020: 294-298.</w:t>
      </w:r>
    </w:p>
    <w:p w:rsidR="00AB329D" w:rsidRPr="005E223C" w:rsidRDefault="00776241" w:rsidP="00222106">
      <w:pPr>
        <w:rPr>
          <w:rFonts w:ascii="Times New Roman" w:hAnsi="Times New Roman" w:cs="Times New Roman"/>
          <w:sz w:val="19"/>
          <w:szCs w:val="21"/>
        </w:rPr>
      </w:pPr>
      <w:r>
        <w:rPr>
          <w:rFonts w:ascii="Times New Roman" w:hAnsi="Times New Roman" w:cs="Times New Roman" w:hint="eastAsia"/>
          <w:sz w:val="19"/>
          <w:szCs w:val="21"/>
        </w:rPr>
        <w:softHyphen/>
      </w:r>
      <w:r>
        <w:rPr>
          <w:rFonts w:ascii="Times New Roman" w:hAnsi="Times New Roman" w:cs="Times New Roman" w:hint="eastAsia"/>
          <w:sz w:val="19"/>
          <w:szCs w:val="21"/>
        </w:rPr>
        <w:softHyphen/>
      </w:r>
    </w:p>
    <w:p w:rsidR="00222106" w:rsidRPr="005E223C" w:rsidRDefault="00222106" w:rsidP="00222106">
      <w:pPr>
        <w:rPr>
          <w:rFonts w:ascii="宋体" w:eastAsia="宋体" w:hAnsi="宋体"/>
          <w:sz w:val="19"/>
        </w:rPr>
      </w:pPr>
      <w:r w:rsidRPr="005E223C">
        <w:rPr>
          <w:rFonts w:ascii="宋体" w:eastAsia="宋体" w:hAnsi="宋体" w:hint="eastAsia"/>
          <w:b/>
          <w:sz w:val="19"/>
        </w:rPr>
        <w:t>收稿日期：</w:t>
      </w:r>
      <w:r w:rsidRPr="005E223C">
        <w:rPr>
          <w:rFonts w:ascii="宋体" w:eastAsia="宋体" w:hAnsi="宋体"/>
          <w:sz w:val="19"/>
        </w:rPr>
        <w:t>2020-11-15。</w:t>
      </w:r>
    </w:p>
    <w:p w:rsidR="00222106" w:rsidRPr="005E223C" w:rsidRDefault="00222106" w:rsidP="00222106">
      <w:pPr>
        <w:rPr>
          <w:rFonts w:ascii="宋体" w:eastAsia="宋体" w:hAnsi="宋体"/>
          <w:sz w:val="19"/>
        </w:rPr>
      </w:pPr>
      <w:r w:rsidRPr="005E223C">
        <w:rPr>
          <w:rFonts w:ascii="宋体" w:eastAsia="宋体" w:hAnsi="宋体" w:hint="eastAsia"/>
          <w:b/>
          <w:sz w:val="19"/>
        </w:rPr>
        <w:t>基金项目：</w:t>
      </w:r>
      <w:r w:rsidRPr="005E223C">
        <w:rPr>
          <w:rFonts w:ascii="宋体" w:eastAsia="宋体" w:hAnsi="宋体"/>
          <w:sz w:val="19"/>
        </w:rPr>
        <w:t>2020年度第二批宁夏自然科学基金项目（2020AAC03487）资助；国网宁夏电力有限公司2020年研究开发项目计划（第一批）（5229DK19004W）资助。</w:t>
      </w:r>
    </w:p>
    <w:p w:rsidR="00222106" w:rsidRPr="00776241" w:rsidRDefault="00222106" w:rsidP="00222106">
      <w:pPr>
        <w:rPr>
          <w:rFonts w:ascii="宋体" w:eastAsia="宋体" w:hAnsi="宋体"/>
          <w:sz w:val="17"/>
          <w:u w:val="single"/>
        </w:rPr>
      </w:pPr>
      <w:r w:rsidRPr="005E223C">
        <w:rPr>
          <w:rFonts w:ascii="宋体" w:eastAsia="宋体" w:hAnsi="宋体" w:hint="eastAsia"/>
          <w:b/>
          <w:sz w:val="19"/>
        </w:rPr>
        <w:t>作者简介：</w:t>
      </w:r>
      <w:r w:rsidRPr="005E223C">
        <w:rPr>
          <w:rFonts w:ascii="宋体" w:eastAsia="宋体" w:hAnsi="宋体" w:hint="eastAsia"/>
          <w:sz w:val="19"/>
        </w:rPr>
        <w:t>王峰（</w:t>
      </w:r>
      <w:r w:rsidRPr="005E223C">
        <w:rPr>
          <w:rFonts w:ascii="宋体" w:eastAsia="宋体" w:hAnsi="宋体"/>
          <w:sz w:val="19"/>
        </w:rPr>
        <w:t>1989—），男，汉族，硕士，高级工程师，曾长期从事电力通信网运行检修、工程建设和技术监督管</w:t>
      </w:r>
      <w:r w:rsidRPr="005E223C">
        <w:rPr>
          <w:rFonts w:ascii="宋体" w:eastAsia="宋体" w:hAnsi="宋体"/>
          <w:sz w:val="19"/>
        </w:rPr>
        <w:lastRenderedPageBreak/>
        <w:t>理工作，主要研究方向为电力信息通信技术、网络与信息安全技术和电力物联</w:t>
      </w:r>
      <w:r w:rsidRPr="00776241">
        <w:rPr>
          <w:rFonts w:ascii="宋体" w:eastAsia="宋体" w:hAnsi="宋体"/>
          <w:sz w:val="19"/>
        </w:rPr>
        <w:t>网等方面。</w:t>
      </w:r>
    </w:p>
    <w:p w:rsidR="00222106" w:rsidRPr="005E223C" w:rsidRDefault="00222106" w:rsidP="00222106">
      <w:pPr>
        <w:rPr>
          <w:rFonts w:ascii="宋体" w:eastAsia="宋体" w:hAnsi="宋体"/>
          <w:sz w:val="19"/>
        </w:rPr>
      </w:pPr>
      <w:r w:rsidRPr="005E223C">
        <w:rPr>
          <w:rFonts w:ascii="宋体" w:eastAsia="宋体" w:hAnsi="宋体"/>
          <w:b/>
          <w:sz w:val="19"/>
        </w:rPr>
        <w:t>*通信作者：</w:t>
      </w:r>
      <w:r w:rsidRPr="005E223C">
        <w:rPr>
          <w:rFonts w:ascii="宋体" w:eastAsia="宋体" w:hAnsi="宋体"/>
          <w:sz w:val="19"/>
        </w:rPr>
        <w:t>庄浩涛（1995—），男，硕士，研究员，主要研究方向为人工智能光网络。</w:t>
      </w:r>
    </w:p>
    <w:sectPr w:rsidR="00222106" w:rsidRPr="005E223C"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0422" w:rsidRDefault="00020422" w:rsidP="00EE1B28">
      <w:r>
        <w:separator/>
      </w:r>
    </w:p>
  </w:endnote>
  <w:endnote w:type="continuationSeparator" w:id="1">
    <w:p w:rsidR="00020422" w:rsidRDefault="00020422" w:rsidP="00EE1B28">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方正黑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0422" w:rsidRDefault="00020422" w:rsidP="00EE1B28">
      <w:r>
        <w:separator/>
      </w:r>
    </w:p>
  </w:footnote>
  <w:footnote w:type="continuationSeparator" w:id="1">
    <w:p w:rsidR="00020422" w:rsidRDefault="00020422" w:rsidP="00EE1B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150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20422"/>
    <w:rsid w:val="00041D1A"/>
    <w:rsid w:val="0006064D"/>
    <w:rsid w:val="000609A2"/>
    <w:rsid w:val="00086D4F"/>
    <w:rsid w:val="000A1621"/>
    <w:rsid w:val="000B0AE0"/>
    <w:rsid w:val="000B7C98"/>
    <w:rsid w:val="000D0A86"/>
    <w:rsid w:val="00102AF0"/>
    <w:rsid w:val="00106D0B"/>
    <w:rsid w:val="0011538C"/>
    <w:rsid w:val="00136BF6"/>
    <w:rsid w:val="0014672F"/>
    <w:rsid w:val="001614C3"/>
    <w:rsid w:val="00192529"/>
    <w:rsid w:val="00192A43"/>
    <w:rsid w:val="00195DBA"/>
    <w:rsid w:val="001B2A4A"/>
    <w:rsid w:val="001D12E9"/>
    <w:rsid w:val="001E1879"/>
    <w:rsid w:val="00222106"/>
    <w:rsid w:val="00285770"/>
    <w:rsid w:val="00295546"/>
    <w:rsid w:val="002D03EA"/>
    <w:rsid w:val="002F40B4"/>
    <w:rsid w:val="002F7C7F"/>
    <w:rsid w:val="00313975"/>
    <w:rsid w:val="0035102A"/>
    <w:rsid w:val="00364F54"/>
    <w:rsid w:val="003B0A47"/>
    <w:rsid w:val="003B4B6A"/>
    <w:rsid w:val="003B7DDA"/>
    <w:rsid w:val="004234F1"/>
    <w:rsid w:val="00424FF6"/>
    <w:rsid w:val="0045630F"/>
    <w:rsid w:val="00493A5F"/>
    <w:rsid w:val="004E1B42"/>
    <w:rsid w:val="00551383"/>
    <w:rsid w:val="00573CF3"/>
    <w:rsid w:val="005777C5"/>
    <w:rsid w:val="0057789D"/>
    <w:rsid w:val="005D6C3C"/>
    <w:rsid w:val="005E223C"/>
    <w:rsid w:val="005E27AA"/>
    <w:rsid w:val="005F670D"/>
    <w:rsid w:val="0060698F"/>
    <w:rsid w:val="0071737F"/>
    <w:rsid w:val="00776241"/>
    <w:rsid w:val="00783DB6"/>
    <w:rsid w:val="00790E37"/>
    <w:rsid w:val="00794CEC"/>
    <w:rsid w:val="007C4108"/>
    <w:rsid w:val="00823199"/>
    <w:rsid w:val="008631AD"/>
    <w:rsid w:val="008B1977"/>
    <w:rsid w:val="008B2711"/>
    <w:rsid w:val="008B59AF"/>
    <w:rsid w:val="008D2B7B"/>
    <w:rsid w:val="008E3F2D"/>
    <w:rsid w:val="008F55BB"/>
    <w:rsid w:val="0093712E"/>
    <w:rsid w:val="009945CF"/>
    <w:rsid w:val="009D3584"/>
    <w:rsid w:val="009E004E"/>
    <w:rsid w:val="00A01200"/>
    <w:rsid w:val="00A1695D"/>
    <w:rsid w:val="00A47234"/>
    <w:rsid w:val="00A63547"/>
    <w:rsid w:val="00A86C53"/>
    <w:rsid w:val="00AB329D"/>
    <w:rsid w:val="00AD5083"/>
    <w:rsid w:val="00B108A6"/>
    <w:rsid w:val="00B36107"/>
    <w:rsid w:val="00B52D49"/>
    <w:rsid w:val="00C21068"/>
    <w:rsid w:val="00C36322"/>
    <w:rsid w:val="00CA716E"/>
    <w:rsid w:val="00CB0BBB"/>
    <w:rsid w:val="00CC5438"/>
    <w:rsid w:val="00CD6BF0"/>
    <w:rsid w:val="00D04DFE"/>
    <w:rsid w:val="00D10746"/>
    <w:rsid w:val="00D45FE7"/>
    <w:rsid w:val="00E604D1"/>
    <w:rsid w:val="00E60C15"/>
    <w:rsid w:val="00E64E9C"/>
    <w:rsid w:val="00E95AE1"/>
    <w:rsid w:val="00EB687C"/>
    <w:rsid w:val="00EE1B28"/>
    <w:rsid w:val="00F142B0"/>
    <w:rsid w:val="00F50F1B"/>
    <w:rsid w:val="00F66D8A"/>
    <w:rsid w:val="00FB3028"/>
    <w:rsid w:val="00FE17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D8A"/>
    <w:pPr>
      <w:widowControl w:val="0"/>
      <w:jc w:val="both"/>
    </w:pPr>
  </w:style>
  <w:style w:type="paragraph" w:styleId="1">
    <w:name w:val="heading 1"/>
    <w:basedOn w:val="a"/>
    <w:link w:val="1Char"/>
    <w:uiPriority w:val="9"/>
    <w:qFormat/>
    <w:rsid w:val="00E64E9C"/>
    <w:pPr>
      <w:widowControl/>
      <w:spacing w:before="100" w:beforeAutospacing="1" w:after="100" w:afterAutospacing="1"/>
      <w:jc w:val="left"/>
      <w:outlineLvl w:val="0"/>
    </w:pPr>
    <w:rPr>
      <w:rFonts w:ascii="宋体" w:eastAsia="宋体" w:hAnsi="宋体" w:cs="宋体"/>
      <w:b/>
      <w:bCs/>
      <w:kern w:val="36"/>
      <w:sz w:val="48"/>
      <w:szCs w:val="48"/>
    </w:rPr>
  </w:style>
  <w:style w:type="paragraph" w:styleId="3">
    <w:name w:val="heading 3"/>
    <w:basedOn w:val="a"/>
    <w:link w:val="3Char"/>
    <w:uiPriority w:val="9"/>
    <w:qFormat/>
    <w:rsid w:val="00E64E9C"/>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EE1B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EE1B28"/>
    <w:rPr>
      <w:sz w:val="18"/>
      <w:szCs w:val="18"/>
    </w:rPr>
  </w:style>
  <w:style w:type="paragraph" w:styleId="a5">
    <w:name w:val="footer"/>
    <w:basedOn w:val="a"/>
    <w:link w:val="Char0"/>
    <w:uiPriority w:val="99"/>
    <w:semiHidden/>
    <w:unhideWhenUsed/>
    <w:rsid w:val="00EE1B28"/>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EE1B28"/>
    <w:rPr>
      <w:sz w:val="18"/>
      <w:szCs w:val="18"/>
    </w:rPr>
  </w:style>
  <w:style w:type="paragraph" w:styleId="a6">
    <w:name w:val="Balloon Text"/>
    <w:basedOn w:val="a"/>
    <w:link w:val="Char1"/>
    <w:uiPriority w:val="99"/>
    <w:semiHidden/>
    <w:unhideWhenUsed/>
    <w:rsid w:val="00823199"/>
    <w:rPr>
      <w:sz w:val="18"/>
      <w:szCs w:val="18"/>
    </w:rPr>
  </w:style>
  <w:style w:type="character" w:customStyle="1" w:styleId="Char1">
    <w:name w:val="批注框文本 Char"/>
    <w:basedOn w:val="a0"/>
    <w:link w:val="a6"/>
    <w:uiPriority w:val="99"/>
    <w:semiHidden/>
    <w:rsid w:val="00823199"/>
    <w:rPr>
      <w:sz w:val="18"/>
      <w:szCs w:val="18"/>
    </w:rPr>
  </w:style>
  <w:style w:type="character" w:customStyle="1" w:styleId="1Char">
    <w:name w:val="标题 1 Char"/>
    <w:basedOn w:val="a0"/>
    <w:link w:val="1"/>
    <w:uiPriority w:val="9"/>
    <w:rsid w:val="00E64E9C"/>
    <w:rPr>
      <w:rFonts w:ascii="宋体" w:eastAsia="宋体" w:hAnsi="宋体" w:cs="宋体"/>
      <w:b/>
      <w:bCs/>
      <w:kern w:val="36"/>
      <w:sz w:val="48"/>
      <w:szCs w:val="48"/>
    </w:rPr>
  </w:style>
  <w:style w:type="character" w:customStyle="1" w:styleId="3Char">
    <w:name w:val="标题 3 Char"/>
    <w:basedOn w:val="a0"/>
    <w:link w:val="3"/>
    <w:uiPriority w:val="9"/>
    <w:rsid w:val="00E64E9C"/>
    <w:rPr>
      <w:rFonts w:ascii="宋体" w:eastAsia="宋体" w:hAnsi="宋体" w:cs="宋体"/>
      <w:b/>
      <w:bCs/>
      <w:kern w:val="0"/>
      <w:sz w:val="27"/>
      <w:szCs w:val="27"/>
    </w:rPr>
  </w:style>
  <w:style w:type="paragraph" w:styleId="a7">
    <w:name w:val="Normal (Web)"/>
    <w:basedOn w:val="a"/>
    <w:uiPriority w:val="99"/>
    <w:unhideWhenUsed/>
    <w:rsid w:val="00E64E9C"/>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E64E9C"/>
  </w:style>
  <w:style w:type="character" w:styleId="a8">
    <w:name w:val="Hyperlink"/>
    <w:basedOn w:val="a0"/>
    <w:uiPriority w:val="99"/>
    <w:semiHidden/>
    <w:unhideWhenUsed/>
    <w:rsid w:val="00E64E9C"/>
    <w:rPr>
      <w:color w:val="0000FF"/>
      <w:u w:val="single"/>
    </w:rPr>
  </w:style>
  <w:style w:type="character" w:styleId="a9">
    <w:name w:val="Strong"/>
    <w:basedOn w:val="a0"/>
    <w:uiPriority w:val="22"/>
    <w:qFormat/>
    <w:rsid w:val="00E64E9C"/>
    <w:rPr>
      <w:b/>
      <w:bCs/>
    </w:rPr>
  </w:style>
</w:styles>
</file>

<file path=word/webSettings.xml><?xml version="1.0" encoding="utf-8"?>
<w:webSettings xmlns:r="http://schemas.openxmlformats.org/officeDocument/2006/relationships" xmlns:w="http://schemas.openxmlformats.org/wordprocessingml/2006/main">
  <w:divs>
    <w:div w:id="149369890">
      <w:bodyDiv w:val="1"/>
      <w:marLeft w:val="0"/>
      <w:marRight w:val="0"/>
      <w:marTop w:val="0"/>
      <w:marBottom w:val="0"/>
      <w:divBdr>
        <w:top w:val="none" w:sz="0" w:space="0" w:color="auto"/>
        <w:left w:val="none" w:sz="0" w:space="0" w:color="auto"/>
        <w:bottom w:val="none" w:sz="0" w:space="0" w:color="auto"/>
        <w:right w:val="none" w:sz="0" w:space="0" w:color="auto"/>
      </w:divBdr>
      <w:divsChild>
        <w:div w:id="1626307519">
          <w:marLeft w:val="0"/>
          <w:marRight w:val="0"/>
          <w:marTop w:val="0"/>
          <w:marBottom w:val="0"/>
          <w:divBdr>
            <w:top w:val="none" w:sz="0" w:space="0" w:color="auto"/>
            <w:left w:val="none" w:sz="0" w:space="0" w:color="auto"/>
            <w:bottom w:val="none" w:sz="0" w:space="0" w:color="auto"/>
            <w:right w:val="none" w:sz="0" w:space="0" w:color="auto"/>
          </w:divBdr>
        </w:div>
      </w:divsChild>
    </w:div>
    <w:div w:id="361789947">
      <w:bodyDiv w:val="1"/>
      <w:marLeft w:val="0"/>
      <w:marRight w:val="0"/>
      <w:marTop w:val="0"/>
      <w:marBottom w:val="0"/>
      <w:divBdr>
        <w:top w:val="none" w:sz="0" w:space="0" w:color="auto"/>
        <w:left w:val="none" w:sz="0" w:space="0" w:color="auto"/>
        <w:bottom w:val="none" w:sz="0" w:space="0" w:color="auto"/>
        <w:right w:val="none" w:sz="0" w:space="0" w:color="auto"/>
      </w:divBdr>
      <w:divsChild>
        <w:div w:id="622662731">
          <w:marLeft w:val="0"/>
          <w:marRight w:val="0"/>
          <w:marTop w:val="0"/>
          <w:marBottom w:val="0"/>
          <w:divBdr>
            <w:top w:val="none" w:sz="0" w:space="0" w:color="auto"/>
            <w:left w:val="none" w:sz="0" w:space="0" w:color="auto"/>
            <w:bottom w:val="none" w:sz="0" w:space="0" w:color="auto"/>
            <w:right w:val="none" w:sz="0" w:space="0" w:color="auto"/>
          </w:divBdr>
        </w:div>
      </w:divsChild>
    </w:div>
    <w:div w:id="403840891">
      <w:bodyDiv w:val="1"/>
      <w:marLeft w:val="0"/>
      <w:marRight w:val="0"/>
      <w:marTop w:val="0"/>
      <w:marBottom w:val="0"/>
      <w:divBdr>
        <w:top w:val="none" w:sz="0" w:space="0" w:color="auto"/>
        <w:left w:val="none" w:sz="0" w:space="0" w:color="auto"/>
        <w:bottom w:val="none" w:sz="0" w:space="0" w:color="auto"/>
        <w:right w:val="none" w:sz="0" w:space="0" w:color="auto"/>
      </w:divBdr>
      <w:divsChild>
        <w:div w:id="1286811465">
          <w:marLeft w:val="0"/>
          <w:marRight w:val="0"/>
          <w:marTop w:val="0"/>
          <w:marBottom w:val="0"/>
          <w:divBdr>
            <w:top w:val="none" w:sz="0" w:space="0" w:color="auto"/>
            <w:left w:val="none" w:sz="0" w:space="0" w:color="auto"/>
            <w:bottom w:val="none" w:sz="0" w:space="0" w:color="auto"/>
            <w:right w:val="none" w:sz="0" w:space="0" w:color="auto"/>
          </w:divBdr>
        </w:div>
      </w:divsChild>
    </w:div>
    <w:div w:id="448671420">
      <w:bodyDiv w:val="1"/>
      <w:marLeft w:val="0"/>
      <w:marRight w:val="0"/>
      <w:marTop w:val="0"/>
      <w:marBottom w:val="0"/>
      <w:divBdr>
        <w:top w:val="none" w:sz="0" w:space="0" w:color="auto"/>
        <w:left w:val="none" w:sz="0" w:space="0" w:color="auto"/>
        <w:bottom w:val="none" w:sz="0" w:space="0" w:color="auto"/>
        <w:right w:val="none" w:sz="0" w:space="0" w:color="auto"/>
      </w:divBdr>
      <w:divsChild>
        <w:div w:id="1320304311">
          <w:marLeft w:val="0"/>
          <w:marRight w:val="0"/>
          <w:marTop w:val="0"/>
          <w:marBottom w:val="0"/>
          <w:divBdr>
            <w:top w:val="none" w:sz="0" w:space="0" w:color="auto"/>
            <w:left w:val="none" w:sz="0" w:space="0" w:color="auto"/>
            <w:bottom w:val="none" w:sz="0" w:space="0" w:color="auto"/>
            <w:right w:val="none" w:sz="0" w:space="0" w:color="auto"/>
          </w:divBdr>
        </w:div>
      </w:divsChild>
    </w:div>
    <w:div w:id="485829175">
      <w:bodyDiv w:val="1"/>
      <w:marLeft w:val="0"/>
      <w:marRight w:val="0"/>
      <w:marTop w:val="0"/>
      <w:marBottom w:val="0"/>
      <w:divBdr>
        <w:top w:val="none" w:sz="0" w:space="0" w:color="auto"/>
        <w:left w:val="none" w:sz="0" w:space="0" w:color="auto"/>
        <w:bottom w:val="none" w:sz="0" w:space="0" w:color="auto"/>
        <w:right w:val="none" w:sz="0" w:space="0" w:color="auto"/>
      </w:divBdr>
      <w:divsChild>
        <w:div w:id="756707166">
          <w:marLeft w:val="0"/>
          <w:marRight w:val="0"/>
          <w:marTop w:val="0"/>
          <w:marBottom w:val="0"/>
          <w:divBdr>
            <w:top w:val="none" w:sz="0" w:space="0" w:color="auto"/>
            <w:left w:val="none" w:sz="0" w:space="0" w:color="auto"/>
            <w:bottom w:val="none" w:sz="0" w:space="0" w:color="auto"/>
            <w:right w:val="none" w:sz="0" w:space="0" w:color="auto"/>
          </w:divBdr>
        </w:div>
      </w:divsChild>
    </w:div>
    <w:div w:id="668559570">
      <w:bodyDiv w:val="1"/>
      <w:marLeft w:val="0"/>
      <w:marRight w:val="0"/>
      <w:marTop w:val="0"/>
      <w:marBottom w:val="0"/>
      <w:divBdr>
        <w:top w:val="none" w:sz="0" w:space="0" w:color="auto"/>
        <w:left w:val="none" w:sz="0" w:space="0" w:color="auto"/>
        <w:bottom w:val="none" w:sz="0" w:space="0" w:color="auto"/>
        <w:right w:val="none" w:sz="0" w:space="0" w:color="auto"/>
      </w:divBdr>
      <w:divsChild>
        <w:div w:id="1815365748">
          <w:marLeft w:val="0"/>
          <w:marRight w:val="0"/>
          <w:marTop w:val="0"/>
          <w:marBottom w:val="0"/>
          <w:divBdr>
            <w:top w:val="none" w:sz="0" w:space="0" w:color="auto"/>
            <w:left w:val="none" w:sz="0" w:space="0" w:color="auto"/>
            <w:bottom w:val="none" w:sz="0" w:space="0" w:color="auto"/>
            <w:right w:val="none" w:sz="0" w:space="0" w:color="auto"/>
          </w:divBdr>
        </w:div>
      </w:divsChild>
    </w:div>
    <w:div w:id="783963249">
      <w:bodyDiv w:val="1"/>
      <w:marLeft w:val="0"/>
      <w:marRight w:val="0"/>
      <w:marTop w:val="0"/>
      <w:marBottom w:val="0"/>
      <w:divBdr>
        <w:top w:val="none" w:sz="0" w:space="0" w:color="auto"/>
        <w:left w:val="none" w:sz="0" w:space="0" w:color="auto"/>
        <w:bottom w:val="none" w:sz="0" w:space="0" w:color="auto"/>
        <w:right w:val="none" w:sz="0" w:space="0" w:color="auto"/>
      </w:divBdr>
      <w:divsChild>
        <w:div w:id="1750418211">
          <w:marLeft w:val="0"/>
          <w:marRight w:val="0"/>
          <w:marTop w:val="0"/>
          <w:marBottom w:val="0"/>
          <w:divBdr>
            <w:top w:val="none" w:sz="0" w:space="0" w:color="auto"/>
            <w:left w:val="none" w:sz="0" w:space="0" w:color="auto"/>
            <w:bottom w:val="none" w:sz="0" w:space="0" w:color="auto"/>
            <w:right w:val="none" w:sz="0" w:space="0" w:color="auto"/>
          </w:divBdr>
        </w:div>
      </w:divsChild>
    </w:div>
    <w:div w:id="806780662">
      <w:bodyDiv w:val="1"/>
      <w:marLeft w:val="0"/>
      <w:marRight w:val="0"/>
      <w:marTop w:val="0"/>
      <w:marBottom w:val="0"/>
      <w:divBdr>
        <w:top w:val="none" w:sz="0" w:space="0" w:color="auto"/>
        <w:left w:val="none" w:sz="0" w:space="0" w:color="auto"/>
        <w:bottom w:val="none" w:sz="0" w:space="0" w:color="auto"/>
        <w:right w:val="none" w:sz="0" w:space="0" w:color="auto"/>
      </w:divBdr>
      <w:divsChild>
        <w:div w:id="53967245">
          <w:marLeft w:val="0"/>
          <w:marRight w:val="0"/>
          <w:marTop w:val="0"/>
          <w:marBottom w:val="0"/>
          <w:divBdr>
            <w:top w:val="none" w:sz="0" w:space="0" w:color="auto"/>
            <w:left w:val="none" w:sz="0" w:space="0" w:color="auto"/>
            <w:bottom w:val="none" w:sz="0" w:space="0" w:color="auto"/>
            <w:right w:val="none" w:sz="0" w:space="0" w:color="auto"/>
          </w:divBdr>
        </w:div>
      </w:divsChild>
    </w:div>
    <w:div w:id="1107964972">
      <w:bodyDiv w:val="1"/>
      <w:marLeft w:val="0"/>
      <w:marRight w:val="0"/>
      <w:marTop w:val="0"/>
      <w:marBottom w:val="0"/>
      <w:divBdr>
        <w:top w:val="none" w:sz="0" w:space="0" w:color="auto"/>
        <w:left w:val="none" w:sz="0" w:space="0" w:color="auto"/>
        <w:bottom w:val="none" w:sz="0" w:space="0" w:color="auto"/>
        <w:right w:val="none" w:sz="0" w:space="0" w:color="auto"/>
      </w:divBdr>
      <w:divsChild>
        <w:div w:id="957954901">
          <w:marLeft w:val="0"/>
          <w:marRight w:val="0"/>
          <w:marTop w:val="0"/>
          <w:marBottom w:val="0"/>
          <w:divBdr>
            <w:top w:val="none" w:sz="0" w:space="0" w:color="auto"/>
            <w:left w:val="none" w:sz="0" w:space="0" w:color="auto"/>
            <w:bottom w:val="none" w:sz="0" w:space="0" w:color="auto"/>
            <w:right w:val="none" w:sz="0" w:space="0" w:color="auto"/>
          </w:divBdr>
        </w:div>
      </w:divsChild>
    </w:div>
    <w:div w:id="1192062854">
      <w:bodyDiv w:val="1"/>
      <w:marLeft w:val="0"/>
      <w:marRight w:val="0"/>
      <w:marTop w:val="0"/>
      <w:marBottom w:val="0"/>
      <w:divBdr>
        <w:top w:val="none" w:sz="0" w:space="0" w:color="auto"/>
        <w:left w:val="none" w:sz="0" w:space="0" w:color="auto"/>
        <w:bottom w:val="none" w:sz="0" w:space="0" w:color="auto"/>
        <w:right w:val="none" w:sz="0" w:space="0" w:color="auto"/>
      </w:divBdr>
      <w:divsChild>
        <w:div w:id="1538156700">
          <w:marLeft w:val="0"/>
          <w:marRight w:val="0"/>
          <w:marTop w:val="0"/>
          <w:marBottom w:val="0"/>
          <w:divBdr>
            <w:top w:val="none" w:sz="0" w:space="0" w:color="auto"/>
            <w:left w:val="none" w:sz="0" w:space="0" w:color="auto"/>
            <w:bottom w:val="none" w:sz="0" w:space="0" w:color="auto"/>
            <w:right w:val="none" w:sz="0" w:space="0" w:color="auto"/>
          </w:divBdr>
        </w:div>
      </w:divsChild>
    </w:div>
    <w:div w:id="1650818096">
      <w:bodyDiv w:val="1"/>
      <w:marLeft w:val="0"/>
      <w:marRight w:val="0"/>
      <w:marTop w:val="0"/>
      <w:marBottom w:val="0"/>
      <w:divBdr>
        <w:top w:val="none" w:sz="0" w:space="0" w:color="auto"/>
        <w:left w:val="none" w:sz="0" w:space="0" w:color="auto"/>
        <w:bottom w:val="none" w:sz="0" w:space="0" w:color="auto"/>
        <w:right w:val="none" w:sz="0" w:space="0" w:color="auto"/>
      </w:divBdr>
    </w:div>
    <w:div w:id="1753427293">
      <w:bodyDiv w:val="1"/>
      <w:marLeft w:val="0"/>
      <w:marRight w:val="0"/>
      <w:marTop w:val="0"/>
      <w:marBottom w:val="0"/>
      <w:divBdr>
        <w:top w:val="none" w:sz="0" w:space="0" w:color="auto"/>
        <w:left w:val="none" w:sz="0" w:space="0" w:color="auto"/>
        <w:bottom w:val="none" w:sz="0" w:space="0" w:color="auto"/>
        <w:right w:val="none" w:sz="0" w:space="0" w:color="auto"/>
      </w:divBdr>
      <w:divsChild>
        <w:div w:id="745341398">
          <w:marLeft w:val="0"/>
          <w:marRight w:val="0"/>
          <w:marTop w:val="0"/>
          <w:marBottom w:val="0"/>
          <w:divBdr>
            <w:top w:val="none" w:sz="0" w:space="0" w:color="auto"/>
            <w:left w:val="none" w:sz="0" w:space="0" w:color="auto"/>
            <w:bottom w:val="none" w:sz="0" w:space="0" w:color="auto"/>
            <w:right w:val="none" w:sz="0" w:space="0" w:color="auto"/>
          </w:divBdr>
        </w:div>
      </w:divsChild>
    </w:div>
    <w:div w:id="1834681254">
      <w:bodyDiv w:val="1"/>
      <w:marLeft w:val="0"/>
      <w:marRight w:val="0"/>
      <w:marTop w:val="0"/>
      <w:marBottom w:val="0"/>
      <w:divBdr>
        <w:top w:val="none" w:sz="0" w:space="0" w:color="auto"/>
        <w:left w:val="none" w:sz="0" w:space="0" w:color="auto"/>
        <w:bottom w:val="none" w:sz="0" w:space="0" w:color="auto"/>
        <w:right w:val="none" w:sz="0" w:space="0" w:color="auto"/>
      </w:divBdr>
      <w:divsChild>
        <w:div w:id="926959190">
          <w:marLeft w:val="0"/>
          <w:marRight w:val="0"/>
          <w:marTop w:val="0"/>
          <w:marBottom w:val="0"/>
          <w:divBdr>
            <w:top w:val="none" w:sz="0" w:space="0" w:color="auto"/>
            <w:left w:val="none" w:sz="0" w:space="0" w:color="auto"/>
            <w:bottom w:val="none" w:sz="0" w:space="0" w:color="auto"/>
            <w:right w:val="none" w:sz="0" w:space="0" w:color="auto"/>
          </w:divBdr>
        </w:div>
      </w:divsChild>
    </w:div>
    <w:div w:id="2047483102">
      <w:bodyDiv w:val="1"/>
      <w:marLeft w:val="0"/>
      <w:marRight w:val="0"/>
      <w:marTop w:val="0"/>
      <w:marBottom w:val="0"/>
      <w:divBdr>
        <w:top w:val="none" w:sz="0" w:space="0" w:color="auto"/>
        <w:left w:val="none" w:sz="0" w:space="0" w:color="auto"/>
        <w:bottom w:val="none" w:sz="0" w:space="0" w:color="auto"/>
        <w:right w:val="none" w:sz="0" w:space="0" w:color="auto"/>
      </w:divBdr>
      <w:divsChild>
        <w:div w:id="722679034">
          <w:marLeft w:val="0"/>
          <w:marRight w:val="0"/>
          <w:marTop w:val="0"/>
          <w:marBottom w:val="0"/>
          <w:divBdr>
            <w:top w:val="none" w:sz="0" w:space="0" w:color="auto"/>
            <w:left w:val="none" w:sz="0" w:space="0" w:color="auto"/>
            <w:bottom w:val="none" w:sz="0" w:space="0" w:color="auto"/>
            <w:right w:val="none" w:sz="0" w:space="0" w:color="auto"/>
          </w:divBdr>
        </w:div>
      </w:divsChild>
    </w:div>
    <w:div w:id="2054689417">
      <w:bodyDiv w:val="1"/>
      <w:marLeft w:val="0"/>
      <w:marRight w:val="0"/>
      <w:marTop w:val="0"/>
      <w:marBottom w:val="0"/>
      <w:divBdr>
        <w:top w:val="none" w:sz="0" w:space="0" w:color="auto"/>
        <w:left w:val="none" w:sz="0" w:space="0" w:color="auto"/>
        <w:bottom w:val="none" w:sz="0" w:space="0" w:color="auto"/>
        <w:right w:val="none" w:sz="0" w:space="0" w:color="auto"/>
      </w:divBdr>
      <w:divsChild>
        <w:div w:id="1740639803">
          <w:marLeft w:val="0"/>
          <w:marRight w:val="0"/>
          <w:marTop w:val="0"/>
          <w:marBottom w:val="0"/>
          <w:divBdr>
            <w:top w:val="none" w:sz="0" w:space="0" w:color="auto"/>
            <w:left w:val="none" w:sz="0" w:space="0" w:color="auto"/>
            <w:bottom w:val="none" w:sz="0" w:space="0" w:color="auto"/>
            <w:right w:val="none" w:sz="0" w:space="0" w:color="auto"/>
          </w:divBdr>
        </w:div>
      </w:divsChild>
    </w:div>
    <w:div w:id="2056197491">
      <w:bodyDiv w:val="1"/>
      <w:marLeft w:val="0"/>
      <w:marRight w:val="0"/>
      <w:marTop w:val="0"/>
      <w:marBottom w:val="0"/>
      <w:divBdr>
        <w:top w:val="none" w:sz="0" w:space="0" w:color="auto"/>
        <w:left w:val="none" w:sz="0" w:space="0" w:color="auto"/>
        <w:bottom w:val="none" w:sz="0" w:space="0" w:color="auto"/>
        <w:right w:val="none" w:sz="0" w:space="0" w:color="auto"/>
      </w:divBdr>
      <w:divsChild>
        <w:div w:id="5284453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7</Pages>
  <Words>1559</Words>
  <Characters>8891</Characters>
  <Application>Microsoft Office Word</Application>
  <DocSecurity>0</DocSecurity>
  <Lines>74</Lines>
  <Paragraphs>20</Paragraphs>
  <ScaleCrop>false</ScaleCrop>
  <Company>微软中国</Company>
  <LinksUpToDate>false</LinksUpToDate>
  <CharactersWithSpaces>10430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23</cp:revision>
  <dcterms:created xsi:type="dcterms:W3CDTF">2021-12-09T07:13:00Z</dcterms:created>
  <dcterms:modified xsi:type="dcterms:W3CDTF">2021-12-20T06:33:00Z</dcterms:modified>
</cp:coreProperties>
</file>